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18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0"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30"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right="2740" w:firstLine="8"/>
        <w:spacing w:after="0" w:line="261"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15(d) OF THE SECURITIES EXCHANGE ACT OF 1934 For the fiscal year ended December 31, 2017</w:t>
      </w:r>
      <w:r>
        <w:rPr>
          <w:rFonts w:ascii="Arial" w:cs="Arial" w:eastAsia="Arial" w:hAnsi="Arial"/>
          <w:sz w:val="18"/>
          <w:szCs w:val="18"/>
          <w:color w:val="auto"/>
        </w:rPr>
        <w:t>.</w:t>
      </w:r>
    </w:p>
    <w:p>
      <w:pPr>
        <w:jc w:val="center"/>
        <w:ind w:right="-219"/>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980" w:right="2440" w:hanging="971"/>
        <w:spacing w:after="0" w:line="290" w:lineRule="auto"/>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TRANSITION REPORT PURSUANT TO SECTION 15(d) OF THE SECURITIES EXCHANGE ACT OF 1934</w:t>
      </w:r>
      <w:r>
        <w:rPr>
          <w:rFonts w:ascii="Arial" w:cs="Arial" w:eastAsia="Arial" w:hAnsi="Arial"/>
          <w:sz w:val="17"/>
          <w:szCs w:val="17"/>
          <w:color w:val="auto"/>
        </w:rPr>
        <w:t xml:space="preserve"> For the transition period from __________________________to __________________________</w:t>
      </w:r>
    </w:p>
    <w:p>
      <w:pPr>
        <w:spacing w:after="0" w:line="18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001-6351</w:t>
      </w:r>
    </w:p>
    <w:p>
      <w:pPr>
        <w:spacing w:after="0" w:line="24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63"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the address of the plan, if different from that of the issuer named below:</w:t>
      </w:r>
    </w:p>
    <w:p>
      <w:pPr>
        <w:spacing w:after="0" w:line="200" w:lineRule="exact"/>
        <w:rPr>
          <w:sz w:val="24"/>
          <w:szCs w:val="24"/>
          <w:color w:val="auto"/>
        </w:rPr>
      </w:pP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The Lilly Employee 401(k) Plan</w:t>
      </w:r>
    </w:p>
    <w:p>
      <w:pPr>
        <w:spacing w:after="0" w:line="5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The Savings Plan for Lilly Affiliate Employees in Puerto Rico</w:t>
      </w:r>
    </w:p>
    <w:p>
      <w:pPr>
        <w:spacing w:after="0" w:line="57"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Eli Lilly and Company</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Lilly Corporate Center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Indianapolis, Indiana 46285</w:t>
      </w:r>
    </w:p>
    <w:p>
      <w:pPr>
        <w:spacing w:after="0" w:line="200" w:lineRule="exact"/>
        <w:rPr>
          <w:sz w:val="24"/>
          <w:szCs w:val="24"/>
          <w:color w:val="auto"/>
        </w:rPr>
      </w:pPr>
    </w:p>
    <w:p>
      <w:pPr>
        <w:spacing w:after="0" w:line="306"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REQUIRED INFORMATION</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financial statements shall be furnished for the plan:</w:t>
      </w:r>
    </w:p>
    <w:p>
      <w:pPr>
        <w:spacing w:after="0" w:line="239"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Lilly Employee 401(k) Plan and The Savings Plan for Lilly Affiliate Employees in Puerto Rico (the “Plans”) are subject to the requirements of the Employee Retirement Income Security Act of 1974 (ERISA). Attached hereto are copies of the most recent financial statements and schedule of the Plans prepared in accordance with the financial reporting requirements of ERISA.</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828" w:right="4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The Savings Plan for Lilly Affiliate Employees in Puerto Rico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Financial Statements and Supplemental Schedules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December 31, 2017 and 2016 and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10040" w:type="dxa"/>
            <w:vAlign w:val="bottom"/>
          </w:tcPr>
          <w:p>
            <w:pPr>
              <w:ind w:left="4320"/>
              <w:spacing w:after="0"/>
              <w:rPr>
                <w:sz w:val="20"/>
                <w:szCs w:val="20"/>
                <w:color w:val="auto"/>
              </w:rPr>
            </w:pPr>
            <w:r>
              <w:rPr>
                <w:rFonts w:ascii="Arial" w:cs="Arial" w:eastAsia="Arial" w:hAnsi="Arial"/>
                <w:sz w:val="25"/>
                <w:szCs w:val="25"/>
                <w:b w:val="1"/>
                <w:bCs w:val="1"/>
                <w:color w:val="auto"/>
              </w:rPr>
              <w:t>Table of Contents</w:t>
            </w:r>
          </w:p>
        </w:tc>
        <w:tc>
          <w:tcPr>
            <w:tcW w:w="480" w:type="dxa"/>
            <w:vAlign w:val="bottom"/>
          </w:tcPr>
          <w:p>
            <w:pPr>
              <w:spacing w:after="0"/>
              <w:rPr>
                <w:sz w:val="24"/>
                <w:szCs w:val="24"/>
                <w:color w:val="auto"/>
              </w:rPr>
            </w:pPr>
          </w:p>
        </w:tc>
      </w:tr>
      <w:tr>
        <w:trPr>
          <w:trHeight w:val="775"/>
        </w:trPr>
        <w:tc>
          <w:tcPr>
            <w:tcW w:w="1004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324"/>
        </w:trPr>
        <w:tc>
          <w:tcPr>
            <w:tcW w:w="100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10040" w:type="dxa"/>
            <w:vAlign w:val="bottom"/>
            <w:tcBorders>
              <w:bottom w:val="single" w:sz="8" w:color="ACACAC"/>
            </w:tcBorders>
            <w:shd w:val="clear" w:color="auto" w:fill="ACACAC"/>
          </w:tcPr>
          <w:p>
            <w:pPr>
              <w:ind w:left="20"/>
              <w:spacing w:after="0"/>
              <w:rPr>
                <w:sz w:val="20"/>
                <w:szCs w:val="20"/>
                <w:color w:val="auto"/>
              </w:rPr>
            </w:pPr>
            <w:r>
              <w:rPr>
                <w:rFonts w:ascii="Arial" w:cs="Arial" w:eastAsia="Arial" w:hAnsi="Arial"/>
                <w:sz w:val="18"/>
                <w:szCs w:val="18"/>
                <w:color w:val="auto"/>
              </w:rPr>
              <w:t>Financial Statements</w:t>
            </w:r>
          </w:p>
        </w:tc>
        <w:tc>
          <w:tcPr>
            <w:tcW w:w="480" w:type="dxa"/>
            <w:vAlign w:val="bottom"/>
          </w:tcPr>
          <w:p>
            <w:pPr>
              <w:spacing w:after="0"/>
              <w:rPr>
                <w:sz w:val="21"/>
                <w:szCs w:val="21"/>
                <w:color w:val="auto"/>
              </w:rPr>
            </w:pPr>
          </w:p>
        </w:tc>
      </w:tr>
      <w:tr>
        <w:trPr>
          <w:trHeight w:val="540"/>
        </w:trPr>
        <w:tc>
          <w:tcPr>
            <w:tcW w:w="1004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- 2017</w:t>
            </w:r>
          </w:p>
        </w:tc>
        <w:tc>
          <w:tcPr>
            <w:tcW w:w="4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- 2016</w:t>
            </w:r>
          </w:p>
        </w:tc>
        <w:tc>
          <w:tcPr>
            <w:tcW w:w="4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Statements of Changes in Net Assets Available for Benefits</w:t>
            </w:r>
          </w:p>
        </w:tc>
        <w:tc>
          <w:tcPr>
            <w:tcW w:w="4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Notes to Financial Statements</w:t>
            </w:r>
          </w:p>
        </w:tc>
        <w:tc>
          <w:tcPr>
            <w:tcW w:w="4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324"/>
        </w:trPr>
        <w:tc>
          <w:tcPr>
            <w:tcW w:w="100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10040" w:type="dxa"/>
            <w:vAlign w:val="bottom"/>
            <w:tcBorders>
              <w:bottom w:val="single" w:sz="8" w:color="ACACAC"/>
            </w:tcBorders>
            <w:shd w:val="clear" w:color="auto" w:fill="ACACAC"/>
          </w:tcPr>
          <w:p>
            <w:pPr>
              <w:ind w:left="20"/>
              <w:spacing w:after="0"/>
              <w:rPr>
                <w:sz w:val="20"/>
                <w:szCs w:val="20"/>
                <w:color w:val="auto"/>
              </w:rPr>
            </w:pPr>
            <w:r>
              <w:rPr>
                <w:rFonts w:ascii="Arial" w:cs="Arial" w:eastAsia="Arial" w:hAnsi="Arial"/>
                <w:sz w:val="18"/>
                <w:szCs w:val="18"/>
                <w:color w:val="auto"/>
              </w:rPr>
              <w:t>Supplemental Schedules</w:t>
            </w:r>
          </w:p>
        </w:tc>
        <w:tc>
          <w:tcPr>
            <w:tcW w:w="480" w:type="dxa"/>
            <w:vAlign w:val="bottom"/>
          </w:tcPr>
          <w:p>
            <w:pPr>
              <w:spacing w:after="0"/>
              <w:rPr>
                <w:sz w:val="21"/>
                <w:szCs w:val="21"/>
                <w:color w:val="auto"/>
              </w:rPr>
            </w:pPr>
          </w:p>
        </w:tc>
      </w:tr>
      <w:tr>
        <w:trPr>
          <w:trHeight w:val="526"/>
        </w:trPr>
        <w:tc>
          <w:tcPr>
            <w:tcW w:w="10040" w:type="dxa"/>
            <w:vAlign w:val="bottom"/>
          </w:tcPr>
          <w:p>
            <w:pPr>
              <w:ind w:left="20"/>
              <w:spacing w:after="0"/>
              <w:rPr>
                <w:sz w:val="20"/>
                <w:szCs w:val="20"/>
                <w:color w:val="auto"/>
              </w:rPr>
            </w:pPr>
            <w:r>
              <w:rPr>
                <w:rFonts w:ascii="Arial" w:cs="Arial" w:eastAsia="Arial" w:hAnsi="Arial"/>
                <w:sz w:val="18"/>
                <w:szCs w:val="18"/>
                <w:color w:val="auto"/>
              </w:rPr>
              <w:t>Schedule of Assets (Held at End of Year) -</w:t>
            </w:r>
          </w:p>
        </w:tc>
        <w:tc>
          <w:tcPr>
            <w:tcW w:w="480" w:type="dxa"/>
            <w:vAlign w:val="bottom"/>
          </w:tcPr>
          <w:p>
            <w:pPr>
              <w:spacing w:after="0"/>
              <w:rPr>
                <w:sz w:val="24"/>
                <w:szCs w:val="24"/>
                <w:color w:val="auto"/>
              </w:rPr>
            </w:pPr>
          </w:p>
        </w:tc>
      </w:tr>
      <w:tr>
        <w:trPr>
          <w:trHeight w:val="230"/>
        </w:trPr>
        <w:tc>
          <w:tcPr>
            <w:tcW w:w="10040" w:type="dxa"/>
            <w:vAlign w:val="bottom"/>
          </w:tcPr>
          <w:p>
            <w:pPr>
              <w:ind w:left="340"/>
              <w:spacing w:after="0"/>
              <w:rPr>
                <w:sz w:val="20"/>
                <w:szCs w:val="20"/>
                <w:color w:val="auto"/>
              </w:rPr>
            </w:pPr>
            <w:r>
              <w:rPr>
                <w:rFonts w:ascii="Arial" w:cs="Arial" w:eastAsia="Arial" w:hAnsi="Arial"/>
                <w:sz w:val="18"/>
                <w:szCs w:val="18"/>
                <w:color w:val="auto"/>
              </w:rPr>
              <w:t>The Lilly Employee 401(k) Plan</w:t>
            </w:r>
          </w:p>
        </w:tc>
        <w:tc>
          <w:tcPr>
            <w:tcW w:w="48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r>
      <w:tr>
        <w:trPr>
          <w:trHeight w:val="256"/>
        </w:trPr>
        <w:tc>
          <w:tcPr>
            <w:tcW w:w="10040" w:type="dxa"/>
            <w:vAlign w:val="bottom"/>
          </w:tcPr>
          <w:p>
            <w:pPr>
              <w:ind w:left="20"/>
              <w:spacing w:after="0"/>
              <w:rPr>
                <w:sz w:val="20"/>
                <w:szCs w:val="20"/>
                <w:color w:val="auto"/>
              </w:rPr>
            </w:pPr>
            <w:r>
              <w:rPr>
                <w:rFonts w:ascii="Arial" w:cs="Arial" w:eastAsia="Arial" w:hAnsi="Arial"/>
                <w:sz w:val="18"/>
                <w:szCs w:val="18"/>
                <w:color w:val="auto"/>
              </w:rPr>
              <w:t>Schedule of Assets (Held at End of Year) -</w:t>
            </w:r>
          </w:p>
        </w:tc>
        <w:tc>
          <w:tcPr>
            <w:tcW w:w="480" w:type="dxa"/>
            <w:vAlign w:val="bottom"/>
          </w:tcPr>
          <w:p>
            <w:pPr>
              <w:spacing w:after="0"/>
              <w:rPr>
                <w:sz w:val="22"/>
                <w:szCs w:val="22"/>
                <w:color w:val="auto"/>
              </w:rPr>
            </w:pPr>
          </w:p>
        </w:tc>
      </w:tr>
      <w:tr>
        <w:trPr>
          <w:trHeight w:val="230"/>
        </w:trPr>
        <w:tc>
          <w:tcPr>
            <w:tcW w:w="10040" w:type="dxa"/>
            <w:vAlign w:val="bottom"/>
          </w:tcPr>
          <w:p>
            <w:pPr>
              <w:ind w:left="340"/>
              <w:spacing w:after="0"/>
              <w:rPr>
                <w:sz w:val="20"/>
                <w:szCs w:val="20"/>
                <w:color w:val="auto"/>
              </w:rPr>
            </w:pPr>
            <w:r>
              <w:rPr>
                <w:rFonts w:ascii="Arial" w:cs="Arial" w:eastAsia="Arial" w:hAnsi="Arial"/>
                <w:sz w:val="18"/>
                <w:szCs w:val="18"/>
                <w:color w:val="auto"/>
              </w:rPr>
              <w:t>The Savings Plan for Lilly Affiliate Employees in Puerto Rico</w:t>
            </w:r>
          </w:p>
        </w:tc>
        <w:tc>
          <w:tcPr>
            <w:tcW w:w="48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48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Exhibit 23 Consent of Independent Registered Public Accounting Firm</w:t>
            </w:r>
          </w:p>
        </w:tc>
        <w:tc>
          <w:tcPr>
            <w:tcW w:w="4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702"/>
        </w:trPr>
        <w:tc>
          <w:tcPr>
            <w:tcW w:w="10040" w:type="dxa"/>
            <w:vAlign w:val="bottom"/>
          </w:tcPr>
          <w:p>
            <w:pPr>
              <w:ind w:left="522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r>
    </w:tbl>
    <w:p>
      <w:pPr>
        <w:sectPr>
          <w:pgSz w:w="11900" w:h="16838" w:orient="portrait"/>
          <w:cols w:equalWidth="0" w:num="1">
            <w:col w:w="10520"/>
          </w:cols>
          <w:pgMar w:left="680" w:top="427" w:right="69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To the Plan Participants and the Employee Benefits Committee</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33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We have audited the accompanying statements of net assets available for benefits of The Lilly Employee 401(k) Plan and The Savings Plan for Lilly Affiliate Employees in Puerto Rico (the Plans) as of December 31, 2017 and 2016, and the related statements of changes in net assets available for benefits for the year ended December 31, 2017, and the related notes (collectively referred to as the “financial statements”). In our opinion, the financial statements present fairly, in all material respects, the net assets available for benefits of the Plans at December 31, 2017 and 2016, and the changes in net assets available for benefits for the year ended December 31, 2017, in conformity with U.S. generally accepted accounting principles.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33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Plans in accordance with the U.S. federal securities laws and the applicable rules and regulations of the Securities and Exchange Commission and the PCAOB.</w:t>
      </w: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Plans are not required to have, nor were we engaged to perform, an audit of their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30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Schedules</w:t>
      </w:r>
    </w:p>
    <w:p>
      <w:pPr>
        <w:spacing w:after="0" w:line="334"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accompanying supplemental schedules of assets (held at end of year) as of December 31, 2017 have been subjected to audit procedures performed in conjunction with the audit of the Plans’ financial statements. The information in the supplemental schedules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schedules. In forming our opinion on the information, we evaluated whether such information, including its form and content, is presented in conformity with the Department of Labor’s Rules and Regulations for Reporting and Disclosure under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35" w:right="239" w:bottom="1440" w:gutter="0" w:footer="0" w:header="0"/>
        </w:sectPr>
      </w:pPr>
    </w:p>
    <w:bookmarkStart w:id="3" w:name="page4"/>
    <w:bookmarkEnd w:id="3"/>
    <w:p>
      <w:pPr>
        <w:spacing w:after="0" w:line="263" w:lineRule="auto"/>
        <w:rPr>
          <w:sz w:val="20"/>
          <w:szCs w:val="20"/>
          <w:color w:val="auto"/>
        </w:rPr>
      </w:pPr>
      <w:r>
        <w:rPr>
          <w:rFonts w:ascii="Arial" w:cs="Arial" w:eastAsia="Arial" w:hAnsi="Arial"/>
          <w:sz w:val="22"/>
          <w:szCs w:val="22"/>
          <w:color w:val="auto"/>
        </w:rPr>
        <w:t>Employee Retirement Income Security Act of 1974. In our opinion, the information is fairly stated, in all material respects, in relation to the financial statements as a whole.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Plans’ auditor since at least 1990, but we are unable to determine the specific year.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June 18,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83" w:right="239" w:bottom="1440" w:gutter="0" w:footer="0" w:header="0"/>
        </w:sectPr>
      </w:pPr>
    </w:p>
    <w:bookmarkStart w:id="4" w:name="page5"/>
    <w:bookmarkEnd w:id="4"/>
    <w:p>
      <w:pPr>
        <w:jc w:val="center"/>
        <w:ind w:right="-819"/>
        <w:spacing w:after="0"/>
        <w:rPr>
          <w:sz w:val="20"/>
          <w:szCs w:val="20"/>
          <w:color w:val="auto"/>
        </w:rPr>
      </w:pPr>
      <w:r>
        <w:rPr>
          <w:rFonts w:ascii="Arial" w:cs="Arial" w:eastAsia="Arial" w:hAnsi="Arial"/>
          <w:sz w:val="25"/>
          <w:szCs w:val="25"/>
          <w:color w:val="auto"/>
        </w:rPr>
        <w:t>The Lilly Employee 401(k) Plan and</w:t>
      </w:r>
    </w:p>
    <w:p>
      <w:pPr>
        <w:spacing w:after="0" w:line="64" w:lineRule="exact"/>
        <w:rPr>
          <w:sz w:val="20"/>
          <w:szCs w:val="20"/>
          <w:color w:val="auto"/>
        </w:rPr>
      </w:pPr>
    </w:p>
    <w:p>
      <w:pPr>
        <w:jc w:val="center"/>
        <w:ind w:right="-81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88" w:lineRule="exact"/>
        <w:rPr>
          <w:sz w:val="20"/>
          <w:szCs w:val="20"/>
          <w:color w:val="auto"/>
        </w:rPr>
      </w:pPr>
    </w:p>
    <w:p>
      <w:pPr>
        <w:ind w:left="3020"/>
        <w:spacing w:after="0"/>
        <w:rPr>
          <w:sz w:val="20"/>
          <w:szCs w:val="20"/>
          <w:color w:val="auto"/>
        </w:rPr>
      </w:pPr>
      <w:r>
        <w:rPr>
          <w:rFonts w:ascii="Arial" w:cs="Arial" w:eastAsia="Arial" w:hAnsi="Arial"/>
          <w:sz w:val="25"/>
          <w:szCs w:val="25"/>
          <w:color w:val="auto"/>
        </w:rPr>
        <w:t>Statements of Net Assets Available for Benefits</w:t>
      </w:r>
    </w:p>
    <w:p>
      <w:pPr>
        <w:spacing w:after="0" w:line="38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jc w:val="center"/>
              <w:ind w:right="101"/>
              <w:spacing w:after="0"/>
              <w:rPr>
                <w:sz w:val="20"/>
                <w:szCs w:val="20"/>
                <w:color w:val="auto"/>
              </w:rPr>
            </w:pPr>
            <w:r>
              <w:rPr>
                <w:rFonts w:ascii="Arial" w:cs="Arial" w:eastAsia="Arial" w:hAnsi="Arial"/>
                <w:sz w:val="20"/>
                <w:szCs w:val="20"/>
                <w:b w:val="1"/>
                <w:bCs w:val="1"/>
                <w:color w:val="auto"/>
                <w:w w:val="88"/>
              </w:rPr>
              <w:t>The Savings Plan</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jc w:val="center"/>
              <w:ind w:right="101"/>
              <w:spacing w:after="0"/>
              <w:rPr>
                <w:sz w:val="20"/>
                <w:szCs w:val="20"/>
                <w:color w:val="auto"/>
              </w:rPr>
            </w:pPr>
            <w:r>
              <w:rPr>
                <w:rFonts w:ascii="Arial" w:cs="Arial" w:eastAsia="Arial" w:hAnsi="Arial"/>
                <w:sz w:val="20"/>
                <w:szCs w:val="20"/>
                <w:b w:val="1"/>
                <w:bCs w:val="1"/>
                <w:color w:val="auto"/>
                <w:w w:val="96"/>
              </w:rPr>
              <w:t>for Lilly</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2640" w:type="dxa"/>
            <w:vAlign w:val="bottom"/>
            <w:gridSpan w:val="3"/>
          </w:tcPr>
          <w:p>
            <w:pPr>
              <w:ind w:left="20"/>
              <w:spacing w:after="0"/>
              <w:rPr>
                <w:sz w:val="20"/>
                <w:szCs w:val="20"/>
                <w:color w:val="auto"/>
              </w:rPr>
            </w:pPr>
            <w:r>
              <w:rPr>
                <w:rFonts w:ascii="Arial" w:cs="Arial" w:eastAsia="Arial" w:hAnsi="Arial"/>
                <w:sz w:val="20"/>
                <w:szCs w:val="20"/>
                <w:b w:val="1"/>
                <w:bCs w:val="1"/>
                <w:color w:val="auto"/>
              </w:rPr>
              <w:t>The Lilly Employee 401(k)</w:t>
            </w:r>
          </w:p>
        </w:tc>
        <w:tc>
          <w:tcPr>
            <w:tcW w:w="200" w:type="dxa"/>
            <w:vAlign w:val="bottom"/>
          </w:tcPr>
          <w:p>
            <w:pPr>
              <w:spacing w:after="0"/>
              <w:rPr>
                <w:sz w:val="19"/>
                <w:szCs w:val="19"/>
                <w:color w:val="auto"/>
              </w:rPr>
            </w:pPr>
          </w:p>
        </w:tc>
        <w:tc>
          <w:tcPr>
            <w:tcW w:w="2220" w:type="dxa"/>
            <w:vAlign w:val="bottom"/>
          </w:tcPr>
          <w:p>
            <w:pPr>
              <w:jc w:val="center"/>
              <w:ind w:right="121"/>
              <w:spacing w:after="0"/>
              <w:rPr>
                <w:sz w:val="20"/>
                <w:szCs w:val="20"/>
                <w:color w:val="auto"/>
              </w:rPr>
            </w:pPr>
            <w:r>
              <w:rPr>
                <w:rFonts w:ascii="Arial" w:cs="Arial" w:eastAsia="Arial" w:hAnsi="Arial"/>
                <w:sz w:val="20"/>
                <w:szCs w:val="20"/>
                <w:b w:val="1"/>
                <w:bCs w:val="1"/>
                <w:color w:val="auto"/>
                <w:w w:val="90"/>
              </w:rPr>
              <w:t>Affiliate Employees in</w:t>
            </w: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100" w:type="dxa"/>
            <w:vAlign w:val="bottom"/>
            <w:gridSpan w:val="2"/>
          </w:tcPr>
          <w:p>
            <w:pPr>
              <w:ind w:left="420"/>
              <w:spacing w:after="0"/>
              <w:rPr>
                <w:sz w:val="20"/>
                <w:szCs w:val="20"/>
                <w:color w:val="auto"/>
              </w:rPr>
            </w:pPr>
            <w:r>
              <w:rPr>
                <w:rFonts w:ascii="Arial" w:cs="Arial" w:eastAsia="Arial" w:hAnsi="Arial"/>
                <w:sz w:val="20"/>
                <w:szCs w:val="20"/>
                <w:b w:val="1"/>
                <w:bCs w:val="1"/>
                <w:color w:val="auto"/>
              </w:rPr>
              <w:t>Plan</w:t>
            </w:r>
          </w:p>
        </w:tc>
        <w:tc>
          <w:tcPr>
            <w:tcW w:w="200" w:type="dxa"/>
            <w:vAlign w:val="bottom"/>
          </w:tcPr>
          <w:p>
            <w:pPr>
              <w:spacing w:after="0"/>
              <w:rPr>
                <w:sz w:val="22"/>
                <w:szCs w:val="22"/>
                <w:color w:val="auto"/>
              </w:rPr>
            </w:pPr>
          </w:p>
        </w:tc>
        <w:tc>
          <w:tcPr>
            <w:tcW w:w="2220" w:type="dxa"/>
            <w:vAlign w:val="bottom"/>
          </w:tcPr>
          <w:p>
            <w:pPr>
              <w:jc w:val="center"/>
              <w:ind w:right="121"/>
              <w:spacing w:after="0"/>
              <w:rPr>
                <w:sz w:val="20"/>
                <w:szCs w:val="20"/>
                <w:color w:val="auto"/>
              </w:rPr>
            </w:pPr>
            <w:r>
              <w:rPr>
                <w:rFonts w:ascii="Arial" w:cs="Arial" w:eastAsia="Arial" w:hAnsi="Arial"/>
                <w:sz w:val="20"/>
                <w:szCs w:val="20"/>
                <w:b w:val="1"/>
                <w:bCs w:val="1"/>
                <w:color w:val="auto"/>
                <w:w w:val="89"/>
              </w:rPr>
              <w:t>Puerto Rico</w:t>
            </w:r>
          </w:p>
        </w:tc>
        <w:tc>
          <w:tcPr>
            <w:tcW w:w="0" w:type="dxa"/>
            <w:vAlign w:val="bottom"/>
          </w:tcPr>
          <w:p>
            <w:pPr>
              <w:spacing w:after="0"/>
              <w:rPr>
                <w:sz w:val="1"/>
                <w:szCs w:val="1"/>
                <w:color w:val="auto"/>
              </w:rPr>
            </w:pPr>
          </w:p>
        </w:tc>
      </w:tr>
      <w:tr>
        <w:trPr>
          <w:trHeight w:val="23"/>
        </w:trPr>
        <w:tc>
          <w:tcPr>
            <w:tcW w:w="4980" w:type="dxa"/>
            <w:vAlign w:val="bottom"/>
            <w:vMerge w:val="restart"/>
          </w:tcPr>
          <w:p>
            <w:pPr>
              <w:spacing w:after="0"/>
              <w:rPr>
                <w:sz w:val="20"/>
                <w:szCs w:val="20"/>
                <w:color w:val="auto"/>
              </w:rPr>
            </w:pPr>
            <w:r>
              <w:rPr>
                <w:rFonts w:ascii="Arial" w:cs="Arial" w:eastAsia="Arial" w:hAnsi="Arial"/>
                <w:sz w:val="20"/>
                <w:szCs w:val="20"/>
                <w:b w:val="1"/>
                <w:bCs w:val="1"/>
                <w:color w:val="auto"/>
              </w:rPr>
              <w:t>Assets</w:t>
            </w: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98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980" w:type="dxa"/>
            <w:vAlign w:val="bottom"/>
          </w:tcPr>
          <w:p>
            <w:pPr>
              <w:spacing w:after="0"/>
              <w:rPr>
                <w:sz w:val="20"/>
                <w:szCs w:val="20"/>
                <w:color w:val="auto"/>
              </w:rPr>
            </w:pPr>
            <w:r>
              <w:rPr>
                <w:rFonts w:ascii="Arial" w:cs="Arial" w:eastAsia="Arial" w:hAnsi="Arial"/>
                <w:sz w:val="20"/>
                <w:szCs w:val="20"/>
                <w:color w:val="auto"/>
              </w:rPr>
              <w:t>Investments:</w:t>
            </w: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80" w:type="dxa"/>
            <w:vAlign w:val="bottom"/>
          </w:tcPr>
          <w:p>
            <w:pPr>
              <w:ind w:left="160"/>
              <w:spacing w:after="0"/>
              <w:rPr>
                <w:sz w:val="20"/>
                <w:szCs w:val="20"/>
                <w:color w:val="auto"/>
              </w:rPr>
            </w:pPr>
            <w:r>
              <w:rPr>
                <w:rFonts w:ascii="Arial" w:cs="Arial" w:eastAsia="Arial" w:hAnsi="Arial"/>
                <w:sz w:val="20"/>
                <w:szCs w:val="20"/>
                <w:color w:val="auto"/>
              </w:rPr>
              <w:t>Interest in net assets of The Lilly</w:t>
            </w: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80" w:type="dxa"/>
            <w:vAlign w:val="bottom"/>
          </w:tcPr>
          <w:p>
            <w:pPr>
              <w:ind w:left="300"/>
              <w:spacing w:after="0"/>
              <w:rPr>
                <w:sz w:val="20"/>
                <w:szCs w:val="20"/>
                <w:color w:val="auto"/>
              </w:rPr>
            </w:pPr>
            <w:r>
              <w:rPr>
                <w:rFonts w:ascii="Arial" w:cs="Arial" w:eastAsia="Arial" w:hAnsi="Arial"/>
                <w:sz w:val="20"/>
                <w:szCs w:val="20"/>
                <w:color w:val="auto"/>
              </w:rPr>
              <w:t>Employee Savings Plan Master Trust</w:t>
            </w:r>
          </w:p>
        </w:tc>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780" w:type="dxa"/>
            <w:vAlign w:val="bottom"/>
          </w:tcPr>
          <w:p>
            <w:pPr>
              <w:jc w:val="right"/>
              <w:ind w:right="21"/>
              <w:spacing w:after="0"/>
              <w:rPr>
                <w:sz w:val="20"/>
                <w:szCs w:val="20"/>
                <w:color w:val="auto"/>
              </w:rPr>
            </w:pPr>
            <w:r>
              <w:rPr>
                <w:rFonts w:ascii="Arial" w:cs="Arial" w:eastAsia="Arial" w:hAnsi="Arial"/>
                <w:sz w:val="20"/>
                <w:szCs w:val="20"/>
                <w:color w:val="auto"/>
              </w:rPr>
              <w:t>6,948,256,913</w:t>
            </w:r>
          </w:p>
        </w:tc>
        <w:tc>
          <w:tcPr>
            <w:tcW w:w="3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199,361,198</w:t>
            </w:r>
          </w:p>
        </w:tc>
        <w:tc>
          <w:tcPr>
            <w:tcW w:w="0" w:type="dxa"/>
            <w:vAlign w:val="bottom"/>
          </w:tcPr>
          <w:p>
            <w:pPr>
              <w:spacing w:after="0"/>
              <w:rPr>
                <w:sz w:val="1"/>
                <w:szCs w:val="1"/>
                <w:color w:val="auto"/>
              </w:rPr>
            </w:pPr>
          </w:p>
        </w:tc>
      </w:tr>
      <w:tr>
        <w:trPr>
          <w:trHeight w:val="608"/>
        </w:trPr>
        <w:tc>
          <w:tcPr>
            <w:tcW w:w="4980" w:type="dxa"/>
            <w:vAlign w:val="bottom"/>
          </w:tcPr>
          <w:p>
            <w:pPr>
              <w:spacing w:after="0"/>
              <w:rPr>
                <w:sz w:val="20"/>
                <w:szCs w:val="20"/>
                <w:color w:val="auto"/>
              </w:rPr>
            </w:pPr>
            <w:r>
              <w:rPr>
                <w:rFonts w:ascii="Arial" w:cs="Arial" w:eastAsia="Arial" w:hAnsi="Arial"/>
                <w:sz w:val="20"/>
                <w:szCs w:val="20"/>
                <w:color w:val="auto"/>
              </w:rPr>
              <w:t>Receivables:</w:t>
            </w: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80" w:type="dxa"/>
            <w:vAlign w:val="bottom"/>
          </w:tcPr>
          <w:p>
            <w:pPr>
              <w:ind w:left="160"/>
              <w:spacing w:after="0"/>
              <w:rPr>
                <w:sz w:val="20"/>
                <w:szCs w:val="20"/>
                <w:color w:val="auto"/>
              </w:rPr>
            </w:pPr>
            <w:r>
              <w:rPr>
                <w:rFonts w:ascii="Arial" w:cs="Arial" w:eastAsia="Arial" w:hAnsi="Arial"/>
                <w:sz w:val="20"/>
                <w:szCs w:val="20"/>
                <w:color w:val="auto"/>
              </w:rPr>
              <w:t>Employer contribution</w:t>
            </w:r>
          </w:p>
        </w:tc>
        <w:tc>
          <w:tcPr>
            <w:tcW w:w="540" w:type="dxa"/>
            <w:vAlign w:val="bottom"/>
          </w:tcPr>
          <w:p>
            <w:pPr>
              <w:spacing w:after="0"/>
              <w:rPr>
                <w:sz w:val="24"/>
                <w:szCs w:val="24"/>
                <w:color w:val="auto"/>
              </w:rPr>
            </w:pPr>
          </w:p>
        </w:tc>
        <w:tc>
          <w:tcPr>
            <w:tcW w:w="1780" w:type="dxa"/>
            <w:vAlign w:val="bottom"/>
          </w:tcPr>
          <w:p>
            <w:pPr>
              <w:jc w:val="right"/>
              <w:ind w:right="21"/>
              <w:spacing w:after="0"/>
              <w:rPr>
                <w:sz w:val="20"/>
                <w:szCs w:val="20"/>
                <w:color w:val="auto"/>
              </w:rPr>
            </w:pPr>
            <w:r>
              <w:rPr>
                <w:rFonts w:ascii="Arial" w:cs="Arial" w:eastAsia="Arial" w:hAnsi="Arial"/>
                <w:sz w:val="20"/>
                <w:szCs w:val="20"/>
                <w:color w:val="auto"/>
              </w:rPr>
              <w:t>9,422,264</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390,828</w:t>
            </w:r>
          </w:p>
        </w:tc>
        <w:tc>
          <w:tcPr>
            <w:tcW w:w="0" w:type="dxa"/>
            <w:vAlign w:val="bottom"/>
          </w:tcPr>
          <w:p>
            <w:pPr>
              <w:spacing w:after="0"/>
              <w:rPr>
                <w:sz w:val="1"/>
                <w:szCs w:val="1"/>
                <w:color w:val="auto"/>
              </w:rPr>
            </w:pPr>
          </w:p>
        </w:tc>
      </w:tr>
      <w:tr>
        <w:trPr>
          <w:trHeight w:val="284"/>
        </w:trPr>
        <w:tc>
          <w:tcPr>
            <w:tcW w:w="4980" w:type="dxa"/>
            <w:vAlign w:val="bottom"/>
          </w:tcPr>
          <w:p>
            <w:pPr>
              <w:ind w:left="160"/>
              <w:spacing w:after="0"/>
              <w:rPr>
                <w:sz w:val="20"/>
                <w:szCs w:val="20"/>
                <w:color w:val="auto"/>
              </w:rPr>
            </w:pPr>
            <w:r>
              <w:rPr>
                <w:rFonts w:ascii="Arial" w:cs="Arial" w:eastAsia="Arial" w:hAnsi="Arial"/>
                <w:sz w:val="20"/>
                <w:szCs w:val="20"/>
                <w:color w:val="auto"/>
              </w:rPr>
              <w:t>Notes receivable from participants</w:t>
            </w:r>
          </w:p>
        </w:tc>
        <w:tc>
          <w:tcPr>
            <w:tcW w:w="540" w:type="dxa"/>
            <w:vAlign w:val="bottom"/>
          </w:tcPr>
          <w:p>
            <w:pPr>
              <w:spacing w:after="0"/>
              <w:rPr>
                <w:sz w:val="24"/>
                <w:szCs w:val="24"/>
                <w:color w:val="auto"/>
              </w:rPr>
            </w:pPr>
          </w:p>
        </w:tc>
        <w:tc>
          <w:tcPr>
            <w:tcW w:w="1780" w:type="dxa"/>
            <w:vAlign w:val="bottom"/>
          </w:tcPr>
          <w:p>
            <w:pPr>
              <w:jc w:val="right"/>
              <w:ind w:right="21"/>
              <w:spacing w:after="0"/>
              <w:rPr>
                <w:sz w:val="20"/>
                <w:szCs w:val="20"/>
                <w:color w:val="auto"/>
              </w:rPr>
            </w:pPr>
            <w:r>
              <w:rPr>
                <w:rFonts w:ascii="Arial" w:cs="Arial" w:eastAsia="Arial" w:hAnsi="Arial"/>
                <w:sz w:val="20"/>
                <w:szCs w:val="20"/>
                <w:color w:val="auto"/>
              </w:rPr>
              <w:t>33,464,590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2,991,916</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980" w:type="dxa"/>
            <w:vAlign w:val="bottom"/>
          </w:tcPr>
          <w:p>
            <w:pPr>
              <w:spacing w:after="0"/>
              <w:rPr>
                <w:sz w:val="20"/>
                <w:szCs w:val="20"/>
                <w:color w:val="auto"/>
              </w:rPr>
            </w:pPr>
            <w:r>
              <w:rPr>
                <w:rFonts w:ascii="Arial" w:cs="Arial" w:eastAsia="Arial" w:hAnsi="Arial"/>
                <w:sz w:val="20"/>
                <w:szCs w:val="20"/>
                <w:color w:val="auto"/>
              </w:rPr>
              <w:t>Total Receivables</w:t>
            </w:r>
          </w:p>
        </w:tc>
        <w:tc>
          <w:tcPr>
            <w:tcW w:w="540" w:type="dxa"/>
            <w:vAlign w:val="bottom"/>
          </w:tcPr>
          <w:p>
            <w:pPr>
              <w:spacing w:after="0"/>
              <w:rPr>
                <w:sz w:val="22"/>
                <w:szCs w:val="22"/>
                <w:color w:val="auto"/>
              </w:rPr>
            </w:pPr>
          </w:p>
        </w:tc>
        <w:tc>
          <w:tcPr>
            <w:tcW w:w="1780" w:type="dxa"/>
            <w:vAlign w:val="bottom"/>
          </w:tcPr>
          <w:p>
            <w:pPr>
              <w:jc w:val="right"/>
              <w:ind w:right="21"/>
              <w:spacing w:after="0"/>
              <w:rPr>
                <w:sz w:val="20"/>
                <w:szCs w:val="20"/>
                <w:color w:val="auto"/>
              </w:rPr>
            </w:pPr>
            <w:r>
              <w:rPr>
                <w:rFonts w:ascii="Arial" w:cs="Arial" w:eastAsia="Arial" w:hAnsi="Arial"/>
                <w:sz w:val="20"/>
                <w:szCs w:val="20"/>
                <w:color w:val="auto"/>
              </w:rPr>
              <w:t>42,886,854</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3,382,744</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96"/>
        </w:trPr>
        <w:tc>
          <w:tcPr>
            <w:tcW w:w="4980" w:type="dxa"/>
            <w:vAlign w:val="bottom"/>
          </w:tcPr>
          <w:p>
            <w:pPr>
              <w:spacing w:after="0"/>
              <w:rPr>
                <w:sz w:val="20"/>
                <w:szCs w:val="20"/>
                <w:color w:val="auto"/>
              </w:rPr>
            </w:pPr>
            <w:r>
              <w:rPr>
                <w:rFonts w:ascii="Arial" w:cs="Arial" w:eastAsia="Arial" w:hAnsi="Arial"/>
                <w:sz w:val="20"/>
                <w:szCs w:val="20"/>
                <w:color w:val="auto"/>
              </w:rPr>
              <w:t>Net assets available for benefits</w:t>
            </w: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7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6,991,143,767</w:t>
            </w:r>
          </w:p>
        </w:tc>
        <w:tc>
          <w:tcPr>
            <w:tcW w:w="3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202,743,942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40"/>
          </w:cols>
          <w:pgMar w:left="520" w:top="744" w:right="1339" w:bottom="1440" w:gutter="0" w:footer="0" w:header="0"/>
        </w:sectPr>
      </w:pPr>
    </w:p>
    <w:bookmarkStart w:id="5" w:name="page6"/>
    <w:bookmarkEnd w:id="5"/>
    <w:p>
      <w:pPr>
        <w:spacing w:after="0" w:line="385" w:lineRule="exact"/>
        <w:rPr>
          <w:sz w:val="20"/>
          <w:szCs w:val="20"/>
          <w:color w:val="auto"/>
        </w:rPr>
      </w:pPr>
    </w:p>
    <w:p>
      <w:pPr>
        <w:jc w:val="center"/>
        <w:ind w:right="-699"/>
        <w:spacing w:after="0"/>
        <w:rPr>
          <w:sz w:val="20"/>
          <w:szCs w:val="20"/>
          <w:color w:val="auto"/>
        </w:rPr>
      </w:pPr>
      <w:r>
        <w:rPr>
          <w:rFonts w:ascii="Arial" w:cs="Arial" w:eastAsia="Arial" w:hAnsi="Arial"/>
          <w:sz w:val="25"/>
          <w:szCs w:val="25"/>
          <w:color w:val="auto"/>
        </w:rPr>
        <w:t>The Lilly Employee 401(k) Plan and</w:t>
      </w:r>
    </w:p>
    <w:p>
      <w:pPr>
        <w:spacing w:after="0" w:line="64" w:lineRule="exact"/>
        <w:rPr>
          <w:sz w:val="20"/>
          <w:szCs w:val="20"/>
          <w:color w:val="auto"/>
        </w:rPr>
      </w:pPr>
    </w:p>
    <w:p>
      <w:pPr>
        <w:jc w:val="center"/>
        <w:ind w:right="-69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88" w:lineRule="exact"/>
        <w:rPr>
          <w:sz w:val="20"/>
          <w:szCs w:val="20"/>
          <w:color w:val="auto"/>
        </w:rPr>
      </w:pPr>
    </w:p>
    <w:p>
      <w:pPr>
        <w:ind w:left="2940"/>
        <w:spacing w:after="0"/>
        <w:rPr>
          <w:sz w:val="20"/>
          <w:szCs w:val="20"/>
          <w:color w:val="auto"/>
        </w:rPr>
      </w:pPr>
      <w:r>
        <w:rPr>
          <w:rFonts w:ascii="Arial" w:cs="Arial" w:eastAsia="Arial" w:hAnsi="Arial"/>
          <w:sz w:val="25"/>
          <w:szCs w:val="25"/>
          <w:color w:val="auto"/>
        </w:rPr>
        <w:t>Statements of Net Assets Available for Benefits</w:t>
      </w:r>
    </w:p>
    <w:p>
      <w:pPr>
        <w:spacing w:after="0" w:line="388"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jc w:val="center"/>
              <w:ind w:right="62"/>
              <w:spacing w:after="0"/>
              <w:rPr>
                <w:sz w:val="20"/>
                <w:szCs w:val="20"/>
                <w:color w:val="auto"/>
              </w:rPr>
            </w:pPr>
            <w:r>
              <w:rPr>
                <w:rFonts w:ascii="Arial" w:cs="Arial" w:eastAsia="Arial" w:hAnsi="Arial"/>
                <w:sz w:val="20"/>
                <w:szCs w:val="20"/>
                <w:b w:val="1"/>
                <w:bCs w:val="1"/>
                <w:color w:val="auto"/>
                <w:w w:val="89"/>
              </w:rPr>
              <w:t>The Savings Plan</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jc w:val="center"/>
              <w:ind w:right="82"/>
              <w:spacing w:after="0"/>
              <w:rPr>
                <w:sz w:val="20"/>
                <w:szCs w:val="20"/>
                <w:color w:val="auto"/>
              </w:rPr>
            </w:pPr>
            <w:r>
              <w:rPr>
                <w:rFonts w:ascii="Arial" w:cs="Arial" w:eastAsia="Arial" w:hAnsi="Arial"/>
                <w:sz w:val="20"/>
                <w:szCs w:val="20"/>
                <w:b w:val="1"/>
                <w:bCs w:val="1"/>
                <w:color w:val="auto"/>
                <w:w w:val="96"/>
              </w:rPr>
              <w:t>for Lilly</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2"/>
          </w:tcPr>
          <w:p>
            <w:pPr>
              <w:jc w:val="center"/>
              <w:ind w:right="540"/>
              <w:spacing w:after="0"/>
              <w:rPr>
                <w:sz w:val="20"/>
                <w:szCs w:val="20"/>
                <w:color w:val="auto"/>
              </w:rPr>
            </w:pPr>
            <w:r>
              <w:rPr>
                <w:rFonts w:ascii="Arial" w:cs="Arial" w:eastAsia="Arial" w:hAnsi="Arial"/>
                <w:sz w:val="20"/>
                <w:szCs w:val="20"/>
                <w:b w:val="1"/>
                <w:bCs w:val="1"/>
                <w:color w:val="auto"/>
                <w:w w:val="91"/>
              </w:rPr>
              <w:t>The Lilly Employee</w:t>
            </w:r>
          </w:p>
        </w:tc>
        <w:tc>
          <w:tcPr>
            <w:tcW w:w="160" w:type="dxa"/>
            <w:vAlign w:val="bottom"/>
          </w:tcPr>
          <w:p>
            <w:pPr>
              <w:spacing w:after="0"/>
              <w:rPr>
                <w:sz w:val="19"/>
                <w:szCs w:val="19"/>
                <w:color w:val="auto"/>
              </w:rPr>
            </w:pPr>
          </w:p>
        </w:tc>
        <w:tc>
          <w:tcPr>
            <w:tcW w:w="2120" w:type="dxa"/>
            <w:vAlign w:val="bottom"/>
          </w:tcPr>
          <w:p>
            <w:pPr>
              <w:jc w:val="center"/>
              <w:ind w:right="62"/>
              <w:spacing w:after="0"/>
              <w:rPr>
                <w:sz w:val="20"/>
                <w:szCs w:val="20"/>
                <w:color w:val="auto"/>
              </w:rPr>
            </w:pPr>
            <w:r>
              <w:rPr>
                <w:rFonts w:ascii="Arial" w:cs="Arial" w:eastAsia="Arial" w:hAnsi="Arial"/>
                <w:sz w:val="20"/>
                <w:szCs w:val="20"/>
                <w:b w:val="1"/>
                <w:bCs w:val="1"/>
                <w:color w:val="auto"/>
                <w:w w:val="90"/>
              </w:rPr>
              <w:t>Affiliate Employees in</w:t>
            </w:r>
          </w:p>
        </w:tc>
        <w:tc>
          <w:tcPr>
            <w:tcW w:w="0" w:type="dxa"/>
            <w:vAlign w:val="bottom"/>
          </w:tcPr>
          <w:p>
            <w:pPr>
              <w:spacing w:after="0"/>
              <w:rPr>
                <w:sz w:val="1"/>
                <w:szCs w:val="1"/>
                <w:color w:val="auto"/>
              </w:rPr>
            </w:pPr>
          </w:p>
        </w:tc>
      </w:tr>
      <w:tr>
        <w:trPr>
          <w:trHeight w:val="256"/>
        </w:trPr>
        <w:tc>
          <w:tcPr>
            <w:tcW w:w="5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gridSpan w:val="2"/>
          </w:tcPr>
          <w:p>
            <w:pPr>
              <w:jc w:val="center"/>
              <w:ind w:right="520"/>
              <w:spacing w:after="0"/>
              <w:rPr>
                <w:sz w:val="20"/>
                <w:szCs w:val="20"/>
                <w:color w:val="auto"/>
              </w:rPr>
            </w:pPr>
            <w:r>
              <w:rPr>
                <w:rFonts w:ascii="Arial" w:cs="Arial" w:eastAsia="Arial" w:hAnsi="Arial"/>
                <w:sz w:val="20"/>
                <w:szCs w:val="20"/>
                <w:b w:val="1"/>
                <w:bCs w:val="1"/>
                <w:color w:val="auto"/>
                <w:w w:val="90"/>
              </w:rPr>
              <w:t>401(k) Plan</w:t>
            </w:r>
          </w:p>
        </w:tc>
        <w:tc>
          <w:tcPr>
            <w:tcW w:w="160" w:type="dxa"/>
            <w:vAlign w:val="bottom"/>
          </w:tcPr>
          <w:p>
            <w:pPr>
              <w:spacing w:after="0"/>
              <w:rPr>
                <w:sz w:val="22"/>
                <w:szCs w:val="22"/>
                <w:color w:val="auto"/>
              </w:rPr>
            </w:pPr>
          </w:p>
        </w:tc>
        <w:tc>
          <w:tcPr>
            <w:tcW w:w="2120" w:type="dxa"/>
            <w:vAlign w:val="bottom"/>
          </w:tcPr>
          <w:p>
            <w:pPr>
              <w:jc w:val="center"/>
              <w:ind w:right="62"/>
              <w:spacing w:after="0"/>
              <w:rPr>
                <w:sz w:val="20"/>
                <w:szCs w:val="20"/>
                <w:color w:val="auto"/>
              </w:rPr>
            </w:pPr>
            <w:r>
              <w:rPr>
                <w:rFonts w:ascii="Arial" w:cs="Arial" w:eastAsia="Arial" w:hAnsi="Arial"/>
                <w:sz w:val="20"/>
                <w:szCs w:val="20"/>
                <w:b w:val="1"/>
                <w:bCs w:val="1"/>
                <w:color w:val="auto"/>
                <w:w w:val="89"/>
              </w:rPr>
              <w:t>Puerto Rico</w:t>
            </w:r>
          </w:p>
        </w:tc>
        <w:tc>
          <w:tcPr>
            <w:tcW w:w="0" w:type="dxa"/>
            <w:vAlign w:val="bottom"/>
          </w:tcPr>
          <w:p>
            <w:pPr>
              <w:spacing w:after="0"/>
              <w:rPr>
                <w:sz w:val="1"/>
                <w:szCs w:val="1"/>
                <w:color w:val="auto"/>
              </w:rPr>
            </w:pPr>
          </w:p>
        </w:tc>
      </w:tr>
      <w:tr>
        <w:trPr>
          <w:trHeight w:val="23"/>
        </w:trPr>
        <w:tc>
          <w:tcPr>
            <w:tcW w:w="5140" w:type="dxa"/>
            <w:vAlign w:val="bottom"/>
            <w:vMerge w:val="restart"/>
          </w:tcPr>
          <w:p>
            <w:pPr>
              <w:spacing w:after="0"/>
              <w:rPr>
                <w:sz w:val="20"/>
                <w:szCs w:val="20"/>
                <w:color w:val="auto"/>
              </w:rPr>
            </w:pPr>
            <w:r>
              <w:rPr>
                <w:rFonts w:ascii="Arial" w:cs="Arial" w:eastAsia="Arial" w:hAnsi="Arial"/>
                <w:sz w:val="20"/>
                <w:szCs w:val="20"/>
                <w:b w:val="1"/>
                <w:bCs w:val="1"/>
                <w:color w:val="auto"/>
              </w:rPr>
              <w:t>Assets</w:t>
            </w: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1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0"/>
                <w:szCs w:val="20"/>
                <w:color w:val="auto"/>
              </w:rPr>
            </w:pPr>
            <w:r>
              <w:rPr>
                <w:rFonts w:ascii="Arial" w:cs="Arial" w:eastAsia="Arial" w:hAnsi="Arial"/>
                <w:sz w:val="20"/>
                <w:szCs w:val="20"/>
                <w:color w:val="auto"/>
              </w:rPr>
              <w:t>Cash</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2"/>
              <w:spacing w:after="0"/>
              <w:rPr>
                <w:sz w:val="20"/>
                <w:szCs w:val="20"/>
                <w:color w:val="auto"/>
              </w:rPr>
            </w:pPr>
            <w:r>
              <w:rPr>
                <w:rFonts w:ascii="Arial" w:cs="Arial" w:eastAsia="Arial" w:hAnsi="Arial"/>
                <w:sz w:val="18"/>
                <w:szCs w:val="18"/>
                <w:color w:val="auto"/>
              </w:rPr>
              <w:t>4,252,919</w:t>
            </w:r>
          </w:p>
        </w:tc>
        <w:tc>
          <w:tcPr>
            <w:tcW w:w="30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1"/>
        </w:trPr>
        <w:tc>
          <w:tcPr>
            <w:tcW w:w="5140" w:type="dxa"/>
            <w:vAlign w:val="bottom"/>
          </w:tcPr>
          <w:p>
            <w:pPr>
              <w:spacing w:after="0"/>
              <w:rPr>
                <w:sz w:val="20"/>
                <w:szCs w:val="20"/>
                <w:color w:val="auto"/>
              </w:rPr>
            </w:pPr>
            <w:r>
              <w:rPr>
                <w:rFonts w:ascii="Arial" w:cs="Arial" w:eastAsia="Arial" w:hAnsi="Arial"/>
                <w:sz w:val="20"/>
                <w:szCs w:val="20"/>
                <w:color w:val="auto"/>
              </w:rPr>
              <w:t>Investments: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40" w:type="dxa"/>
            <w:vAlign w:val="bottom"/>
          </w:tcPr>
          <w:p>
            <w:pPr>
              <w:ind w:left="160"/>
              <w:spacing w:after="0"/>
              <w:rPr>
                <w:sz w:val="20"/>
                <w:szCs w:val="20"/>
                <w:color w:val="auto"/>
              </w:rPr>
            </w:pPr>
            <w:r>
              <w:rPr>
                <w:rFonts w:ascii="Arial" w:cs="Arial" w:eastAsia="Arial" w:hAnsi="Arial"/>
                <w:sz w:val="20"/>
                <w:szCs w:val="20"/>
                <w:color w:val="auto"/>
              </w:rPr>
              <w:t>Interest in net assets of The Lilly</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40" w:type="dxa"/>
            <w:vAlign w:val="bottom"/>
          </w:tcPr>
          <w:p>
            <w:pPr>
              <w:ind w:left="300"/>
              <w:spacing w:after="0"/>
              <w:rPr>
                <w:sz w:val="20"/>
                <w:szCs w:val="20"/>
                <w:color w:val="auto"/>
              </w:rPr>
            </w:pPr>
            <w:r>
              <w:rPr>
                <w:rFonts w:ascii="Arial" w:cs="Arial" w:eastAsia="Arial" w:hAnsi="Arial"/>
                <w:sz w:val="20"/>
                <w:szCs w:val="20"/>
                <w:color w:val="auto"/>
              </w:rPr>
              <w:t>Employee Savings Plan Master Trust</w:t>
            </w:r>
          </w:p>
        </w:tc>
        <w:tc>
          <w:tcPr>
            <w:tcW w:w="220" w:type="dxa"/>
            <w:vAlign w:val="bottom"/>
          </w:tcPr>
          <w:p>
            <w:pPr>
              <w:spacing w:after="0"/>
              <w:rPr>
                <w:sz w:val="24"/>
                <w:szCs w:val="24"/>
                <w:color w:val="auto"/>
              </w:rPr>
            </w:pPr>
          </w:p>
        </w:tc>
        <w:tc>
          <w:tcPr>
            <w:tcW w:w="2060" w:type="dxa"/>
            <w:vAlign w:val="bottom"/>
          </w:tcPr>
          <w:p>
            <w:pPr>
              <w:jc w:val="right"/>
              <w:ind w:right="2"/>
              <w:spacing w:after="0"/>
              <w:rPr>
                <w:sz w:val="20"/>
                <w:szCs w:val="20"/>
                <w:color w:val="auto"/>
              </w:rPr>
            </w:pPr>
            <w:r>
              <w:rPr>
                <w:rFonts w:ascii="Arial" w:cs="Arial" w:eastAsia="Arial" w:hAnsi="Arial"/>
                <w:sz w:val="20"/>
                <w:szCs w:val="20"/>
                <w:color w:val="auto"/>
              </w:rPr>
              <w:t>6,015,685,887</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right"/>
              <w:ind w:right="2"/>
              <w:spacing w:after="0"/>
              <w:rPr>
                <w:sz w:val="20"/>
                <w:szCs w:val="20"/>
                <w:color w:val="auto"/>
              </w:rPr>
            </w:pPr>
            <w:r>
              <w:rPr>
                <w:rFonts w:ascii="Arial" w:cs="Arial" w:eastAsia="Arial" w:hAnsi="Arial"/>
                <w:sz w:val="20"/>
                <w:szCs w:val="20"/>
                <w:color w:val="auto"/>
              </w:rPr>
              <w:t>172,165,827</w:t>
            </w:r>
          </w:p>
        </w:tc>
        <w:tc>
          <w:tcPr>
            <w:tcW w:w="0" w:type="dxa"/>
            <w:vAlign w:val="bottom"/>
          </w:tcPr>
          <w:p>
            <w:pPr>
              <w:spacing w:after="0"/>
              <w:rPr>
                <w:sz w:val="1"/>
                <w:szCs w:val="1"/>
                <w:color w:val="auto"/>
              </w:rPr>
            </w:pPr>
          </w:p>
        </w:tc>
      </w:tr>
      <w:tr>
        <w:trPr>
          <w:trHeight w:val="608"/>
        </w:trPr>
        <w:tc>
          <w:tcPr>
            <w:tcW w:w="5140" w:type="dxa"/>
            <w:vAlign w:val="bottom"/>
          </w:tcPr>
          <w:p>
            <w:pPr>
              <w:spacing w:after="0"/>
              <w:rPr>
                <w:sz w:val="20"/>
                <w:szCs w:val="20"/>
                <w:color w:val="auto"/>
              </w:rPr>
            </w:pPr>
            <w:r>
              <w:rPr>
                <w:rFonts w:ascii="Arial" w:cs="Arial" w:eastAsia="Arial" w:hAnsi="Arial"/>
                <w:sz w:val="20"/>
                <w:szCs w:val="20"/>
                <w:color w:val="auto"/>
              </w:rPr>
              <w:t>Receivables: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40" w:type="dxa"/>
            <w:vAlign w:val="bottom"/>
          </w:tcPr>
          <w:p>
            <w:pPr>
              <w:ind w:left="160"/>
              <w:spacing w:after="0"/>
              <w:rPr>
                <w:sz w:val="20"/>
                <w:szCs w:val="20"/>
                <w:color w:val="auto"/>
              </w:rPr>
            </w:pPr>
            <w:r>
              <w:rPr>
                <w:rFonts w:ascii="Arial" w:cs="Arial" w:eastAsia="Arial" w:hAnsi="Arial"/>
                <w:sz w:val="20"/>
                <w:szCs w:val="20"/>
                <w:color w:val="auto"/>
              </w:rPr>
              <w:t>Employer contribution</w:t>
            </w:r>
          </w:p>
        </w:tc>
        <w:tc>
          <w:tcPr>
            <w:tcW w:w="220" w:type="dxa"/>
            <w:vAlign w:val="bottom"/>
          </w:tcPr>
          <w:p>
            <w:pPr>
              <w:spacing w:after="0"/>
              <w:rPr>
                <w:sz w:val="24"/>
                <w:szCs w:val="24"/>
                <w:color w:val="auto"/>
              </w:rPr>
            </w:pPr>
          </w:p>
        </w:tc>
        <w:tc>
          <w:tcPr>
            <w:tcW w:w="2060" w:type="dxa"/>
            <w:vAlign w:val="bottom"/>
          </w:tcPr>
          <w:p>
            <w:pPr>
              <w:jc w:val="right"/>
              <w:ind w:right="2"/>
              <w:spacing w:after="0"/>
              <w:rPr>
                <w:sz w:val="20"/>
                <w:szCs w:val="20"/>
                <w:color w:val="auto"/>
              </w:rPr>
            </w:pPr>
            <w:r>
              <w:rPr>
                <w:rFonts w:ascii="Arial" w:cs="Arial" w:eastAsia="Arial" w:hAnsi="Arial"/>
                <w:sz w:val="20"/>
                <w:szCs w:val="20"/>
                <w:color w:val="auto"/>
              </w:rPr>
              <w:t>9,597,862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right"/>
              <w:ind w:right="2"/>
              <w:spacing w:after="0"/>
              <w:rPr>
                <w:sz w:val="20"/>
                <w:szCs w:val="20"/>
                <w:color w:val="auto"/>
              </w:rPr>
            </w:pPr>
            <w:r>
              <w:rPr>
                <w:rFonts w:ascii="Arial" w:cs="Arial" w:eastAsia="Arial" w:hAnsi="Arial"/>
                <w:sz w:val="20"/>
                <w:szCs w:val="20"/>
                <w:color w:val="auto"/>
              </w:rPr>
              <w:t>372,497</w:t>
            </w:r>
          </w:p>
        </w:tc>
        <w:tc>
          <w:tcPr>
            <w:tcW w:w="0" w:type="dxa"/>
            <w:vAlign w:val="bottom"/>
          </w:tcPr>
          <w:p>
            <w:pPr>
              <w:spacing w:after="0"/>
              <w:rPr>
                <w:sz w:val="1"/>
                <w:szCs w:val="1"/>
                <w:color w:val="auto"/>
              </w:rPr>
            </w:pPr>
          </w:p>
        </w:tc>
      </w:tr>
      <w:tr>
        <w:trPr>
          <w:trHeight w:val="284"/>
        </w:trPr>
        <w:tc>
          <w:tcPr>
            <w:tcW w:w="5140" w:type="dxa"/>
            <w:vAlign w:val="bottom"/>
          </w:tcPr>
          <w:p>
            <w:pPr>
              <w:ind w:left="160"/>
              <w:spacing w:after="0"/>
              <w:rPr>
                <w:sz w:val="20"/>
                <w:szCs w:val="20"/>
                <w:color w:val="auto"/>
              </w:rPr>
            </w:pPr>
            <w:r>
              <w:rPr>
                <w:rFonts w:ascii="Arial" w:cs="Arial" w:eastAsia="Arial" w:hAnsi="Arial"/>
                <w:sz w:val="20"/>
                <w:szCs w:val="20"/>
                <w:color w:val="auto"/>
              </w:rPr>
              <w:t>Notes receivable from participants</w:t>
            </w:r>
          </w:p>
        </w:tc>
        <w:tc>
          <w:tcPr>
            <w:tcW w:w="220" w:type="dxa"/>
            <w:vAlign w:val="bottom"/>
          </w:tcPr>
          <w:p>
            <w:pPr>
              <w:spacing w:after="0"/>
              <w:rPr>
                <w:sz w:val="24"/>
                <w:szCs w:val="24"/>
                <w:color w:val="auto"/>
              </w:rPr>
            </w:pPr>
          </w:p>
        </w:tc>
        <w:tc>
          <w:tcPr>
            <w:tcW w:w="2060" w:type="dxa"/>
            <w:vAlign w:val="bottom"/>
          </w:tcPr>
          <w:p>
            <w:pPr>
              <w:jc w:val="right"/>
              <w:ind w:right="2"/>
              <w:spacing w:after="0"/>
              <w:rPr>
                <w:sz w:val="20"/>
                <w:szCs w:val="20"/>
                <w:color w:val="auto"/>
              </w:rPr>
            </w:pPr>
            <w:r>
              <w:rPr>
                <w:rFonts w:ascii="Arial" w:cs="Arial" w:eastAsia="Arial" w:hAnsi="Arial"/>
                <w:sz w:val="20"/>
                <w:szCs w:val="20"/>
                <w:color w:val="auto"/>
              </w:rPr>
              <w:t>35,324,052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right"/>
              <w:ind w:right="2"/>
              <w:spacing w:after="0"/>
              <w:rPr>
                <w:sz w:val="20"/>
                <w:szCs w:val="20"/>
                <w:color w:val="auto"/>
              </w:rPr>
            </w:pPr>
            <w:r>
              <w:rPr>
                <w:rFonts w:ascii="Arial" w:cs="Arial" w:eastAsia="Arial" w:hAnsi="Arial"/>
                <w:sz w:val="20"/>
                <w:szCs w:val="20"/>
                <w:color w:val="auto"/>
              </w:rPr>
              <w:t>3,041,475</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140" w:type="dxa"/>
            <w:vAlign w:val="bottom"/>
          </w:tcPr>
          <w:p>
            <w:pPr>
              <w:spacing w:after="0"/>
              <w:rPr>
                <w:sz w:val="20"/>
                <w:szCs w:val="20"/>
                <w:color w:val="auto"/>
              </w:rPr>
            </w:pPr>
            <w:r>
              <w:rPr>
                <w:rFonts w:ascii="Arial" w:cs="Arial" w:eastAsia="Arial" w:hAnsi="Arial"/>
                <w:sz w:val="20"/>
                <w:szCs w:val="20"/>
                <w:color w:val="auto"/>
              </w:rPr>
              <w:t>Total Receivables</w:t>
            </w:r>
          </w:p>
        </w:tc>
        <w:tc>
          <w:tcPr>
            <w:tcW w:w="220" w:type="dxa"/>
            <w:vAlign w:val="bottom"/>
          </w:tcPr>
          <w:p>
            <w:pPr>
              <w:spacing w:after="0"/>
              <w:rPr>
                <w:sz w:val="22"/>
                <w:szCs w:val="22"/>
                <w:color w:val="auto"/>
              </w:rPr>
            </w:pPr>
          </w:p>
        </w:tc>
        <w:tc>
          <w:tcPr>
            <w:tcW w:w="2060" w:type="dxa"/>
            <w:vAlign w:val="bottom"/>
          </w:tcPr>
          <w:p>
            <w:pPr>
              <w:jc w:val="right"/>
              <w:ind w:right="2"/>
              <w:spacing w:after="0"/>
              <w:rPr>
                <w:sz w:val="20"/>
                <w:szCs w:val="20"/>
                <w:color w:val="auto"/>
              </w:rPr>
            </w:pPr>
            <w:r>
              <w:rPr>
                <w:rFonts w:ascii="Arial" w:cs="Arial" w:eastAsia="Arial" w:hAnsi="Arial"/>
                <w:sz w:val="20"/>
                <w:szCs w:val="20"/>
                <w:color w:val="auto"/>
              </w:rPr>
              <w:t>44,921,914</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20" w:type="dxa"/>
            <w:vAlign w:val="bottom"/>
          </w:tcPr>
          <w:p>
            <w:pPr>
              <w:jc w:val="right"/>
              <w:ind w:right="2"/>
              <w:spacing w:after="0"/>
              <w:rPr>
                <w:sz w:val="20"/>
                <w:szCs w:val="20"/>
                <w:color w:val="auto"/>
              </w:rPr>
            </w:pPr>
            <w:r>
              <w:rPr>
                <w:rFonts w:ascii="Arial" w:cs="Arial" w:eastAsia="Arial" w:hAnsi="Arial"/>
                <w:sz w:val="20"/>
                <w:szCs w:val="20"/>
                <w:color w:val="auto"/>
              </w:rPr>
              <w:t>3,413,972</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21"/>
        </w:trPr>
        <w:tc>
          <w:tcPr>
            <w:tcW w:w="5140" w:type="dxa"/>
            <w:vAlign w:val="bottom"/>
          </w:tcPr>
          <w:p>
            <w:pPr>
              <w:spacing w:after="0"/>
              <w:rPr>
                <w:sz w:val="20"/>
                <w:szCs w:val="20"/>
                <w:color w:val="auto"/>
              </w:rPr>
            </w:pPr>
            <w:r>
              <w:rPr>
                <w:rFonts w:ascii="Arial" w:cs="Arial" w:eastAsia="Arial" w:hAnsi="Arial"/>
                <w:sz w:val="20"/>
                <w:szCs w:val="20"/>
                <w:color w:val="auto"/>
              </w:rPr>
              <w:t>Net assets available for benefits</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20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6,064,860,720</w:t>
            </w:r>
          </w:p>
        </w:tc>
        <w:tc>
          <w:tcPr>
            <w:tcW w:w="300" w:type="dxa"/>
            <w:vAlign w:val="bottom"/>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175,579,799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00"/>
          </w:cols>
          <w:pgMar w:left="600" w:top="1440" w:right="129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5"/>
          <w:szCs w:val="25"/>
          <w:color w:val="auto"/>
        </w:rPr>
        <w:t>The Lilly Employee 401(k) Plan and</w:t>
      </w:r>
    </w:p>
    <w:p>
      <w:pPr>
        <w:spacing w:after="0" w:line="64" w:lineRule="exact"/>
        <w:rPr>
          <w:sz w:val="20"/>
          <w:szCs w:val="20"/>
          <w:color w:val="auto"/>
        </w:rPr>
      </w:pPr>
    </w:p>
    <w:p>
      <w:pPr>
        <w:jc w:val="center"/>
        <w:ind w:right="40"/>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25"/>
          <w:szCs w:val="25"/>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80" w:type="dxa"/>
            <w:vAlign w:val="bottom"/>
            <w:gridSpan w:val="4"/>
          </w:tcPr>
          <w:p>
            <w:pPr>
              <w:jc w:val="right"/>
              <w:ind w:right="621"/>
              <w:spacing w:after="0"/>
              <w:rPr>
                <w:sz w:val="20"/>
                <w:szCs w:val="20"/>
                <w:color w:val="auto"/>
              </w:rPr>
            </w:pPr>
            <w:r>
              <w:rPr>
                <w:rFonts w:ascii="Arial" w:cs="Arial" w:eastAsia="Arial" w:hAnsi="Arial"/>
                <w:sz w:val="20"/>
                <w:szCs w:val="20"/>
                <w:b w:val="1"/>
                <w:bCs w:val="1"/>
                <w:color w:val="auto"/>
              </w:rPr>
              <w:t>Year Ended December 31, 2017</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7"/>
        </w:trPr>
        <w:tc>
          <w:tcPr>
            <w:tcW w:w="5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center"/>
              <w:ind w:right="61"/>
              <w:spacing w:after="0"/>
              <w:rPr>
                <w:sz w:val="20"/>
                <w:szCs w:val="20"/>
                <w:color w:val="auto"/>
              </w:rPr>
            </w:pPr>
            <w:r>
              <w:rPr>
                <w:rFonts w:ascii="Arial" w:cs="Arial" w:eastAsia="Arial" w:hAnsi="Arial"/>
                <w:sz w:val="20"/>
                <w:szCs w:val="20"/>
                <w:b w:val="1"/>
                <w:bCs w:val="1"/>
                <w:color w:val="auto"/>
                <w:w w:val="88"/>
              </w:rPr>
              <w:t>The Savings Plan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center"/>
              <w:ind w:right="61"/>
              <w:spacing w:after="0"/>
              <w:rPr>
                <w:sz w:val="20"/>
                <w:szCs w:val="20"/>
                <w:color w:val="auto"/>
              </w:rPr>
            </w:pPr>
            <w:r>
              <w:rPr>
                <w:rFonts w:ascii="Arial" w:cs="Arial" w:eastAsia="Arial" w:hAnsi="Arial"/>
                <w:sz w:val="20"/>
                <w:szCs w:val="20"/>
                <w:b w:val="1"/>
                <w:bCs w:val="1"/>
                <w:color w:val="auto"/>
                <w:w w:val="96"/>
              </w:rPr>
              <w:t>for Lilly</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2"/>
          </w:tcPr>
          <w:p>
            <w:pPr>
              <w:jc w:val="center"/>
              <w:ind w:right="540"/>
              <w:spacing w:after="0"/>
              <w:rPr>
                <w:sz w:val="20"/>
                <w:szCs w:val="20"/>
                <w:color w:val="auto"/>
              </w:rPr>
            </w:pPr>
            <w:r>
              <w:rPr>
                <w:rFonts w:ascii="Arial" w:cs="Arial" w:eastAsia="Arial" w:hAnsi="Arial"/>
                <w:sz w:val="20"/>
                <w:szCs w:val="20"/>
                <w:b w:val="1"/>
                <w:bCs w:val="1"/>
                <w:color w:val="auto"/>
                <w:w w:val="91"/>
              </w:rPr>
              <w:t>The Lilly Employee</w:t>
            </w:r>
          </w:p>
        </w:tc>
        <w:tc>
          <w:tcPr>
            <w:tcW w:w="180" w:type="dxa"/>
            <w:vAlign w:val="bottom"/>
          </w:tcPr>
          <w:p>
            <w:pPr>
              <w:spacing w:after="0"/>
              <w:rPr>
                <w:sz w:val="19"/>
                <w:szCs w:val="19"/>
                <w:color w:val="auto"/>
              </w:rPr>
            </w:pPr>
          </w:p>
        </w:tc>
        <w:tc>
          <w:tcPr>
            <w:tcW w:w="2100" w:type="dxa"/>
            <w:vAlign w:val="bottom"/>
          </w:tcPr>
          <w:p>
            <w:pPr>
              <w:jc w:val="center"/>
              <w:ind w:right="61"/>
              <w:spacing w:after="0"/>
              <w:rPr>
                <w:sz w:val="20"/>
                <w:szCs w:val="20"/>
                <w:color w:val="auto"/>
              </w:rPr>
            </w:pPr>
            <w:r>
              <w:rPr>
                <w:rFonts w:ascii="Arial" w:cs="Arial" w:eastAsia="Arial" w:hAnsi="Arial"/>
                <w:sz w:val="20"/>
                <w:szCs w:val="20"/>
                <w:b w:val="1"/>
                <w:bCs w:val="1"/>
                <w:color w:val="auto"/>
                <w:w w:val="89"/>
              </w:rPr>
              <w:t>Affiliate Employees in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0" w:type="dxa"/>
            <w:vAlign w:val="bottom"/>
            <w:gridSpan w:val="2"/>
          </w:tcPr>
          <w:p>
            <w:pPr>
              <w:jc w:val="center"/>
              <w:ind w:right="540"/>
              <w:spacing w:after="0"/>
              <w:rPr>
                <w:sz w:val="20"/>
                <w:szCs w:val="20"/>
                <w:color w:val="auto"/>
              </w:rPr>
            </w:pPr>
            <w:r>
              <w:rPr>
                <w:rFonts w:ascii="Arial" w:cs="Arial" w:eastAsia="Arial" w:hAnsi="Arial"/>
                <w:sz w:val="20"/>
                <w:szCs w:val="20"/>
                <w:b w:val="1"/>
                <w:bCs w:val="1"/>
                <w:color w:val="auto"/>
                <w:w w:val="92"/>
              </w:rPr>
              <w:t>401(k) Plan</w:t>
            </w:r>
          </w:p>
        </w:tc>
        <w:tc>
          <w:tcPr>
            <w:tcW w:w="180" w:type="dxa"/>
            <w:vAlign w:val="bottom"/>
          </w:tcPr>
          <w:p>
            <w:pPr>
              <w:spacing w:after="0"/>
              <w:rPr>
                <w:sz w:val="22"/>
                <w:szCs w:val="22"/>
                <w:color w:val="auto"/>
              </w:rPr>
            </w:pPr>
          </w:p>
        </w:tc>
        <w:tc>
          <w:tcPr>
            <w:tcW w:w="2100" w:type="dxa"/>
            <w:vAlign w:val="bottom"/>
          </w:tcPr>
          <w:p>
            <w:pPr>
              <w:jc w:val="center"/>
              <w:ind w:right="61"/>
              <w:spacing w:after="0"/>
              <w:rPr>
                <w:sz w:val="20"/>
                <w:szCs w:val="20"/>
                <w:color w:val="auto"/>
              </w:rPr>
            </w:pPr>
            <w:r>
              <w:rPr>
                <w:rFonts w:ascii="Arial" w:cs="Arial" w:eastAsia="Arial" w:hAnsi="Arial"/>
                <w:sz w:val="20"/>
                <w:szCs w:val="20"/>
                <w:b w:val="1"/>
                <w:bCs w:val="1"/>
                <w:color w:val="auto"/>
                <w:w w:val="90"/>
              </w:rPr>
              <w:t>Puerto Rico</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spacing w:after="0"/>
              <w:rPr>
                <w:sz w:val="20"/>
                <w:szCs w:val="20"/>
                <w:color w:val="auto"/>
              </w:rPr>
            </w:pPr>
            <w:r>
              <w:rPr>
                <w:rFonts w:ascii="Arial" w:cs="Arial" w:eastAsia="Arial" w:hAnsi="Arial"/>
                <w:sz w:val="20"/>
                <w:szCs w:val="20"/>
                <w:color w:val="auto"/>
              </w:rPr>
              <w:t>Additions:</w:t>
            </w: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6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60"/>
              <w:spacing w:after="0"/>
              <w:rPr>
                <w:sz w:val="20"/>
                <w:szCs w:val="20"/>
                <w:color w:val="auto"/>
              </w:rPr>
            </w:pPr>
            <w:r>
              <w:rPr>
                <w:rFonts w:ascii="Arial" w:cs="Arial" w:eastAsia="Arial" w:hAnsi="Arial"/>
                <w:sz w:val="20"/>
                <w:szCs w:val="20"/>
                <w:color w:val="auto"/>
              </w:rPr>
              <w:t>Contributions: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320"/>
              <w:spacing w:after="0"/>
              <w:rPr>
                <w:sz w:val="20"/>
                <w:szCs w:val="20"/>
                <w:color w:val="auto"/>
              </w:rPr>
            </w:pPr>
            <w:r>
              <w:rPr>
                <w:rFonts w:ascii="Arial" w:cs="Arial" w:eastAsia="Arial" w:hAnsi="Arial"/>
                <w:sz w:val="20"/>
                <w:szCs w:val="20"/>
                <w:color w:val="auto"/>
              </w:rPr>
              <w:t>Participants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256,600,220</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7,010,281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320"/>
              <w:spacing w:after="0"/>
              <w:rPr>
                <w:sz w:val="20"/>
                <w:szCs w:val="20"/>
                <w:color w:val="auto"/>
              </w:rPr>
            </w:pPr>
            <w:r>
              <w:rPr>
                <w:rFonts w:ascii="Arial" w:cs="Arial" w:eastAsia="Arial" w:hAnsi="Arial"/>
                <w:sz w:val="20"/>
                <w:szCs w:val="20"/>
                <w:color w:val="auto"/>
              </w:rPr>
              <w:t>Employer</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117,660,434</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4,041,851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60"/>
              <w:spacing w:after="0"/>
              <w:rPr>
                <w:sz w:val="20"/>
                <w:szCs w:val="20"/>
                <w:color w:val="auto"/>
              </w:rPr>
            </w:pPr>
            <w:r>
              <w:rPr>
                <w:rFonts w:ascii="Arial" w:cs="Arial" w:eastAsia="Arial" w:hAnsi="Arial"/>
                <w:sz w:val="20"/>
                <w:szCs w:val="20"/>
                <w:color w:val="auto"/>
              </w:rPr>
              <w:t>Interest income on notes receivable from participants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1,466,799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131,140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60"/>
              <w:spacing w:after="0"/>
              <w:rPr>
                <w:sz w:val="20"/>
                <w:szCs w:val="20"/>
                <w:color w:val="auto"/>
              </w:rPr>
            </w:pPr>
            <w:r>
              <w:rPr>
                <w:rFonts w:ascii="Arial" w:cs="Arial" w:eastAsia="Arial" w:hAnsi="Arial"/>
                <w:sz w:val="20"/>
                <w:szCs w:val="20"/>
                <w:color w:val="auto"/>
              </w:rPr>
              <w:t>Interest in The Lilly Employee Savings Plan</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320"/>
              <w:spacing w:after="0"/>
              <w:rPr>
                <w:sz w:val="20"/>
                <w:szCs w:val="20"/>
                <w:color w:val="auto"/>
              </w:rPr>
            </w:pPr>
            <w:r>
              <w:rPr>
                <w:rFonts w:ascii="Arial" w:cs="Arial" w:eastAsia="Arial" w:hAnsi="Arial"/>
                <w:sz w:val="20"/>
                <w:szCs w:val="20"/>
                <w:color w:val="auto"/>
              </w:rPr>
              <w:t>Master Trust investment income, net of</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320"/>
              <w:spacing w:after="0"/>
              <w:rPr>
                <w:sz w:val="20"/>
                <w:szCs w:val="20"/>
                <w:color w:val="auto"/>
              </w:rPr>
            </w:pPr>
            <w:r>
              <w:rPr>
                <w:rFonts w:ascii="Arial" w:cs="Arial" w:eastAsia="Arial" w:hAnsi="Arial"/>
                <w:sz w:val="20"/>
                <w:szCs w:val="20"/>
                <w:color w:val="auto"/>
              </w:rPr>
              <w:t>administrative fees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959,143,523</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24,645,301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40" w:type="dxa"/>
            <w:vAlign w:val="bottom"/>
          </w:tcPr>
          <w:p>
            <w:pPr>
              <w:spacing w:after="0"/>
              <w:rPr>
                <w:sz w:val="20"/>
                <w:szCs w:val="20"/>
                <w:color w:val="auto"/>
              </w:rPr>
            </w:pPr>
            <w:r>
              <w:rPr>
                <w:rFonts w:ascii="Arial" w:cs="Arial" w:eastAsia="Arial" w:hAnsi="Arial"/>
                <w:sz w:val="20"/>
                <w:szCs w:val="20"/>
                <w:color w:val="auto"/>
              </w:rPr>
              <w:t>Total Additions</w:t>
            </w:r>
          </w:p>
        </w:tc>
        <w:tc>
          <w:tcPr>
            <w:tcW w:w="220" w:type="dxa"/>
            <w:vAlign w:val="bottom"/>
          </w:tcPr>
          <w:p>
            <w:pPr>
              <w:spacing w:after="0"/>
              <w:rPr>
                <w:sz w:val="22"/>
                <w:szCs w:val="22"/>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1,334,870,976</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35,828,573</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8"/>
        </w:trPr>
        <w:tc>
          <w:tcPr>
            <w:tcW w:w="5640" w:type="dxa"/>
            <w:vAlign w:val="bottom"/>
          </w:tcPr>
          <w:p>
            <w:pPr>
              <w:spacing w:after="0"/>
              <w:rPr>
                <w:sz w:val="20"/>
                <w:szCs w:val="20"/>
                <w:color w:val="auto"/>
              </w:rPr>
            </w:pPr>
            <w:r>
              <w:rPr>
                <w:rFonts w:ascii="Arial" w:cs="Arial" w:eastAsia="Arial" w:hAnsi="Arial"/>
                <w:sz w:val="20"/>
                <w:szCs w:val="20"/>
                <w:color w:val="auto"/>
              </w:rPr>
              <w:t>Deductions: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60"/>
              <w:spacing w:after="0"/>
              <w:rPr>
                <w:sz w:val="20"/>
                <w:szCs w:val="20"/>
                <w:color w:val="auto"/>
              </w:rPr>
            </w:pPr>
            <w:r>
              <w:rPr>
                <w:rFonts w:ascii="Arial" w:cs="Arial" w:eastAsia="Arial" w:hAnsi="Arial"/>
                <w:sz w:val="20"/>
                <w:szCs w:val="20"/>
                <w:color w:val="auto"/>
              </w:rPr>
              <w:t>Participant withdrawals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404,727,881</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8,466,270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40"/>
              <w:spacing w:after="0"/>
              <w:rPr>
                <w:sz w:val="20"/>
                <w:szCs w:val="20"/>
                <w:color w:val="auto"/>
              </w:rPr>
            </w:pPr>
            <w:r>
              <w:rPr>
                <w:rFonts w:ascii="Arial" w:cs="Arial" w:eastAsia="Arial" w:hAnsi="Arial"/>
                <w:sz w:val="20"/>
                <w:szCs w:val="20"/>
                <w:color w:val="auto"/>
              </w:rPr>
              <w:t>Administrative expenses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3,860,048</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198,160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40" w:type="dxa"/>
            <w:vAlign w:val="bottom"/>
          </w:tcPr>
          <w:p>
            <w:pPr>
              <w:spacing w:after="0"/>
              <w:rPr>
                <w:sz w:val="20"/>
                <w:szCs w:val="20"/>
                <w:color w:val="auto"/>
              </w:rPr>
            </w:pPr>
            <w:r>
              <w:rPr>
                <w:rFonts w:ascii="Arial" w:cs="Arial" w:eastAsia="Arial" w:hAnsi="Arial"/>
                <w:sz w:val="20"/>
                <w:szCs w:val="20"/>
                <w:color w:val="auto"/>
              </w:rPr>
              <w:t>Total Deductions</w:t>
            </w:r>
          </w:p>
        </w:tc>
        <w:tc>
          <w:tcPr>
            <w:tcW w:w="220" w:type="dxa"/>
            <w:vAlign w:val="bottom"/>
          </w:tcPr>
          <w:p>
            <w:pPr>
              <w:spacing w:after="0"/>
              <w:rPr>
                <w:sz w:val="22"/>
                <w:szCs w:val="22"/>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408,587,929</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8,664,430</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78"/>
        </w:trPr>
        <w:tc>
          <w:tcPr>
            <w:tcW w:w="5640" w:type="dxa"/>
            <w:vAlign w:val="bottom"/>
          </w:tcPr>
          <w:p>
            <w:pPr>
              <w:spacing w:after="0"/>
              <w:rPr>
                <w:sz w:val="20"/>
                <w:szCs w:val="20"/>
                <w:color w:val="auto"/>
              </w:rPr>
            </w:pPr>
            <w:r>
              <w:rPr>
                <w:rFonts w:ascii="Arial" w:cs="Arial" w:eastAsia="Arial" w:hAnsi="Arial"/>
                <w:sz w:val="20"/>
                <w:szCs w:val="20"/>
                <w:color w:val="auto"/>
              </w:rPr>
              <w:t>Net increase</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926,283,047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27,164,143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5640" w:type="dxa"/>
            <w:vAlign w:val="bottom"/>
          </w:tcPr>
          <w:p>
            <w:pPr>
              <w:spacing w:after="0"/>
              <w:rPr>
                <w:sz w:val="20"/>
                <w:szCs w:val="20"/>
                <w:color w:val="auto"/>
              </w:rPr>
            </w:pPr>
            <w:r>
              <w:rPr>
                <w:rFonts w:ascii="Arial" w:cs="Arial" w:eastAsia="Arial" w:hAnsi="Arial"/>
                <w:sz w:val="20"/>
                <w:szCs w:val="20"/>
                <w:color w:val="auto"/>
              </w:rPr>
              <w:t>Net assets available for benefits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60"/>
              <w:spacing w:after="0"/>
              <w:rPr>
                <w:sz w:val="20"/>
                <w:szCs w:val="20"/>
                <w:color w:val="auto"/>
              </w:rPr>
            </w:pPr>
            <w:r>
              <w:rPr>
                <w:rFonts w:ascii="Arial" w:cs="Arial" w:eastAsia="Arial" w:hAnsi="Arial"/>
                <w:sz w:val="20"/>
                <w:szCs w:val="20"/>
                <w:color w:val="auto"/>
              </w:rPr>
              <w:t>at beginning of year</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6,064,860,720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175,579,799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spacing w:after="0"/>
              <w:rPr>
                <w:sz w:val="20"/>
                <w:szCs w:val="20"/>
                <w:color w:val="auto"/>
              </w:rPr>
            </w:pPr>
            <w:r>
              <w:rPr>
                <w:rFonts w:ascii="Arial" w:cs="Arial" w:eastAsia="Arial" w:hAnsi="Arial"/>
                <w:sz w:val="20"/>
                <w:szCs w:val="20"/>
                <w:color w:val="auto"/>
              </w:rPr>
              <w:t>Net assets available for benefits</w:t>
            </w: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78"/>
        </w:trPr>
        <w:tc>
          <w:tcPr>
            <w:tcW w:w="5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640" w:type="dxa"/>
            <w:vAlign w:val="bottom"/>
          </w:tcPr>
          <w:p>
            <w:pPr>
              <w:ind w:left="200"/>
              <w:spacing w:after="0"/>
              <w:rPr>
                <w:sz w:val="20"/>
                <w:szCs w:val="20"/>
                <w:color w:val="auto"/>
              </w:rPr>
            </w:pPr>
            <w:r>
              <w:rPr>
                <w:rFonts w:ascii="Arial" w:cs="Arial" w:eastAsia="Arial" w:hAnsi="Arial"/>
                <w:sz w:val="20"/>
                <w:szCs w:val="20"/>
                <w:color w:val="auto"/>
              </w:rPr>
              <w:t>at end of year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6,991,143,767</w:t>
            </w:r>
          </w:p>
        </w:tc>
        <w:tc>
          <w:tcPr>
            <w:tcW w:w="34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202,743,942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notes to financial statements.</w:t>
      </w: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300" w:top="852"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2017 and 2016</w:t>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 1 - Description of the Plans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accompanying financial statements comprise the employee savings plans of Eli Lilly and Company (the Company) and certain of the Company’s U.S. and Puerto Rico affiliates that participate as of the end of the stated period in The Lilly Employee Savings Plan Master Trust (the Master Trust).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General</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Lilly Employee 401(k) Plan (Plan No. 002) (the 401(k) Plan) was established for the benefit of eligible employees of Eli Lilly and Company and participating subsidiaries and affiliated companies. The Savings Plan for Lilly Affiliate Employees in Puerto Rico (Plan No. 004) (the Puerto Rico Plan) was established for the benefit of resident eligible employees of, and certain employees within, the Commonwealth of Puerto Rico.</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following description of the 401(k) Plan and the Puerto Rico Plan (collectively, the Plans) provides only general information. Special provisions may apply to certain employees at the Fort Dodge, Iowa site. Participants should refer to the applicable plan documents and the Plans’ summary plan descriptions for more complete information.</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Alight Solutions, LLC (f/k/a Hewitt Associates, LLC) is the recordkeeper of the Plans. The Company is the plan sponsor for the 401(k) Plan, and Lilly del Caribe, Inc. is the plan sponsor for the Puerto Rico Plan. The Employee Benefits Committee of the Company is the plan administrator for the Plans.</w:t>
      </w:r>
    </w:p>
    <w:p>
      <w:pPr>
        <w:spacing w:after="0" w:line="21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Full-time employees become eligible for participation in the Plans on the first day of employment. Seasonal, part-time, or other special-status employees must complete 1,000 hours of service within a 12-consecutive-month period to be eligible. The Plans allow for participant contributions from 1% to 50% of base compensation up to applicable regulatory limits. Participants have the option of enrolling in a program to increase their contribution rates automatically each year. Matching contributions by the Company are currently 100% of the employee contributions up to the 6% employee contribution level, subject to Internal Revenue Service (IRS) limits.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Contributions</w:t>
      </w: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Participants may designate that their contributions be invested in any of the investment options offered by the Plans. In addition, participants generally can buy and sell investments offered by the Plans, including the Company Stock Fund, and transfer money, vested or nonvested, from any of the investment options into and out of any of the other investment options. Participants also are allowed to take payment of the Company Stock Fund dividends in lieu of having them reinvested in their participant accounts. Company matching contributions are allocated based on a participant’s investment elections for their own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9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Vesting</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All participants are vested immediately in their own contributions. All participants with two credited years of service are vested and eligible to receive 100% of the Company’s matching contributions. Forfeitures of approximately $1,727,000 for the 401(k) Plan were applied to decrease the Company’s contributions during 2017 for the 401(k) Plan. Forfeitures of approximately $42,000 were applied to decrease the Company’s contributions during 2017 for the Puerto Rico Plan.</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Participant Loans</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Participants may borrow from their accounts a minimum of $1,000 and a maximum of the least of (1) one-half of the amount of the participant’s vested account, (2) 90% of the portion of the participant’s account balance attributable to the participant’s pretax contributions and rollover account, and (3) $50,000 (all of which are reduced by any unpaid loan balance). The loans are collateralized by the participant’s vested account and bear interest at prime plus 1%. Should the participant terminate as an employee, the balance of the outstanding loan becomes due and payable. Related fees are recorded as administrative expenses and are expensed when they are incurred.</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Termination</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Plans are subject to and are intended to comply with the provisions of the Employee Retirement Income Security Act of 1974 (ERISA) and applicable IRS or Puerto Rico Treasury requirements. The Company has the right to terminate the Plans subject to the provisions of ERISA and the Plans, as established in the applicable plan documents. In the event the Plans are terminated, each participant’s account shall be nonforfeitable with respect to both the employee’s and the Company’s contributions, and the net assets are to be set aside for payment of withdrawals by participants.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Significant Accounting Policies</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Pending New Pronouncement</w:t>
      </w:r>
    </w:p>
    <w:p>
      <w:pPr>
        <w:spacing w:after="0" w:line="253" w:lineRule="exact"/>
        <w:rPr>
          <w:sz w:val="20"/>
          <w:szCs w:val="20"/>
          <w:color w:val="auto"/>
        </w:rPr>
      </w:pPr>
    </w:p>
    <w:p>
      <w:pPr>
        <w:ind w:right="100"/>
        <w:spacing w:after="0" w:line="300" w:lineRule="auto"/>
        <w:rPr>
          <w:sz w:val="20"/>
          <w:szCs w:val="20"/>
          <w:color w:val="auto"/>
        </w:rPr>
      </w:pPr>
      <w:r>
        <w:rPr>
          <w:rFonts w:ascii="Arial" w:cs="Arial" w:eastAsia="Arial" w:hAnsi="Arial"/>
          <w:sz w:val="19"/>
          <w:szCs w:val="19"/>
          <w:color w:val="auto"/>
        </w:rPr>
        <w:t>In February 2017, the FASB issued Accounting Standards Update (ASU) No. 2017-06</w:t>
      </w:r>
      <w:r>
        <w:rPr>
          <w:rFonts w:ascii="Arial" w:cs="Arial" w:eastAsia="Arial" w:hAnsi="Arial"/>
          <w:sz w:val="17"/>
          <w:szCs w:val="17"/>
          <w:color w:val="auto"/>
        </w:rPr>
        <w:t>,</w:t>
      </w:r>
      <w:r>
        <w:rPr>
          <w:rFonts w:ascii="Arial" w:cs="Arial" w:eastAsia="Arial" w:hAnsi="Arial"/>
          <w:sz w:val="19"/>
          <w:szCs w:val="19"/>
          <w:color w:val="auto"/>
        </w:rPr>
        <w:t xml:space="preserve"> </w:t>
      </w:r>
      <w:r>
        <w:rPr>
          <w:rFonts w:ascii="Arial" w:cs="Arial" w:eastAsia="Arial" w:hAnsi="Arial"/>
          <w:sz w:val="17"/>
          <w:szCs w:val="17"/>
          <w:i w:val="1"/>
          <w:iCs w:val="1"/>
          <w:color w:val="auto"/>
        </w:rPr>
        <w:t>P</w:t>
      </w:r>
      <w:r>
        <w:rPr>
          <w:rFonts w:ascii="Arial" w:cs="Arial" w:eastAsia="Arial" w:hAnsi="Arial"/>
          <w:sz w:val="19"/>
          <w:szCs w:val="19"/>
          <w:i w:val="1"/>
          <w:iCs w:val="1"/>
          <w:color w:val="auto"/>
        </w:rPr>
        <w:t>lan Accounting: Defined Benefit Pension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Plans (Topic 960), Defined Contribution Pension Plans (Topic 962), and Health and Welfare Benefit Plans (Topic 965) - Employee Benefit Plan Master Trust Reporting. </w:t>
      </w:r>
      <w:r>
        <w:rPr>
          <w:rFonts w:ascii="Arial" w:cs="Arial" w:eastAsia="Arial" w:hAnsi="Arial"/>
          <w:sz w:val="19"/>
          <w:szCs w:val="19"/>
          <w:color w:val="auto"/>
        </w:rPr>
        <w:t>ASU No. 2017-06 amends the existing master trust disclosures to require additional</w:t>
      </w:r>
      <w:r>
        <w:rPr>
          <w:rFonts w:ascii="Arial" w:cs="Arial" w:eastAsia="Arial" w:hAnsi="Arial"/>
          <w:sz w:val="19"/>
          <w:szCs w:val="19"/>
          <w:i w:val="1"/>
          <w:iCs w:val="1"/>
          <w:color w:val="auto"/>
        </w:rPr>
        <w:t xml:space="preserve"> </w:t>
      </w:r>
      <w:r>
        <w:rPr>
          <w:rFonts w:ascii="Arial" w:cs="Arial" w:eastAsia="Arial" w:hAnsi="Arial"/>
          <w:sz w:val="19"/>
          <w:szCs w:val="19"/>
          <w:color w:val="auto"/>
        </w:rPr>
        <w:t>disclosures related to the Plans' interests in the underlying investments of the Master Trust. This ASU is effective for fiscal years beginning after December 15, 2018 and is required to be applied retrospectively for all comparative periods presented. Management does not expect the adoption of this ASU to have a significant impact on the Plans’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9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2017 and 2016</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Investment Valuation and Income Recognition</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Investments held by the Plans are stated at fair value, except for fully benefit-responsive synthetic guaranteed investment contracts, as noted below. Fair value is defined as the price that would be received to sell an asset or paid to transfer a liability in an orderly transaction between market participants at the measurement date (an exit price). See Note 4 for further discussion of fair value measurements.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The Master Trust invests in fully benefit-responsive synthetic guaranteed investment contracts (synthetic GICs), which are stated at contract value. Contract value represents contributions made under each contract, plus earnings, less participant withdrawals and administrative expenses. Participants may ordinarily direct the withdrawal or transfer of all or a portion of their investments at contract value.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Receivable From Participants</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Notes receivable from participants represent participant loans that are recorded at their unpaid principal balances plus any accrued but unpaid interest. Interest income on notes receivable from participants is recorded when it is earned. No allowance for credit losses has been recorded as of December 31, 2017 and 2016. If a participant ceases to make loan repayments and the plan administrator deems the participant loan to be a distribution, the participant loan balance is reduced and a benefit payment is recorded.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 and Basis of Accounting</w:t>
      </w:r>
    </w:p>
    <w:p>
      <w:pPr>
        <w:spacing w:after="0" w:line="25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preparation of financial statements in conformity with U.S. generally accepted accounting principles (U.S. GAAP) requires management to make estimates that affect the amounts reported in the financial statements and accompanying notes. Actual results could differ from these estimates. The accompanying financial statements have been prepared on the accrual basis of accounting.</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 3 - Master Trust</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Plans provide that both participant contributions and company-matching contributions be held in a trust by an independent trustee for the benefit of participating employees. During 2017 and 2016, Northern Trust Company served as trustee and maintained the accounting of the aggregate value of assets associated with each Plan participating in the Master Trust. The respective ownership interest of each Plan is determined using a unit-valuation method.</w:t>
      </w:r>
    </w:p>
    <w:p>
      <w:pPr>
        <w:spacing w:after="0" w:line="203"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Purchases and sales of securities are recorded on a trade-date basis. Interest income is recorded as earned. Dividends are recorded on the ex-dividend date. Net appreciation includes gains and losses on investments bought and sold as well as held during the year.</w:t>
      </w:r>
    </w:p>
    <w:p>
      <w:pPr>
        <w:spacing w:after="0" w:line="13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Investment income, including net appreciation/depreciation in fair value of investments and expenses, is allocated to the participating plans based upon their pro rata share of the net assets of the Master Trust.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9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2017 and 2016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Master Trust holds synthetic GICs with third-party financial service institutions. The synthetic GICs are wrap contracts paired with an underlying investment portfolio of common/collective trust funds that invest in average-quality, short/intermediate-term, fixed-income securities. A synthetic GIC credits the holder’s account with a stated crediting rate for a specified period of time. Investment gains and losses are amortized over the expected duration through the calculation of the crediting rate applicable to the Plans on a prospective basis. Synthetic GICs provide for a variable crediting rate, which typically resets at least quarterly, and the issuers of the wrap contract provide a guarantee that future adjustments to the crediting rate cannot result in a crediting rate less than zero.</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crediting rate is primarily based on the current yield-to-maturity of the covered investments, plus or minus amortization of the difference between the market value and contract value of the covered investments over the expected duration at the time of computation. The crediting rate is impacted by the change in the annual effective yield-to-maturity of the underlying securities but is also affected by the differential between the contract value and the market value of the covered investments.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Generally, contract value withdrawals will be made pro rata, based on the percentage of investments covered by each issuer. The terms of the wrap contracts generally provide for full contract value withdrawal only upon termination of the contract or total liquidation of the covered investments. Contract termination occurs whenever the contract value or market value of the covered investments reaches zero or upon certain events of default. If the contract terminates due to issuer default (other than a default occurring because of a decline in its rating), the issuer will generally be required to pay to the Plans the excess, if any, of contract value over market value on the date of termination. If the contract terminates when the market value equals zero, the issuer will pay the excess of contract value over market value to the Plans to the extent necessary for the Plans to satisfy outstanding contract value withdrawal requests. Contract termination also may occur by either party upon election and notice. However, such election by a contract issuer typically allows for a gradual asset risk wind-down generally over the portfolio’s duration and would maintain contract value on the Plans.</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Certain events, including (1) certain amendments to the Plans' documents (including complete or partial plan termination or merger with another plan), (2) changes to the Plans’ prohibition on competing investment options or deletion of equity wash provisions, (3) bankruptcy of the Plans' sponsors or other Plans' sponsor events that cause a significant withdrawal from the Plans, and (4) the failure of the trust to qualify for exemption from federal income taxes or any required prohibited transaction exemption under ERISA, limit the ability of the Plans to transact contract value withdrawals from the wrap contracts. The plan administrator believes that the occurrence of any such event, which would limit the Plans’ ability to transact contract value withdrawals is not probable of occurring.</w:t>
      </w:r>
    </w:p>
    <w:p>
      <w:pPr>
        <w:spacing w:after="0" w:line="25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synthetic GICs generally impose conditions on both the Plans and the issuer. If an event of default, as defined, occurs and is not cured, and the Plans are unable to negotiate continuing coverage or obtain a replacement investment contract, the Plans may experience losses if the value of the Plans’ assets no longer covered by the contract is below contract value. The combination of the default of an issuer and an inability to obtain replacement coverage could render the Plans unable to achieve their objective of maintaining 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9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2017 and 2016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stable contract value. The plan administrator does not believe the occurrence of any such event has occurred or is probable of occurring.</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2017 and 2016, each Plan’s respective percentage interest in the Master Trust was as follows:</w:t>
      </w:r>
    </w:p>
    <w:p>
      <w:pPr>
        <w:spacing w:after="0" w:line="394" w:lineRule="exact"/>
        <w:rPr>
          <w:sz w:val="20"/>
          <w:szCs w:val="20"/>
          <w:color w:val="auto"/>
        </w:rPr>
      </w:pPr>
    </w:p>
    <w:tbl>
      <w:tblPr>
        <w:tblLayout w:type="fixed"/>
        <w:tblInd w:w="480" w:type="dxa"/>
        <w:tblCellMar>
          <w:top w:w="0" w:type="dxa"/>
          <w:left w:w="0" w:type="dxa"/>
          <w:bottom w:w="0" w:type="dxa"/>
          <w:right w:w="0" w:type="dxa"/>
        </w:tblCellMar>
      </w:tblPr>
      <w:tr>
        <w:trPr>
          <w:trHeight w:val="256"/>
        </w:trPr>
        <w:tc>
          <w:tcPr>
            <w:tcW w:w="5880" w:type="dxa"/>
            <w:vAlign w:val="bottom"/>
          </w:tcPr>
          <w:p>
            <w:pPr>
              <w:spacing w:after="0"/>
              <w:rPr>
                <w:sz w:val="22"/>
                <w:szCs w:val="22"/>
                <w:color w:val="auto"/>
              </w:rPr>
            </w:pPr>
          </w:p>
        </w:tc>
        <w:tc>
          <w:tcPr>
            <w:tcW w:w="2420" w:type="dxa"/>
            <w:vAlign w:val="bottom"/>
            <w:gridSpan w:val="2"/>
          </w:tcPr>
          <w:p>
            <w:pPr>
              <w:ind w:left="360"/>
              <w:spacing w:after="0"/>
              <w:rPr>
                <w:sz w:val="20"/>
                <w:szCs w:val="20"/>
                <w:color w:val="auto"/>
              </w:rPr>
            </w:pPr>
            <w:r>
              <w:rPr>
                <w:rFonts w:ascii="Arial" w:cs="Arial" w:eastAsia="Arial" w:hAnsi="Arial"/>
                <w:sz w:val="20"/>
                <w:szCs w:val="20"/>
                <w:b w:val="1"/>
                <w:bCs w:val="1"/>
                <w:color w:val="auto"/>
              </w:rPr>
              <w:t>December 31, 2017</w:t>
            </w:r>
          </w:p>
        </w:tc>
        <w:tc>
          <w:tcPr>
            <w:tcW w:w="2200" w:type="dxa"/>
            <w:vAlign w:val="bottom"/>
          </w:tcPr>
          <w:p>
            <w:pPr>
              <w:ind w:left="300"/>
              <w:spacing w:after="0"/>
              <w:rPr>
                <w:sz w:val="20"/>
                <w:szCs w:val="20"/>
                <w:color w:val="auto"/>
              </w:rPr>
            </w:pPr>
            <w:r>
              <w:rPr>
                <w:rFonts w:ascii="Arial" w:cs="Arial" w:eastAsia="Arial" w:hAnsi="Arial"/>
                <w:sz w:val="20"/>
                <w:szCs w:val="20"/>
                <w:b w:val="1"/>
                <w:bCs w:val="1"/>
                <w:color w:val="auto"/>
              </w:rPr>
              <w:t>December 31, 2016</w:t>
            </w:r>
          </w:p>
        </w:tc>
      </w:tr>
      <w:tr>
        <w:trPr>
          <w:trHeight w:val="23"/>
        </w:trPr>
        <w:tc>
          <w:tcPr>
            <w:tcW w:w="588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524"/>
        </w:trPr>
        <w:tc>
          <w:tcPr>
            <w:tcW w:w="5880" w:type="dxa"/>
            <w:vAlign w:val="bottom"/>
          </w:tcPr>
          <w:p>
            <w:pPr>
              <w:spacing w:after="0"/>
              <w:rPr>
                <w:sz w:val="20"/>
                <w:szCs w:val="20"/>
                <w:color w:val="auto"/>
              </w:rPr>
            </w:pPr>
            <w:r>
              <w:rPr>
                <w:rFonts w:ascii="Arial" w:cs="Arial" w:eastAsia="Arial" w:hAnsi="Arial"/>
                <w:sz w:val="20"/>
                <w:szCs w:val="20"/>
                <w:color w:val="auto"/>
              </w:rPr>
              <w:t>401(k) Plan</w:t>
            </w:r>
          </w:p>
        </w:tc>
        <w:tc>
          <w:tcPr>
            <w:tcW w:w="2320" w:type="dxa"/>
            <w:vAlign w:val="bottom"/>
          </w:tcPr>
          <w:p>
            <w:pPr>
              <w:jc w:val="right"/>
              <w:ind w:right="761"/>
              <w:spacing w:after="0"/>
              <w:rPr>
                <w:sz w:val="20"/>
                <w:szCs w:val="20"/>
                <w:color w:val="auto"/>
              </w:rPr>
            </w:pPr>
            <w:r>
              <w:rPr>
                <w:rFonts w:ascii="Arial" w:cs="Arial" w:eastAsia="Arial" w:hAnsi="Arial"/>
                <w:sz w:val="20"/>
                <w:szCs w:val="20"/>
                <w:color w:val="auto"/>
              </w:rPr>
              <w:t>97.21%</w:t>
            </w:r>
          </w:p>
        </w:tc>
        <w:tc>
          <w:tcPr>
            <w:tcW w:w="100" w:type="dxa"/>
            <w:vAlign w:val="bottom"/>
          </w:tcPr>
          <w:p>
            <w:pPr>
              <w:spacing w:after="0"/>
              <w:rPr>
                <w:sz w:val="24"/>
                <w:szCs w:val="24"/>
                <w:color w:val="auto"/>
              </w:rPr>
            </w:pPr>
          </w:p>
        </w:tc>
        <w:tc>
          <w:tcPr>
            <w:tcW w:w="2200" w:type="dxa"/>
            <w:vAlign w:val="bottom"/>
          </w:tcPr>
          <w:p>
            <w:pPr>
              <w:jc w:val="right"/>
              <w:ind w:right="701"/>
              <w:spacing w:after="0"/>
              <w:rPr>
                <w:sz w:val="20"/>
                <w:szCs w:val="20"/>
                <w:color w:val="auto"/>
              </w:rPr>
            </w:pPr>
            <w:r>
              <w:rPr>
                <w:rFonts w:ascii="Arial" w:cs="Arial" w:eastAsia="Arial" w:hAnsi="Arial"/>
                <w:sz w:val="20"/>
                <w:szCs w:val="20"/>
                <w:color w:val="auto"/>
              </w:rPr>
              <w:t>97.22%</w:t>
            </w:r>
          </w:p>
        </w:tc>
      </w:tr>
      <w:tr>
        <w:trPr>
          <w:trHeight w:val="284"/>
        </w:trPr>
        <w:tc>
          <w:tcPr>
            <w:tcW w:w="5880" w:type="dxa"/>
            <w:vAlign w:val="bottom"/>
          </w:tcPr>
          <w:p>
            <w:pPr>
              <w:spacing w:after="0"/>
              <w:rPr>
                <w:sz w:val="20"/>
                <w:szCs w:val="20"/>
                <w:color w:val="auto"/>
              </w:rPr>
            </w:pPr>
            <w:r>
              <w:rPr>
                <w:rFonts w:ascii="Arial" w:cs="Arial" w:eastAsia="Arial" w:hAnsi="Arial"/>
                <w:sz w:val="20"/>
                <w:szCs w:val="20"/>
                <w:color w:val="auto"/>
              </w:rPr>
              <w:t>Puerto Rico Plan</w:t>
            </w:r>
          </w:p>
        </w:tc>
        <w:tc>
          <w:tcPr>
            <w:tcW w:w="2320" w:type="dxa"/>
            <w:vAlign w:val="bottom"/>
          </w:tcPr>
          <w:p>
            <w:pPr>
              <w:jc w:val="right"/>
              <w:ind w:right="821"/>
              <w:spacing w:after="0"/>
              <w:rPr>
                <w:sz w:val="20"/>
                <w:szCs w:val="20"/>
                <w:color w:val="auto"/>
              </w:rPr>
            </w:pPr>
            <w:r>
              <w:rPr>
                <w:rFonts w:ascii="Arial" w:cs="Arial" w:eastAsia="Arial" w:hAnsi="Arial"/>
                <w:sz w:val="20"/>
                <w:szCs w:val="20"/>
                <w:color w:val="auto"/>
              </w:rPr>
              <w:t>2.79%</w:t>
            </w:r>
          </w:p>
        </w:tc>
        <w:tc>
          <w:tcPr>
            <w:tcW w:w="100" w:type="dxa"/>
            <w:vAlign w:val="bottom"/>
          </w:tcPr>
          <w:p>
            <w:pPr>
              <w:spacing w:after="0"/>
              <w:rPr>
                <w:sz w:val="24"/>
                <w:szCs w:val="24"/>
                <w:color w:val="auto"/>
              </w:rPr>
            </w:pPr>
          </w:p>
        </w:tc>
        <w:tc>
          <w:tcPr>
            <w:tcW w:w="2200" w:type="dxa"/>
            <w:vAlign w:val="bottom"/>
          </w:tcPr>
          <w:p>
            <w:pPr>
              <w:jc w:val="right"/>
              <w:ind w:right="741"/>
              <w:spacing w:after="0"/>
              <w:rPr>
                <w:sz w:val="20"/>
                <w:szCs w:val="20"/>
                <w:color w:val="auto"/>
              </w:rPr>
            </w:pPr>
            <w:r>
              <w:rPr>
                <w:rFonts w:ascii="Arial" w:cs="Arial" w:eastAsia="Arial" w:hAnsi="Arial"/>
                <w:sz w:val="20"/>
                <w:szCs w:val="20"/>
                <w:color w:val="auto"/>
              </w:rPr>
              <w:t>2.78%</w:t>
            </w:r>
          </w:p>
        </w:tc>
      </w:tr>
    </w:tbl>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Information relating to the Master Trust’s net assets as of December 31, 2017 and 2016, and investment income for the year ended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2017, are summarized below:</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6700" w:type="dxa"/>
            <w:vAlign w:val="bottom"/>
          </w:tcPr>
          <w:p>
            <w:pPr>
              <w:spacing w:after="0"/>
              <w:rPr>
                <w:sz w:val="22"/>
                <w:szCs w:val="22"/>
                <w:color w:val="auto"/>
              </w:rPr>
            </w:pPr>
          </w:p>
        </w:tc>
        <w:tc>
          <w:tcPr>
            <w:tcW w:w="2500" w:type="dxa"/>
            <w:vAlign w:val="bottom"/>
            <w:gridSpan w:val="3"/>
          </w:tcPr>
          <w:p>
            <w:pPr>
              <w:ind w:left="20"/>
              <w:spacing w:after="0"/>
              <w:rPr>
                <w:sz w:val="20"/>
                <w:szCs w:val="20"/>
                <w:color w:val="auto"/>
              </w:rPr>
            </w:pPr>
            <w:r>
              <w:rPr>
                <w:rFonts w:ascii="Arial" w:cs="Arial" w:eastAsia="Arial" w:hAnsi="Arial"/>
                <w:sz w:val="20"/>
                <w:szCs w:val="20"/>
                <w:b w:val="1"/>
                <w:bCs w:val="1"/>
                <w:color w:val="auto"/>
              </w:rPr>
              <w:t>December 31, 2017</w:t>
            </w:r>
          </w:p>
        </w:tc>
        <w:tc>
          <w:tcPr>
            <w:tcW w:w="2180" w:type="dxa"/>
            <w:vAlign w:val="bottom"/>
            <w:gridSpan w:val="2"/>
          </w:tcPr>
          <w:p>
            <w:pPr>
              <w:ind w:left="40"/>
              <w:spacing w:after="0"/>
              <w:rPr>
                <w:sz w:val="20"/>
                <w:szCs w:val="20"/>
                <w:color w:val="auto"/>
              </w:rPr>
            </w:pPr>
            <w:r>
              <w:rPr>
                <w:rFonts w:ascii="Arial" w:cs="Arial" w:eastAsia="Arial" w:hAnsi="Arial"/>
                <w:sz w:val="20"/>
                <w:szCs w:val="20"/>
                <w:b w:val="1"/>
                <w:bCs w:val="1"/>
                <w:color w:val="auto"/>
              </w:rPr>
              <w:t>December 31, 2016</w:t>
            </w:r>
          </w:p>
        </w:tc>
        <w:tc>
          <w:tcPr>
            <w:tcW w:w="0" w:type="dxa"/>
            <w:vAlign w:val="bottom"/>
          </w:tcPr>
          <w:p>
            <w:pPr>
              <w:spacing w:after="0"/>
              <w:rPr>
                <w:sz w:val="1"/>
                <w:szCs w:val="1"/>
                <w:color w:val="auto"/>
              </w:rPr>
            </w:pPr>
          </w:p>
        </w:tc>
      </w:tr>
      <w:tr>
        <w:trPr>
          <w:trHeight w:val="23"/>
        </w:trPr>
        <w:tc>
          <w:tcPr>
            <w:tcW w:w="6700" w:type="dxa"/>
            <w:vAlign w:val="bottom"/>
            <w:vMerge w:val="restart"/>
          </w:tcPr>
          <w:p>
            <w:pPr>
              <w:spacing w:after="0"/>
              <w:rPr>
                <w:sz w:val="20"/>
                <w:szCs w:val="20"/>
                <w:color w:val="auto"/>
              </w:rPr>
            </w:pPr>
            <w:r>
              <w:rPr>
                <w:rFonts w:ascii="Arial" w:cs="Arial" w:eastAsia="Arial" w:hAnsi="Arial"/>
                <w:sz w:val="20"/>
                <w:szCs w:val="20"/>
                <w:color w:val="auto"/>
              </w:rPr>
              <w:t>Net assets:</w:t>
            </w: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7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700" w:type="dxa"/>
            <w:vAlign w:val="bottom"/>
          </w:tcPr>
          <w:p>
            <w:pPr>
              <w:ind w:left="100"/>
              <w:spacing w:after="0"/>
              <w:rPr>
                <w:sz w:val="20"/>
                <w:szCs w:val="20"/>
                <w:color w:val="auto"/>
              </w:rPr>
            </w:pPr>
            <w:r>
              <w:rPr>
                <w:rFonts w:ascii="Arial" w:cs="Arial" w:eastAsia="Arial" w:hAnsi="Arial"/>
                <w:sz w:val="20"/>
                <w:szCs w:val="20"/>
                <w:color w:val="auto"/>
              </w:rPr>
              <w:t>Investments at fair value:</w:t>
            </w: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00" w:type="dxa"/>
            <w:vAlign w:val="bottom"/>
          </w:tcPr>
          <w:p>
            <w:pPr>
              <w:ind w:left="240"/>
              <w:spacing w:after="0"/>
              <w:rPr>
                <w:sz w:val="20"/>
                <w:szCs w:val="20"/>
                <w:color w:val="auto"/>
              </w:rPr>
            </w:pPr>
            <w:r>
              <w:rPr>
                <w:rFonts w:ascii="Arial" w:cs="Arial" w:eastAsia="Arial" w:hAnsi="Arial"/>
                <w:sz w:val="20"/>
                <w:szCs w:val="20"/>
                <w:color w:val="auto"/>
              </w:rPr>
              <w:t>Registered investment companies</w:t>
            </w:r>
          </w:p>
        </w:tc>
        <w:tc>
          <w:tcPr>
            <w:tcW w:w="520" w:type="dxa"/>
            <w:vAlign w:val="bottom"/>
          </w:tcPr>
          <w:p>
            <w:pPr>
              <w:ind w:left="20"/>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205,424,771</w:t>
            </w:r>
          </w:p>
        </w:tc>
        <w:tc>
          <w:tcPr>
            <w:tcW w:w="34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140,070,879</w:t>
            </w:r>
          </w:p>
        </w:tc>
        <w:tc>
          <w:tcPr>
            <w:tcW w:w="0" w:type="dxa"/>
            <w:vAlign w:val="bottom"/>
          </w:tcPr>
          <w:p>
            <w:pPr>
              <w:spacing w:after="0"/>
              <w:rPr>
                <w:sz w:val="1"/>
                <w:szCs w:val="1"/>
                <w:color w:val="auto"/>
              </w:rPr>
            </w:pPr>
          </w:p>
        </w:tc>
      </w:tr>
      <w:tr>
        <w:trPr>
          <w:trHeight w:val="284"/>
        </w:trPr>
        <w:tc>
          <w:tcPr>
            <w:tcW w:w="6700" w:type="dxa"/>
            <w:vAlign w:val="bottom"/>
          </w:tcPr>
          <w:p>
            <w:pPr>
              <w:ind w:left="240"/>
              <w:spacing w:after="0"/>
              <w:rPr>
                <w:sz w:val="20"/>
                <w:szCs w:val="20"/>
                <w:color w:val="auto"/>
              </w:rPr>
            </w:pPr>
            <w:r>
              <w:rPr>
                <w:rFonts w:ascii="Arial" w:cs="Arial" w:eastAsia="Arial" w:hAnsi="Arial"/>
                <w:sz w:val="20"/>
                <w:szCs w:val="20"/>
                <w:color w:val="auto"/>
              </w:rPr>
              <w:t>Self-directed brokerage accounts</w:t>
            </w:r>
          </w:p>
        </w:tc>
        <w:tc>
          <w:tcPr>
            <w:tcW w:w="5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245,948,752</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224,573,356</w:t>
            </w:r>
          </w:p>
        </w:tc>
        <w:tc>
          <w:tcPr>
            <w:tcW w:w="0" w:type="dxa"/>
            <w:vAlign w:val="bottom"/>
          </w:tcPr>
          <w:p>
            <w:pPr>
              <w:spacing w:after="0"/>
              <w:rPr>
                <w:sz w:val="1"/>
                <w:szCs w:val="1"/>
                <w:color w:val="auto"/>
              </w:rPr>
            </w:pPr>
          </w:p>
        </w:tc>
      </w:tr>
      <w:tr>
        <w:trPr>
          <w:trHeight w:val="284"/>
        </w:trPr>
        <w:tc>
          <w:tcPr>
            <w:tcW w:w="6700" w:type="dxa"/>
            <w:vAlign w:val="bottom"/>
          </w:tcPr>
          <w:p>
            <w:pPr>
              <w:ind w:left="240"/>
              <w:spacing w:after="0"/>
              <w:rPr>
                <w:sz w:val="20"/>
                <w:szCs w:val="20"/>
                <w:color w:val="auto"/>
              </w:rPr>
            </w:pPr>
            <w:r>
              <w:rPr>
                <w:rFonts w:ascii="Arial" w:cs="Arial" w:eastAsia="Arial" w:hAnsi="Arial"/>
                <w:sz w:val="20"/>
                <w:szCs w:val="20"/>
                <w:color w:val="auto"/>
              </w:rPr>
              <w:t>Eli Lilly and Company common stock</w:t>
            </w:r>
          </w:p>
        </w:tc>
        <w:tc>
          <w:tcPr>
            <w:tcW w:w="5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688,803,902</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684,118,926</w:t>
            </w:r>
          </w:p>
        </w:tc>
        <w:tc>
          <w:tcPr>
            <w:tcW w:w="0" w:type="dxa"/>
            <w:vAlign w:val="bottom"/>
          </w:tcPr>
          <w:p>
            <w:pPr>
              <w:spacing w:after="0"/>
              <w:rPr>
                <w:sz w:val="1"/>
                <w:szCs w:val="1"/>
                <w:color w:val="auto"/>
              </w:rPr>
            </w:pPr>
          </w:p>
        </w:tc>
      </w:tr>
      <w:tr>
        <w:trPr>
          <w:trHeight w:val="284"/>
        </w:trPr>
        <w:tc>
          <w:tcPr>
            <w:tcW w:w="6700" w:type="dxa"/>
            <w:vAlign w:val="bottom"/>
          </w:tcPr>
          <w:p>
            <w:pPr>
              <w:ind w:left="240"/>
              <w:spacing w:after="0"/>
              <w:rPr>
                <w:sz w:val="20"/>
                <w:szCs w:val="20"/>
                <w:color w:val="auto"/>
              </w:rPr>
            </w:pPr>
            <w:r>
              <w:rPr>
                <w:rFonts w:ascii="Arial" w:cs="Arial" w:eastAsia="Arial" w:hAnsi="Arial"/>
                <w:sz w:val="20"/>
                <w:szCs w:val="20"/>
                <w:color w:val="auto"/>
              </w:rPr>
              <w:t>Interest in common/collective trusts</w:t>
            </w:r>
          </w:p>
        </w:tc>
        <w:tc>
          <w:tcPr>
            <w:tcW w:w="5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5,064,416,729</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4,155,651,704</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700" w:type="dxa"/>
            <w:vAlign w:val="bottom"/>
          </w:tcPr>
          <w:p>
            <w:pPr>
              <w:ind w:left="380"/>
              <w:spacing w:after="0"/>
              <w:rPr>
                <w:sz w:val="20"/>
                <w:szCs w:val="20"/>
                <w:color w:val="auto"/>
              </w:rPr>
            </w:pPr>
            <w:r>
              <w:rPr>
                <w:rFonts w:ascii="Arial" w:cs="Arial" w:eastAsia="Arial" w:hAnsi="Arial"/>
                <w:sz w:val="20"/>
                <w:szCs w:val="20"/>
                <w:color w:val="auto"/>
              </w:rPr>
              <w:t>Total investments at fair value</w:t>
            </w:r>
          </w:p>
        </w:tc>
        <w:tc>
          <w:tcPr>
            <w:tcW w:w="520" w:type="dxa"/>
            <w:vAlign w:val="bottom"/>
          </w:tcPr>
          <w:p>
            <w:pPr>
              <w:spacing w:after="0"/>
              <w:rPr>
                <w:sz w:val="22"/>
                <w:szCs w:val="22"/>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6,204,594,154</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5,204,414,865</w:t>
            </w:r>
          </w:p>
        </w:tc>
        <w:tc>
          <w:tcPr>
            <w:tcW w:w="0" w:type="dxa"/>
            <w:vAlign w:val="bottom"/>
          </w:tcPr>
          <w:p>
            <w:pPr>
              <w:spacing w:after="0"/>
              <w:rPr>
                <w:sz w:val="1"/>
                <w:szCs w:val="1"/>
                <w:color w:val="auto"/>
              </w:rPr>
            </w:pPr>
          </w:p>
        </w:tc>
      </w:tr>
      <w:tr>
        <w:trPr>
          <w:trHeight w:val="284"/>
        </w:trPr>
        <w:tc>
          <w:tcPr>
            <w:tcW w:w="6700" w:type="dxa"/>
            <w:vAlign w:val="bottom"/>
          </w:tcPr>
          <w:p>
            <w:pPr>
              <w:ind w:left="100"/>
              <w:spacing w:after="0"/>
              <w:rPr>
                <w:sz w:val="20"/>
                <w:szCs w:val="20"/>
                <w:color w:val="auto"/>
              </w:rPr>
            </w:pPr>
            <w:r>
              <w:rPr>
                <w:rFonts w:ascii="Arial" w:cs="Arial" w:eastAsia="Arial" w:hAnsi="Arial"/>
                <w:sz w:val="20"/>
                <w:szCs w:val="20"/>
                <w:color w:val="auto"/>
              </w:rPr>
              <w:t>Investments at contract value - synthetic GICs</w:t>
            </w:r>
          </w:p>
        </w:tc>
        <w:tc>
          <w:tcPr>
            <w:tcW w:w="5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943,023,957</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983,436,849</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700" w:type="dxa"/>
            <w:vAlign w:val="bottom"/>
          </w:tcPr>
          <w:p>
            <w:pPr>
              <w:spacing w:after="0"/>
              <w:rPr>
                <w:sz w:val="20"/>
                <w:szCs w:val="20"/>
                <w:color w:val="auto"/>
              </w:rPr>
            </w:pPr>
            <w:r>
              <w:rPr>
                <w:rFonts w:ascii="Arial" w:cs="Arial" w:eastAsia="Arial" w:hAnsi="Arial"/>
                <w:sz w:val="20"/>
                <w:szCs w:val="20"/>
                <w:color w:val="auto"/>
              </w:rPr>
              <w:t>Total Master Trust net assets</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7,147,618,111</w:t>
            </w:r>
          </w:p>
        </w:tc>
        <w:tc>
          <w:tcPr>
            <w:tcW w:w="340" w:type="dxa"/>
            <w:vAlign w:val="bottom"/>
          </w:tcPr>
          <w:p>
            <w:pPr>
              <w:spacing w:after="0"/>
              <w:rPr>
                <w:sz w:val="23"/>
                <w:szCs w:val="23"/>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6,187,851,714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5"/>
          </w:tcPr>
          <w:p>
            <w:pPr>
              <w:jc w:val="center"/>
              <w:ind w:right="160"/>
              <w:spacing w:after="0"/>
              <w:rPr>
                <w:sz w:val="20"/>
                <w:szCs w:val="20"/>
                <w:color w:val="auto"/>
              </w:rPr>
            </w:pPr>
            <w:r>
              <w:rPr>
                <w:rFonts w:ascii="Arial" w:cs="Arial" w:eastAsia="Arial" w:hAnsi="Arial"/>
                <w:sz w:val="20"/>
                <w:szCs w:val="20"/>
                <w:b w:val="1"/>
                <w:bCs w:val="1"/>
                <w:color w:val="auto"/>
                <w:w w:val="89"/>
              </w:rPr>
              <w:t>Year Ended December</w:t>
            </w:r>
          </w:p>
        </w:tc>
      </w:tr>
      <w:tr>
        <w:trPr>
          <w:trHeight w:val="20"/>
        </w:trPr>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6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tcPr>
          <w:p>
            <w:pPr>
              <w:jc w:val="right"/>
              <w:ind w:right="600"/>
              <w:spacing w:after="0" w:line="209" w:lineRule="exact"/>
              <w:rPr>
                <w:sz w:val="20"/>
                <w:szCs w:val="20"/>
                <w:color w:val="auto"/>
              </w:rPr>
            </w:pPr>
            <w:r>
              <w:rPr>
                <w:rFonts w:ascii="Arial" w:cs="Arial" w:eastAsia="Arial" w:hAnsi="Arial"/>
                <w:sz w:val="20"/>
                <w:szCs w:val="20"/>
                <w:b w:val="1"/>
                <w:bCs w:val="1"/>
                <w:color w:val="auto"/>
              </w:rPr>
              <w:t>31, 2017</w:t>
            </w:r>
          </w:p>
        </w:tc>
        <w:tc>
          <w:tcPr>
            <w:tcW w:w="180" w:type="dxa"/>
            <w:vAlign w:val="bottom"/>
          </w:tcPr>
          <w:p>
            <w:pPr>
              <w:spacing w:after="0"/>
              <w:rPr>
                <w:sz w:val="18"/>
                <w:szCs w:val="18"/>
                <w:color w:val="auto"/>
              </w:rPr>
            </w:pPr>
          </w:p>
        </w:tc>
      </w:tr>
      <w:tr>
        <w:trPr>
          <w:trHeight w:val="646"/>
        </w:trPr>
        <w:tc>
          <w:tcPr>
            <w:tcW w:w="6580" w:type="dxa"/>
            <w:vAlign w:val="bottom"/>
          </w:tcPr>
          <w:p>
            <w:pPr>
              <w:spacing w:after="0"/>
              <w:rPr>
                <w:sz w:val="20"/>
                <w:szCs w:val="20"/>
                <w:color w:val="auto"/>
              </w:rPr>
            </w:pPr>
            <w:r>
              <w:rPr>
                <w:rFonts w:ascii="Arial" w:cs="Arial" w:eastAsia="Arial" w:hAnsi="Arial"/>
                <w:sz w:val="20"/>
                <w:szCs w:val="20"/>
                <w:color w:val="auto"/>
              </w:rPr>
              <w:t>Investment income:</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4"/>
        </w:trPr>
        <w:tc>
          <w:tcPr>
            <w:tcW w:w="6580" w:type="dxa"/>
            <w:vAlign w:val="bottom"/>
          </w:tcPr>
          <w:p>
            <w:pPr>
              <w:ind w:left="100"/>
              <w:spacing w:after="0"/>
              <w:rPr>
                <w:sz w:val="20"/>
                <w:szCs w:val="20"/>
                <w:color w:val="auto"/>
              </w:rPr>
            </w:pPr>
            <w:r>
              <w:rPr>
                <w:rFonts w:ascii="Arial" w:cs="Arial" w:eastAsia="Arial" w:hAnsi="Arial"/>
                <w:sz w:val="20"/>
                <w:szCs w:val="20"/>
                <w:color w:val="auto"/>
              </w:rPr>
              <w:t>Interest income, net of expenses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gridSpan w:val="5"/>
          </w:tcPr>
          <w:p>
            <w:pPr>
              <w:jc w:val="right"/>
              <w:ind w:right="80"/>
              <w:spacing w:after="0"/>
              <w:rPr>
                <w:sz w:val="20"/>
                <w:szCs w:val="20"/>
                <w:color w:val="auto"/>
              </w:rPr>
            </w:pPr>
            <w:r>
              <w:rPr>
                <w:rFonts w:ascii="Arial" w:cs="Arial" w:eastAsia="Arial" w:hAnsi="Arial"/>
                <w:sz w:val="20"/>
                <w:szCs w:val="20"/>
                <w:color w:val="auto"/>
              </w:rPr>
              <w:t>9,671,709</w:t>
            </w:r>
          </w:p>
        </w:tc>
      </w:tr>
      <w:tr>
        <w:trPr>
          <w:trHeight w:val="284"/>
        </w:trPr>
        <w:tc>
          <w:tcPr>
            <w:tcW w:w="6580" w:type="dxa"/>
            <w:vAlign w:val="bottom"/>
          </w:tcPr>
          <w:p>
            <w:pPr>
              <w:ind w:left="100"/>
              <w:spacing w:after="0"/>
              <w:rPr>
                <w:sz w:val="20"/>
                <w:szCs w:val="20"/>
                <w:color w:val="auto"/>
              </w:rPr>
            </w:pPr>
            <w:r>
              <w:rPr>
                <w:rFonts w:ascii="Arial" w:cs="Arial" w:eastAsia="Arial" w:hAnsi="Arial"/>
                <w:sz w:val="20"/>
                <w:szCs w:val="20"/>
                <w:color w:val="auto"/>
              </w:rPr>
              <w:t>Dividend income</w:t>
            </w:r>
          </w:p>
        </w:tc>
        <w:tc>
          <w:tcPr>
            <w:tcW w:w="140" w:type="dxa"/>
            <w:vAlign w:val="bottom"/>
          </w:tcPr>
          <w:p>
            <w:pPr>
              <w:spacing w:after="0"/>
              <w:rPr>
                <w:sz w:val="24"/>
                <w:szCs w:val="24"/>
                <w:color w:val="auto"/>
              </w:rPr>
            </w:pPr>
          </w:p>
        </w:tc>
        <w:tc>
          <w:tcPr>
            <w:tcW w:w="2100" w:type="dxa"/>
            <w:vAlign w:val="bottom"/>
            <w:gridSpan w:val="5"/>
          </w:tcPr>
          <w:p>
            <w:pPr>
              <w:jc w:val="right"/>
              <w:ind w:right="80"/>
              <w:spacing w:after="0"/>
              <w:rPr>
                <w:sz w:val="20"/>
                <w:szCs w:val="20"/>
                <w:color w:val="auto"/>
              </w:rPr>
            </w:pPr>
            <w:r>
              <w:rPr>
                <w:rFonts w:ascii="Arial" w:cs="Arial" w:eastAsia="Arial" w:hAnsi="Arial"/>
                <w:sz w:val="20"/>
                <w:szCs w:val="20"/>
                <w:color w:val="auto"/>
              </w:rPr>
              <w:t>30,506,136</w:t>
            </w:r>
          </w:p>
        </w:tc>
      </w:tr>
      <w:tr>
        <w:trPr>
          <w:trHeight w:val="284"/>
        </w:trPr>
        <w:tc>
          <w:tcPr>
            <w:tcW w:w="6580" w:type="dxa"/>
            <w:vAlign w:val="bottom"/>
          </w:tcPr>
          <w:p>
            <w:pPr>
              <w:ind w:left="100"/>
              <w:spacing w:after="0"/>
              <w:rPr>
                <w:sz w:val="20"/>
                <w:szCs w:val="20"/>
                <w:color w:val="auto"/>
              </w:rPr>
            </w:pPr>
            <w:r>
              <w:rPr>
                <w:rFonts w:ascii="Arial" w:cs="Arial" w:eastAsia="Arial" w:hAnsi="Arial"/>
                <w:sz w:val="20"/>
                <w:szCs w:val="20"/>
                <w:color w:val="auto"/>
              </w:rPr>
              <w:t>Net appreciation in fair value of investments</w:t>
            </w:r>
          </w:p>
        </w:tc>
        <w:tc>
          <w:tcPr>
            <w:tcW w:w="140" w:type="dxa"/>
            <w:vAlign w:val="bottom"/>
          </w:tcPr>
          <w:p>
            <w:pPr>
              <w:spacing w:after="0"/>
              <w:rPr>
                <w:sz w:val="24"/>
                <w:szCs w:val="24"/>
                <w:color w:val="auto"/>
              </w:rPr>
            </w:pPr>
          </w:p>
        </w:tc>
        <w:tc>
          <w:tcPr>
            <w:tcW w:w="2100" w:type="dxa"/>
            <w:vAlign w:val="bottom"/>
            <w:gridSpan w:val="5"/>
          </w:tcPr>
          <w:p>
            <w:pPr>
              <w:jc w:val="right"/>
              <w:ind w:right="80"/>
              <w:spacing w:after="0"/>
              <w:rPr>
                <w:sz w:val="20"/>
                <w:szCs w:val="20"/>
                <w:color w:val="auto"/>
              </w:rPr>
            </w:pPr>
            <w:r>
              <w:rPr>
                <w:rFonts w:ascii="Arial" w:cs="Arial" w:eastAsia="Arial" w:hAnsi="Arial"/>
                <w:sz w:val="20"/>
                <w:szCs w:val="20"/>
                <w:color w:val="auto"/>
              </w:rPr>
              <w:t>943,610,979</w:t>
            </w:r>
          </w:p>
        </w:tc>
      </w:tr>
      <w:tr>
        <w:trPr>
          <w:trHeight w:val="23"/>
        </w:trPr>
        <w:tc>
          <w:tcPr>
            <w:tcW w:w="6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72"/>
        </w:trPr>
        <w:tc>
          <w:tcPr>
            <w:tcW w:w="6580" w:type="dxa"/>
            <w:vAlign w:val="bottom"/>
          </w:tcPr>
          <w:p>
            <w:pPr>
              <w:spacing w:after="0"/>
              <w:rPr>
                <w:sz w:val="20"/>
                <w:szCs w:val="20"/>
                <w:color w:val="auto"/>
              </w:rPr>
            </w:pPr>
            <w:r>
              <w:rPr>
                <w:rFonts w:ascii="Arial" w:cs="Arial" w:eastAsia="Arial" w:hAnsi="Arial"/>
                <w:sz w:val="20"/>
                <w:szCs w:val="20"/>
                <w:color w:val="auto"/>
              </w:rPr>
              <w:t>Total Master Trust investment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20"/>
                <w:szCs w:val="20"/>
                <w:color w:val="auto"/>
              </w:rPr>
              <w:t>983,788,824</w:t>
            </w:r>
          </w:p>
        </w:tc>
      </w:tr>
      <w:tr>
        <w:trPr>
          <w:trHeight w:val="20"/>
        </w:trPr>
        <w:tc>
          <w:tcPr>
            <w:tcW w:w="6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90"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90"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2017 and 2016</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Fair Value Measurements</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ASC 820 defines fair value, establishes a framework for measuring fair value, and expands disclosures about fair value measurements. Fair value is defined as the price that would be received to sell an asset or paid to transfer a liability in an orderly transaction between market participants at the measurement date (i.e., an exit price). ASC 820 includes a fair value hierarchy that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under ASC 820 are described below:</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Level 1 - Inputs to the valuation methodology are unadjusted quoted prices for identical assets or liabilities in active markets.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2 - Inputs to the valuation methodology include:</w:t>
      </w:r>
    </w:p>
    <w:p>
      <w:pPr>
        <w:spacing w:after="0" w:line="24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color w:val="auto"/>
        </w:rPr>
        <w:t>Quoted prices for similar assets and liabilities in active markets</w:t>
      </w:r>
    </w:p>
    <w:p>
      <w:pPr>
        <w:spacing w:after="0" w:line="24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Quoted prices for identical or similar assets or liabilities in markets that are not active</w:t>
      </w:r>
    </w:p>
    <w:p>
      <w:pPr>
        <w:spacing w:after="0" w:line="246"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Inputs other than quoted prices that are for the assets or liabilities (e.g., interest rate and yield curve quotes at commonly quoted intervals)</w:t>
      </w:r>
    </w:p>
    <w:p>
      <w:pPr>
        <w:spacing w:after="0" w:line="20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1"/>
          <w:szCs w:val="21"/>
          <w:color w:val="auto"/>
        </w:rPr>
      </w:pPr>
      <w:r>
        <w:rPr>
          <w:rFonts w:ascii="Arial" w:cs="Arial" w:eastAsia="Arial" w:hAnsi="Arial"/>
          <w:sz w:val="21"/>
          <w:szCs w:val="21"/>
          <w:color w:val="auto"/>
        </w:rPr>
        <w:t>Inputs that are derived principally from or corroborated by observable market data by correlation or other means</w:t>
      </w:r>
    </w:p>
    <w:p>
      <w:pPr>
        <w:spacing w:after="0" w:line="258" w:lineRule="exact"/>
        <w:rPr>
          <w:sz w:val="20"/>
          <w:szCs w:val="20"/>
          <w:color w:val="auto"/>
        </w:rPr>
      </w:pPr>
    </w:p>
    <w:p>
      <w:pPr>
        <w:ind w:left="340"/>
        <w:spacing w:after="0" w:line="263" w:lineRule="auto"/>
        <w:rPr>
          <w:sz w:val="20"/>
          <w:szCs w:val="20"/>
          <w:color w:val="auto"/>
        </w:rPr>
      </w:pPr>
      <w:r>
        <w:rPr>
          <w:rFonts w:ascii="Arial" w:cs="Arial" w:eastAsia="Arial" w:hAnsi="Arial"/>
          <w:sz w:val="22"/>
          <w:szCs w:val="22"/>
          <w:color w:val="auto"/>
        </w:rPr>
        <w:t>If the asset or liability has a specified (contractual) term, the Level 2 input must be observable for substantially the full term of the asset or liability.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3 - Inputs to the valuation methodology are unobservable and significant to the fair value measurement.</w:t>
      </w:r>
    </w:p>
    <w:p>
      <w:pPr>
        <w:spacing w:after="0" w:line="24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level in the fair value hierarchy within which the fair value measurement is classified is determined based upon the lowest level of input that is significant to the fair value measurement in its entirety.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a description of the valuation techniques and inputs used for assets measured at fair value:</w:t>
      </w:r>
    </w:p>
    <w:p>
      <w:pPr>
        <w:spacing w:after="0" w:line="247" w:lineRule="exact"/>
        <w:rPr>
          <w:sz w:val="20"/>
          <w:szCs w:val="20"/>
          <w:color w:val="auto"/>
        </w:rPr>
      </w:pPr>
    </w:p>
    <w:p>
      <w:pPr>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Registered investment companies (mutual funds) - Valued at the net asset value (NAV) of shares held by the Plans at year end, as quoted in the active market, and are classified within Level 1 of the valuation hierarchy.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9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2017 and 2016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hanging="328"/>
        <w:spacing w:after="0" w:line="343"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Self-directed brokerage accounts (represents mutual funds and Exchange Traded Funds) - Valued at the NAV of shares held by the Plans at year end, as quoted in the active market, and are classified within Level 1 of the valuation hierarchy.</w:t>
      </w:r>
    </w:p>
    <w:p>
      <w:pPr>
        <w:spacing w:after="0" w:line="131"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Eli Lilly and Company common stock - Valued at the closing price reported on the New York Stock Exchange and is classified within Level 1 of the valuation hierarchy.</w:t>
      </w:r>
    </w:p>
    <w:p>
      <w:pPr>
        <w:spacing w:after="0" w:line="201" w:lineRule="exact"/>
        <w:rPr>
          <w:rFonts w:ascii="Arial" w:cs="Arial" w:eastAsia="Arial" w:hAnsi="Arial"/>
          <w:sz w:val="22"/>
          <w:szCs w:val="22"/>
          <w:color w:val="auto"/>
        </w:rPr>
      </w:pPr>
    </w:p>
    <w:p>
      <w:pPr>
        <w:jc w:val="both"/>
        <w:ind w:left="660" w:hanging="328"/>
        <w:spacing w:after="0" w:line="250"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Interest in common/collective trusts - Represents interests in pooled investment vehicles designed primarily for collective investment of employee benefit trusts. The fair value of the investments in this category has been estimated using the NAV per unit as a practical expedient provided by the fund managers. Redemption restrictions range from 1 to 30 days, and there were no unfunded commitments in this investment category.</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valuation methodologies described above may produce a fair value calculation that may not be indicative of net realizable value or reflective of future fair values. Furthermore, while the Plans believe their valuation methods are appropriate and consistent with those of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2017 and 2016.</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by level, within the fair value hierarchy, the Master Trust's assets carried at fair value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2017:</w:t>
      </w:r>
    </w:p>
    <w:p>
      <w:pPr>
        <w:spacing w:after="0" w:line="200" w:lineRule="exact"/>
        <w:rPr>
          <w:sz w:val="20"/>
          <w:szCs w:val="20"/>
          <w:color w:val="auto"/>
        </w:rPr>
      </w:pP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4"/>
        </w:trPr>
        <w:tc>
          <w:tcPr>
            <w:tcW w:w="3480" w:type="dxa"/>
            <w:vAlign w:val="bottom"/>
          </w:tcPr>
          <w:p>
            <w:pPr>
              <w:spacing w:after="0"/>
              <w:rPr>
                <w:sz w:val="20"/>
                <w:szCs w:val="20"/>
                <w:color w:val="auto"/>
              </w:rPr>
            </w:pPr>
            <w:r>
              <w:rPr>
                <w:rFonts w:ascii="Arial" w:cs="Arial" w:eastAsia="Arial" w:hAnsi="Arial"/>
                <w:sz w:val="14"/>
                <w:szCs w:val="14"/>
                <w:color w:val="auto"/>
              </w:rPr>
              <w:t>Registered investment companies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205,424,771</w:t>
            </w: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205,424,771</w:t>
            </w:r>
          </w:p>
        </w:tc>
        <w:tc>
          <w:tcPr>
            <w:tcW w:w="2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0"/>
                <w:szCs w:val="20"/>
                <w:color w:val="auto"/>
              </w:rPr>
            </w:pPr>
            <w:r>
              <w:rPr>
                <w:rFonts w:ascii="Arial" w:cs="Arial" w:eastAsia="Arial" w:hAnsi="Arial"/>
                <w:sz w:val="14"/>
                <w:szCs w:val="14"/>
                <w:color w:val="auto"/>
              </w:rPr>
              <w:t>Self-directed brokerage accounts</w:t>
            </w:r>
          </w:p>
        </w:tc>
        <w:tc>
          <w:tcPr>
            <w:tcW w:w="3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245,948,752</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245,948,752</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480" w:type="dxa"/>
            <w:vAlign w:val="bottom"/>
          </w:tcPr>
          <w:p>
            <w:pPr>
              <w:spacing w:after="0"/>
              <w:rPr>
                <w:sz w:val="20"/>
                <w:szCs w:val="20"/>
                <w:color w:val="auto"/>
              </w:rPr>
            </w:pPr>
            <w:r>
              <w:rPr>
                <w:rFonts w:ascii="Arial" w:cs="Arial" w:eastAsia="Arial" w:hAnsi="Arial"/>
                <w:sz w:val="14"/>
                <w:szCs w:val="14"/>
                <w:color w:val="auto"/>
              </w:rPr>
              <w:t>Eli Lilly and Company common stock</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688,803,902</w:t>
            </w: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688,803,902</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1,140,177,425</w:t>
            </w: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1,140,177,425</w:t>
            </w:r>
          </w:p>
        </w:tc>
        <w:tc>
          <w:tcPr>
            <w:tcW w:w="2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4"/>
                <w:szCs w:val="14"/>
                <w:color w:val="auto"/>
              </w:rPr>
              <w:t>Interest in common/collective trusts, measured at NAV</w:t>
            </w:r>
          </w:p>
        </w:tc>
        <w:tc>
          <w:tcPr>
            <w:tcW w:w="300" w:type="dxa"/>
            <w:vAlign w:val="bottom"/>
          </w:tcPr>
          <w:p>
            <w:pPr>
              <w:spacing w:after="0" w:line="20" w:lineRule="exact"/>
              <w:rPr>
                <w:sz w:val="1"/>
                <w:szCs w:val="1"/>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5,064,416,729</w:t>
            </w: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480" w:type="dxa"/>
            <w:vAlign w:val="bottom"/>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Arial" w:cs="Arial" w:eastAsia="Arial" w:hAnsi="Arial"/>
                <w:sz w:val="14"/>
                <w:szCs w:val="14"/>
                <w:color w:val="auto"/>
              </w:rPr>
              <w:t>Total Master Trust investments, at fair value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6,204,594,154</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9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2017 and 2016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by level, within the fair value hierarchy, the Master Trust's assets carried at fair value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2016:</w:t>
      </w:r>
    </w:p>
    <w:p>
      <w:pPr>
        <w:spacing w:after="0" w:line="200" w:lineRule="exact"/>
        <w:rPr>
          <w:sz w:val="20"/>
          <w:szCs w:val="20"/>
          <w:color w:val="auto"/>
        </w:rPr>
      </w:pP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4"/>
        </w:trPr>
        <w:tc>
          <w:tcPr>
            <w:tcW w:w="3560" w:type="dxa"/>
            <w:vAlign w:val="bottom"/>
          </w:tcPr>
          <w:p>
            <w:pPr>
              <w:spacing w:after="0"/>
              <w:rPr>
                <w:sz w:val="20"/>
                <w:szCs w:val="20"/>
                <w:color w:val="auto"/>
              </w:rPr>
            </w:pPr>
            <w:r>
              <w:rPr>
                <w:rFonts w:ascii="Arial" w:cs="Arial" w:eastAsia="Arial" w:hAnsi="Arial"/>
                <w:sz w:val="14"/>
                <w:szCs w:val="14"/>
                <w:color w:val="auto"/>
              </w:rPr>
              <w:t>Registered investment companies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140,070,879</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140,070,879</w:t>
            </w:r>
          </w:p>
        </w:tc>
        <w:tc>
          <w:tcPr>
            <w:tcW w:w="200" w:type="dxa"/>
            <w:vAlign w:val="bottom"/>
          </w:tcPr>
          <w:p>
            <w:pPr>
              <w:spacing w:after="0"/>
              <w:rPr>
                <w:sz w:val="21"/>
                <w:szCs w:val="21"/>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4"/>
                <w:szCs w:val="14"/>
                <w:color w:val="auto"/>
              </w:rPr>
              <w:t>Self-directed brokerage accounts</w:t>
            </w:r>
          </w:p>
        </w:tc>
        <w:tc>
          <w:tcPr>
            <w:tcW w:w="3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224,573,356</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224,573,356</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60" w:type="dxa"/>
            <w:vAlign w:val="bottom"/>
          </w:tcPr>
          <w:p>
            <w:pPr>
              <w:spacing w:after="0"/>
              <w:rPr>
                <w:sz w:val="20"/>
                <w:szCs w:val="20"/>
                <w:color w:val="auto"/>
              </w:rPr>
            </w:pPr>
            <w:r>
              <w:rPr>
                <w:rFonts w:ascii="Arial" w:cs="Arial" w:eastAsia="Arial" w:hAnsi="Arial"/>
                <w:sz w:val="14"/>
                <w:szCs w:val="14"/>
                <w:color w:val="auto"/>
              </w:rPr>
              <w:t>Eli Lilly and Company common stock</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684,118,926</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684,118,926</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1,048,763,161</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1,048,763,161</w:t>
            </w:r>
          </w:p>
        </w:tc>
        <w:tc>
          <w:tcPr>
            <w:tcW w:w="200" w:type="dxa"/>
            <w:vAlign w:val="bottom"/>
          </w:tcPr>
          <w:p>
            <w:pPr>
              <w:spacing w:after="0"/>
              <w:rPr>
                <w:sz w:val="21"/>
                <w:szCs w:val="21"/>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4"/>
                <w:szCs w:val="14"/>
                <w:color w:val="auto"/>
              </w:rPr>
              <w:t>Interest in common/collective trusts, measured at NAV</w:t>
            </w:r>
          </w:p>
        </w:tc>
        <w:tc>
          <w:tcPr>
            <w:tcW w:w="300" w:type="dxa"/>
            <w:vAlign w:val="bottom"/>
          </w:tcPr>
          <w:p>
            <w:pPr>
              <w:spacing w:after="0" w:line="20" w:lineRule="exact"/>
              <w:rPr>
                <w:sz w:val="1"/>
                <w:szCs w:val="1"/>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4,155,651,704</w:t>
            </w: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560" w:type="dxa"/>
            <w:vAlign w:val="bottom"/>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4"/>
                <w:szCs w:val="14"/>
                <w:color w:val="auto"/>
              </w:rPr>
              <w:t>Total Master Trust investments, at fair value</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5,204,414,865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 5 - Income Tax Status</w:t>
      </w:r>
    </w:p>
    <w:p>
      <w:pPr>
        <w:spacing w:after="0" w:line="253"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401(k) Plan has received a determination letter from the IRS dated June 13, 2017, confirming generally that the 401(k) Plan meets the qualification requirements under Section 401(a) of the Internal Revenue Code (the Code) and, therefore, the related trust is exempt from taxation.</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Subsequent to the effective date of the determination letter, the 401(k) Plan was amended. Once qualified, the 401(k) Plan is required to operate in conformity with the Code to maintain its qualification. The plan administrator believes that the 401(k) Plan is being operated in compliance with applicable requirements of the Code and, therefore, believes that the 401(k) Plan remains qualified and the related trust is tax exempt.</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Puerto Rico Plan received a determination letter from the Commonwealth of Puerto Rico’s Department of Treasury dated February 3, 2016, confirming generally that the Puerto Rico Plan meets the qualification requirements of Section 1081.01 of the Puerto Rico Internal Revenue Code of 2011 (the Puerto Rico Code). Subsequent to the effective date of the determination letter, the Puerto Rico Plan was amended. Once qualified, the Puerto Rico Plan is required to operate in conformity with the Puerto Rico Code to maintain its qualification. The plan administrator believes that the Puerto Rico Plan is being operated in compliance with applicable requirements of the Puerto Rico Code and, therefore, believes that the Puerto Rico Plan is qualified and the related trust is tax exempt.</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U.S. GAAP requires plan management to evaluate uncertain tax positions taken by the Plans. The financial statement effects of a tax position are recognized when the position is more likely than not, based on technical merits, to be sustained upon examination by the IRS. The plan administrator has analyzed the tax positions taken by the Plans and has concluded that as of December 31, 2017, there are no uncertain positions taken or expected to be taken. The Plans have recognized no interest or penalties related to uncertain tax positions. The Plans are subject to routine audits by taxing jurisdictions; however, there are currently no audits for any tax periods in progress. The plan administrator believes that the Plans are no longer subject to income tax examinations for years prior to 2014.</w:t>
      </w:r>
    </w:p>
    <w:p>
      <w:pPr>
        <w:sectPr>
          <w:pgSz w:w="11900" w:h="16838" w:orient="portrait"/>
          <w:cols w:equalWidth="0" w:num="1">
            <w:col w:w="11420"/>
          </w:cols>
          <w:pgMar w:left="240" w:top="190"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90"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2017 and 2016</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 6 - Risks and Uncertainties</w:t>
      </w:r>
    </w:p>
    <w:p>
      <w:pPr>
        <w:spacing w:after="0" w:line="2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Plans invest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 7 - Transactions With Related Parties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During 2017, the 401(k) Plan received $17,438,038 in cash dividends from the Company on the common stock of the Company owned by the 401(k) Plan. During 2017, the Puerto Rico Plan received $902,187 in cash dividends from the Company on the common stock of the Company owned by the Puerto Rico Plan.</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 8 - Reconciliation of the Financial Statements to the Form 5500</w:t>
      </w:r>
    </w:p>
    <w:p>
      <w:pPr>
        <w:spacing w:after="0" w:line="253"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The following are reconciliations of net assets available for benefits as of December 31, 2017 and 2016, and the net increase in net assets available for benefits for the year ended December 31, 2017, with the corresponding amounts in the Form 5500.</w:t>
      </w:r>
    </w:p>
    <w:p>
      <w:pPr>
        <w:sectPr>
          <w:pgSz w:w="11900" w:h="16838" w:orient="portrait"/>
          <w:cols w:equalWidth="0" w:num="1">
            <w:col w:w="11420"/>
          </w:cols>
          <w:pgMar w:left="240" w:top="19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 w:right="880" w:hanging="147"/>
        <w:spacing w:after="0" w:line="295" w:lineRule="auto"/>
        <w:rPr>
          <w:sz w:val="20"/>
          <w:szCs w:val="20"/>
          <w:color w:val="auto"/>
        </w:rPr>
      </w:pPr>
      <w:r>
        <w:rPr>
          <w:rFonts w:ascii="Arial" w:cs="Arial" w:eastAsia="Arial" w:hAnsi="Arial"/>
          <w:sz w:val="20"/>
          <w:szCs w:val="20"/>
          <w:color w:val="auto"/>
        </w:rPr>
        <w:t>Net assets available for benefits at year end, as reported in the accompanying financial statements</w:t>
      </w:r>
    </w:p>
    <w:p>
      <w:pPr>
        <w:spacing w:after="0" w:line="2" w:lineRule="exact"/>
        <w:rPr>
          <w:sz w:val="20"/>
          <w:szCs w:val="20"/>
          <w:color w:val="auto"/>
        </w:rPr>
      </w:pPr>
    </w:p>
    <w:p>
      <w:pPr>
        <w:ind w:left="100" w:right="1980"/>
        <w:spacing w:after="0" w:line="491" w:lineRule="auto"/>
        <w:rPr>
          <w:sz w:val="20"/>
          <w:szCs w:val="20"/>
          <w:color w:val="auto"/>
        </w:rPr>
      </w:pPr>
      <w:r>
        <w:rPr>
          <w:rFonts w:ascii="Arial" w:cs="Arial" w:eastAsia="Arial" w:hAnsi="Arial"/>
          <w:sz w:val="16"/>
          <w:szCs w:val="16"/>
          <w:color w:val="auto"/>
        </w:rPr>
        <w:t>Distributions accrued on Form 5500 at year end Net assets available for benefits per Form 5500</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1580"/>
        <w:spacing w:after="0"/>
        <w:rPr>
          <w:sz w:val="20"/>
          <w:szCs w:val="20"/>
          <w:color w:val="auto"/>
        </w:rPr>
      </w:pPr>
      <w:r>
        <w:rPr>
          <w:rFonts w:ascii="Arial" w:cs="Arial" w:eastAsia="Arial" w:hAnsi="Arial"/>
          <w:sz w:val="20"/>
          <w:szCs w:val="20"/>
          <w:b w:val="1"/>
          <w:bCs w:val="1"/>
          <w:color w:val="auto"/>
        </w:rPr>
        <w:t>Decem</w:t>
      </w:r>
      <w:r>
        <w:rPr>
          <w:rFonts w:ascii="Arial" w:cs="Arial" w:eastAsia="Arial" w:hAnsi="Arial"/>
          <w:sz w:val="20"/>
          <w:szCs w:val="20"/>
          <w:b w:val="1"/>
          <w:bCs w:val="1"/>
          <w:u w:val="single" w:color="auto"/>
          <w:color w:val="auto"/>
        </w:rPr>
        <w:t>ber</w:t>
      </w:r>
      <w:r>
        <w:rPr>
          <w:rFonts w:ascii="Arial" w:cs="Arial" w:eastAsia="Arial" w:hAnsi="Arial"/>
          <w:sz w:val="20"/>
          <w:szCs w:val="20"/>
          <w:b w:val="1"/>
          <w:bCs w:val="1"/>
          <w:color w:val="auto"/>
        </w:rPr>
        <w:t xml:space="preserve">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30187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0" w:type="dxa"/>
            <w:vAlign w:val="bottom"/>
          </w:tcPr>
          <w:p>
            <w:pPr>
              <w:spacing w:after="0"/>
              <w:rPr>
                <w:sz w:val="22"/>
                <w:szCs w:val="22"/>
                <w:color w:val="auto"/>
              </w:rPr>
            </w:pPr>
          </w:p>
        </w:tc>
        <w:tc>
          <w:tcPr>
            <w:tcW w:w="2120" w:type="dxa"/>
            <w:vAlign w:val="bottom"/>
            <w:gridSpan w:val="2"/>
          </w:tcPr>
          <w:p>
            <w:pPr>
              <w:ind w:left="220"/>
              <w:spacing w:after="0"/>
              <w:rPr>
                <w:sz w:val="20"/>
                <w:szCs w:val="20"/>
                <w:color w:val="auto"/>
              </w:rPr>
            </w:pPr>
            <w:r>
              <w:rPr>
                <w:rFonts w:ascii="Arial" w:cs="Arial" w:eastAsia="Arial" w:hAnsi="Arial"/>
                <w:sz w:val="20"/>
                <w:szCs w:val="20"/>
                <w:b w:val="1"/>
                <w:bCs w:val="1"/>
                <w:color w:val="auto"/>
              </w:rPr>
              <w:t>401(k) Plan</w:t>
            </w:r>
          </w:p>
        </w:tc>
        <w:tc>
          <w:tcPr>
            <w:tcW w:w="280" w:type="dxa"/>
            <w:vAlign w:val="bottom"/>
          </w:tcPr>
          <w:p>
            <w:pPr>
              <w:spacing w:after="0"/>
              <w:rPr>
                <w:sz w:val="22"/>
                <w:szCs w:val="22"/>
                <w:color w:val="auto"/>
              </w:rPr>
            </w:pPr>
          </w:p>
        </w:tc>
        <w:tc>
          <w:tcPr>
            <w:tcW w:w="2000" w:type="dxa"/>
            <w:vAlign w:val="bottom"/>
          </w:tcPr>
          <w:p>
            <w:pPr>
              <w:jc w:val="right"/>
              <w:ind w:right="321"/>
              <w:spacing w:after="0"/>
              <w:rPr>
                <w:sz w:val="20"/>
                <w:szCs w:val="20"/>
                <w:color w:val="auto"/>
              </w:rPr>
            </w:pPr>
            <w:r>
              <w:rPr>
                <w:rFonts w:ascii="Arial" w:cs="Arial" w:eastAsia="Arial" w:hAnsi="Arial"/>
                <w:sz w:val="20"/>
                <w:szCs w:val="20"/>
                <w:b w:val="1"/>
                <w:bCs w:val="1"/>
                <w:color w:val="auto"/>
                <w:w w:val="97"/>
              </w:rPr>
              <w:t>Puerto Rico Plan</w:t>
            </w:r>
          </w:p>
        </w:tc>
      </w:tr>
      <w:tr>
        <w:trPr>
          <w:trHeight w:val="23"/>
        </w:trPr>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875"/>
        </w:trPr>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6,991,143,767</w:t>
            </w:r>
          </w:p>
        </w:tc>
        <w:tc>
          <w:tcPr>
            <w:tcW w:w="34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2000" w:type="dxa"/>
            <w:vAlign w:val="bottom"/>
          </w:tcPr>
          <w:p>
            <w:pPr>
              <w:jc w:val="right"/>
              <w:ind w:right="21"/>
              <w:spacing w:after="0"/>
              <w:rPr>
                <w:sz w:val="20"/>
                <w:szCs w:val="20"/>
                <w:color w:val="auto"/>
              </w:rPr>
            </w:pPr>
            <w:r>
              <w:rPr>
                <w:rFonts w:ascii="Arial" w:cs="Arial" w:eastAsia="Arial" w:hAnsi="Arial"/>
                <w:sz w:val="20"/>
                <w:szCs w:val="20"/>
                <w:color w:val="auto"/>
              </w:rPr>
              <w:t>202,743,942</w:t>
            </w:r>
          </w:p>
        </w:tc>
      </w:tr>
      <w:tr>
        <w:trPr>
          <w:trHeight w:val="284"/>
        </w:trPr>
        <w:tc>
          <w:tcPr>
            <w:tcW w:w="3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(1,754,818)</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(342,179)</w:t>
            </w:r>
          </w:p>
        </w:tc>
      </w:tr>
      <w:tr>
        <w:trPr>
          <w:trHeight w:val="23"/>
        </w:trPr>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4"/>
        </w:trPr>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6,989,388,949</w:t>
            </w:r>
          </w:p>
        </w:tc>
        <w:tc>
          <w:tcPr>
            <w:tcW w:w="34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2000" w:type="dxa"/>
            <w:vAlign w:val="bottom"/>
          </w:tcPr>
          <w:p>
            <w:pPr>
              <w:jc w:val="right"/>
              <w:ind w:right="21"/>
              <w:spacing w:after="0"/>
              <w:rPr>
                <w:sz w:val="20"/>
                <w:szCs w:val="20"/>
                <w:color w:val="auto"/>
              </w:rPr>
            </w:pPr>
            <w:r>
              <w:rPr>
                <w:rFonts w:ascii="Arial" w:cs="Arial" w:eastAsia="Arial" w:hAnsi="Arial"/>
                <w:sz w:val="20"/>
                <w:szCs w:val="20"/>
                <w:color w:val="auto"/>
              </w:rPr>
              <w:t>202,401,763</w:t>
            </w:r>
          </w:p>
        </w:tc>
      </w:tr>
      <w:tr>
        <w:trPr>
          <w:trHeight w:val="23"/>
        </w:trPr>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580"/>
        <w:spacing w:after="0"/>
        <w:rPr>
          <w:sz w:val="20"/>
          <w:szCs w:val="20"/>
          <w:color w:val="auto"/>
        </w:rPr>
      </w:pPr>
      <w:r>
        <w:rPr>
          <w:rFonts w:ascii="Arial" w:cs="Arial" w:eastAsia="Arial" w:hAnsi="Arial"/>
          <w:sz w:val="20"/>
          <w:szCs w:val="20"/>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30187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18790" cy="17145"/>
                    </a:xfrm>
                    <a:prstGeom prst="rect">
                      <a:avLst/>
                    </a:prstGeom>
                    <a:noFill/>
                  </pic:spPr>
                </pic:pic>
              </a:graphicData>
            </a:graphic>
          </wp:anchor>
        </w:drawing>
      </w:r>
    </w:p>
    <w:p>
      <w:pPr>
        <w:spacing w:after="0" w:line="61" w:lineRule="exact"/>
        <w:rPr>
          <w:sz w:val="20"/>
          <w:szCs w:val="20"/>
          <w:color w:val="auto"/>
        </w:rPr>
      </w:pPr>
    </w:p>
    <w:p>
      <w:pPr>
        <w:ind w:left="580"/>
        <w:spacing w:after="0"/>
        <w:tabs>
          <w:tab w:leader="none" w:pos="2880" w:val="left"/>
        </w:tabs>
        <w:rPr>
          <w:sz w:val="20"/>
          <w:szCs w:val="20"/>
          <w:color w:val="auto"/>
        </w:rPr>
      </w:pPr>
      <w:r>
        <w:rPr>
          <w:rFonts w:ascii="Arial" w:cs="Arial" w:eastAsia="Arial" w:hAnsi="Arial"/>
          <w:sz w:val="20"/>
          <w:szCs w:val="20"/>
          <w:b w:val="1"/>
          <w:bCs w:val="1"/>
          <w:color w:val="auto"/>
        </w:rPr>
        <w:t>401(k) Plan</w:t>
      </w:r>
      <w:r>
        <w:rPr>
          <w:sz w:val="20"/>
          <w:szCs w:val="20"/>
          <w:color w:val="auto"/>
        </w:rPr>
        <w:tab/>
      </w:r>
      <w:r>
        <w:rPr>
          <w:rFonts w:ascii="Arial" w:cs="Arial" w:eastAsia="Arial" w:hAnsi="Arial"/>
          <w:sz w:val="16"/>
          <w:szCs w:val="16"/>
          <w:b w:val="1"/>
          <w:bCs w:val="1"/>
          <w:color w:val="auto"/>
        </w:rPr>
        <w:t>Puerto Rico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3018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820"/>
          </w:cols>
          <w:pgMar w:left="240" w:top="190" w:right="239" w:bottom="1440" w:gutter="0" w:footer="0" w:header="0"/>
          <w:type w:val="continuous"/>
        </w:sectPr>
      </w:pP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5220" w:type="dxa"/>
            <w:vAlign w:val="bottom"/>
          </w:tcPr>
          <w:p>
            <w:pPr>
              <w:spacing w:after="0"/>
              <w:rPr>
                <w:sz w:val="20"/>
                <w:szCs w:val="20"/>
                <w:color w:val="auto"/>
              </w:rPr>
            </w:pPr>
            <w:r>
              <w:rPr>
                <w:rFonts w:ascii="Arial" w:cs="Arial" w:eastAsia="Arial" w:hAnsi="Arial"/>
                <w:sz w:val="20"/>
                <w:szCs w:val="20"/>
                <w:color w:val="auto"/>
                <w:w w:val="93"/>
              </w:rPr>
              <w:t>Net assets available for benefits at year end, as reported in the</w:t>
            </w:r>
          </w:p>
        </w:tc>
        <w:tc>
          <w:tcPr>
            <w:tcW w:w="1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220" w:type="dxa"/>
            <w:vAlign w:val="bottom"/>
          </w:tcPr>
          <w:p>
            <w:pPr>
              <w:ind w:left="160"/>
              <w:spacing w:after="0"/>
              <w:rPr>
                <w:sz w:val="20"/>
                <w:szCs w:val="20"/>
                <w:color w:val="auto"/>
              </w:rPr>
            </w:pPr>
            <w:r>
              <w:rPr>
                <w:rFonts w:ascii="Arial" w:cs="Arial" w:eastAsia="Arial" w:hAnsi="Arial"/>
                <w:sz w:val="20"/>
                <w:szCs w:val="20"/>
                <w:color w:val="auto"/>
              </w:rPr>
              <w:t>accompanying financial statements</w:t>
            </w:r>
          </w:p>
        </w:tc>
        <w:tc>
          <w:tcPr>
            <w:tcW w:w="180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6,064,860,720</w:t>
            </w:r>
          </w:p>
        </w:tc>
        <w:tc>
          <w:tcPr>
            <w:tcW w:w="340" w:type="dxa"/>
            <w:vAlign w:val="bottom"/>
          </w:tcPr>
          <w:p>
            <w:pPr>
              <w:spacing w:after="0"/>
              <w:rPr>
                <w:sz w:val="24"/>
                <w:szCs w:val="24"/>
                <w:color w:val="auto"/>
              </w:rPr>
            </w:pPr>
          </w:p>
        </w:tc>
        <w:tc>
          <w:tcPr>
            <w:tcW w:w="660" w:type="dxa"/>
            <w:vAlign w:val="bottom"/>
          </w:tcPr>
          <w:p>
            <w:pPr>
              <w:jc w:val="right"/>
              <w:ind w:right="441"/>
              <w:spacing w:after="0"/>
              <w:rPr>
                <w:sz w:val="20"/>
                <w:szCs w:val="20"/>
                <w:color w:val="auto"/>
              </w:rPr>
            </w:pPr>
            <w:r>
              <w:rPr>
                <w:rFonts w:ascii="Arial" w:cs="Arial" w:eastAsia="Arial" w:hAnsi="Arial"/>
                <w:sz w:val="20"/>
                <w:szCs w:val="20"/>
                <w:color w:val="auto"/>
                <w:w w:val="89"/>
              </w:rPr>
              <w:t>$</w:t>
            </w:r>
          </w:p>
        </w:tc>
        <w:tc>
          <w:tcPr>
            <w:tcW w:w="1620" w:type="dxa"/>
            <w:vAlign w:val="bottom"/>
          </w:tcPr>
          <w:p>
            <w:pPr>
              <w:jc w:val="right"/>
              <w:ind w:right="21"/>
              <w:spacing w:after="0"/>
              <w:rPr>
                <w:sz w:val="20"/>
                <w:szCs w:val="20"/>
                <w:color w:val="auto"/>
              </w:rPr>
            </w:pPr>
            <w:r>
              <w:rPr>
                <w:rFonts w:ascii="Arial" w:cs="Arial" w:eastAsia="Arial" w:hAnsi="Arial"/>
                <w:sz w:val="20"/>
                <w:szCs w:val="20"/>
                <w:color w:val="auto"/>
              </w:rPr>
              <w:t>175,579,799</w:t>
            </w:r>
          </w:p>
        </w:tc>
        <w:tc>
          <w:tcPr>
            <w:tcW w:w="0" w:type="dxa"/>
            <w:vAlign w:val="bottom"/>
          </w:tcPr>
          <w:p>
            <w:pPr>
              <w:spacing w:after="0"/>
              <w:rPr>
                <w:sz w:val="1"/>
                <w:szCs w:val="1"/>
                <w:color w:val="auto"/>
              </w:rPr>
            </w:pPr>
          </w:p>
        </w:tc>
      </w:tr>
      <w:tr>
        <w:trPr>
          <w:trHeight w:val="284"/>
        </w:trPr>
        <w:tc>
          <w:tcPr>
            <w:tcW w:w="5220" w:type="dxa"/>
            <w:vAlign w:val="bottom"/>
          </w:tcPr>
          <w:p>
            <w:pPr>
              <w:spacing w:after="0"/>
              <w:rPr>
                <w:sz w:val="20"/>
                <w:szCs w:val="20"/>
                <w:color w:val="auto"/>
              </w:rPr>
            </w:pPr>
            <w:r>
              <w:rPr>
                <w:rFonts w:ascii="Arial" w:cs="Arial" w:eastAsia="Arial" w:hAnsi="Arial"/>
                <w:sz w:val="20"/>
                <w:szCs w:val="20"/>
                <w:color w:val="auto"/>
              </w:rPr>
              <w:t>Distributions accrued on Form 5500 at year end</w:t>
            </w: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(1,641,569)</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(10,208)</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220" w:type="dxa"/>
            <w:vAlign w:val="bottom"/>
          </w:tcPr>
          <w:p>
            <w:pPr>
              <w:spacing w:after="0"/>
              <w:rPr>
                <w:sz w:val="20"/>
                <w:szCs w:val="20"/>
                <w:color w:val="auto"/>
              </w:rPr>
            </w:pPr>
            <w:r>
              <w:rPr>
                <w:rFonts w:ascii="Arial" w:cs="Arial" w:eastAsia="Arial" w:hAnsi="Arial"/>
                <w:sz w:val="20"/>
                <w:szCs w:val="20"/>
                <w:color w:val="auto"/>
              </w:rPr>
              <w:t>Net assets available for benefits per Form 5500</w:t>
            </w:r>
          </w:p>
        </w:tc>
        <w:tc>
          <w:tcPr>
            <w:tcW w:w="180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6,063,219,151</w:t>
            </w:r>
          </w:p>
        </w:tc>
        <w:tc>
          <w:tcPr>
            <w:tcW w:w="340" w:type="dxa"/>
            <w:vAlign w:val="bottom"/>
          </w:tcPr>
          <w:p>
            <w:pPr>
              <w:spacing w:after="0"/>
              <w:rPr>
                <w:sz w:val="23"/>
                <w:szCs w:val="23"/>
                <w:color w:val="auto"/>
              </w:rPr>
            </w:pPr>
          </w:p>
        </w:tc>
        <w:tc>
          <w:tcPr>
            <w:tcW w:w="660" w:type="dxa"/>
            <w:vAlign w:val="bottom"/>
          </w:tcPr>
          <w:p>
            <w:pPr>
              <w:jc w:val="right"/>
              <w:ind w:right="441"/>
              <w:spacing w:after="0"/>
              <w:rPr>
                <w:sz w:val="20"/>
                <w:szCs w:val="20"/>
                <w:color w:val="auto"/>
              </w:rPr>
            </w:pPr>
            <w:r>
              <w:rPr>
                <w:rFonts w:ascii="Arial" w:cs="Arial" w:eastAsia="Arial" w:hAnsi="Arial"/>
                <w:sz w:val="20"/>
                <w:szCs w:val="20"/>
                <w:color w:val="auto"/>
                <w:w w:val="89"/>
              </w:rPr>
              <w:t>$</w:t>
            </w:r>
          </w:p>
        </w:tc>
        <w:tc>
          <w:tcPr>
            <w:tcW w:w="1620" w:type="dxa"/>
            <w:vAlign w:val="bottom"/>
          </w:tcPr>
          <w:p>
            <w:pPr>
              <w:jc w:val="right"/>
              <w:ind w:right="21"/>
              <w:spacing w:after="0"/>
              <w:rPr>
                <w:sz w:val="20"/>
                <w:szCs w:val="20"/>
                <w:color w:val="auto"/>
              </w:rPr>
            </w:pPr>
            <w:r>
              <w:rPr>
                <w:rFonts w:ascii="Arial" w:cs="Arial" w:eastAsia="Arial" w:hAnsi="Arial"/>
                <w:sz w:val="20"/>
                <w:szCs w:val="20"/>
                <w:color w:val="auto"/>
              </w:rPr>
              <w:t>175,569,591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80" w:type="dxa"/>
            <w:vAlign w:val="bottom"/>
            <w:vMerge w:val="restart"/>
          </w:tcPr>
          <w:p>
            <w:pPr>
              <w:jc w:val="right"/>
              <w:ind w:right="704"/>
              <w:spacing w:after="0"/>
              <w:rPr>
                <w:sz w:val="20"/>
                <w:szCs w:val="20"/>
                <w:color w:val="auto"/>
              </w:rPr>
            </w:pPr>
            <w:r>
              <w:rPr>
                <w:rFonts w:ascii="Arial" w:cs="Arial" w:eastAsia="Arial" w:hAnsi="Arial"/>
                <w:sz w:val="18"/>
                <w:szCs w:val="18"/>
                <w:color w:val="auto"/>
              </w:rPr>
              <w:t>16</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90" w:right="239" w:bottom="1440" w:gutter="0" w:footer="0" w:header="0"/>
          <w:type w:val="continuous"/>
        </w:sectPr>
      </w:pPr>
    </w:p>
    <w:bookmarkStart w:id="16" w:name="page17"/>
    <w:bookmarkEnd w:id="16"/>
    <w:p>
      <w:pPr>
        <w:jc w:val="center"/>
        <w:ind w:right="20"/>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auto"/>
        </w:rPr>
        <w:t>The Savings Plan for Lilly Affiliate Employees in Puerto Rico</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December 31, 2017 and 2016</w:t>
      </w:r>
    </w:p>
    <w:p>
      <w:pPr>
        <w:sectPr>
          <w:pgSz w:w="11900" w:h="16838" w:orient="portrait"/>
          <w:cols w:equalWidth="0" w:num="1">
            <w:col w:w="11380"/>
          </w:cols>
          <w:pgMar w:left="280" w:top="19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0" w:right="1320" w:hanging="148"/>
        <w:spacing w:after="0" w:line="295" w:lineRule="auto"/>
        <w:rPr>
          <w:sz w:val="20"/>
          <w:szCs w:val="20"/>
          <w:color w:val="auto"/>
        </w:rPr>
      </w:pPr>
      <w:r>
        <w:rPr>
          <w:rFonts w:ascii="Arial" w:cs="Arial" w:eastAsia="Arial" w:hAnsi="Arial"/>
          <w:sz w:val="20"/>
          <w:szCs w:val="20"/>
          <w:color w:val="auto"/>
        </w:rPr>
        <w:t>Net increase in net assets available for benefits, as reported in the accompanying financial statements</w:t>
      </w:r>
    </w:p>
    <w:p>
      <w:pPr>
        <w:spacing w:after="0" w:line="2" w:lineRule="exact"/>
        <w:rPr>
          <w:sz w:val="20"/>
          <w:szCs w:val="20"/>
          <w:color w:val="auto"/>
        </w:rPr>
      </w:pPr>
    </w:p>
    <w:p>
      <w:pPr>
        <w:ind w:right="1540"/>
        <w:spacing w:after="0" w:line="369" w:lineRule="auto"/>
        <w:rPr>
          <w:sz w:val="20"/>
          <w:szCs w:val="20"/>
          <w:color w:val="auto"/>
        </w:rPr>
      </w:pPr>
      <w:r>
        <w:rPr>
          <w:rFonts w:ascii="Arial" w:cs="Arial" w:eastAsia="Arial" w:hAnsi="Arial"/>
          <w:sz w:val="16"/>
          <w:szCs w:val="16"/>
          <w:color w:val="auto"/>
        </w:rPr>
        <w:t>Distributions accrued on Form 5500 at December 31, 2017 Distributions accrued on Form 5500 at December 31, 2016</w:t>
      </w:r>
    </w:p>
    <w:p>
      <w:pPr>
        <w:spacing w:after="0" w:line="1" w:lineRule="exact"/>
        <w:rPr>
          <w:sz w:val="20"/>
          <w:szCs w:val="20"/>
          <w:color w:val="auto"/>
        </w:rPr>
      </w:pPr>
    </w:p>
    <w:p>
      <w:pPr>
        <w:ind w:left="140" w:right="1280" w:hanging="148"/>
        <w:spacing w:after="0" w:line="260" w:lineRule="auto"/>
        <w:rPr>
          <w:sz w:val="20"/>
          <w:szCs w:val="20"/>
          <w:color w:val="auto"/>
        </w:rPr>
      </w:pPr>
      <w:r>
        <w:rPr>
          <w:rFonts w:ascii="Arial" w:cs="Arial" w:eastAsia="Arial" w:hAnsi="Arial"/>
          <w:sz w:val="20"/>
          <w:szCs w:val="20"/>
          <w:color w:val="auto"/>
        </w:rPr>
        <w:t>Net increase in net assets available for benefits, as reported on the Form 5500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28301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0" w:type="dxa"/>
            <w:vAlign w:val="bottom"/>
          </w:tcPr>
          <w:p>
            <w:pPr>
              <w:spacing w:after="0"/>
              <w:rPr>
                <w:sz w:val="22"/>
                <w:szCs w:val="22"/>
                <w:color w:val="auto"/>
              </w:rPr>
            </w:pPr>
          </w:p>
        </w:tc>
        <w:tc>
          <w:tcPr>
            <w:tcW w:w="2160" w:type="dxa"/>
            <w:vAlign w:val="bottom"/>
            <w:gridSpan w:val="2"/>
          </w:tcPr>
          <w:p>
            <w:pPr>
              <w:ind w:left="240"/>
              <w:spacing w:after="0"/>
              <w:rPr>
                <w:sz w:val="20"/>
                <w:szCs w:val="20"/>
                <w:color w:val="auto"/>
              </w:rPr>
            </w:pPr>
            <w:r>
              <w:rPr>
                <w:rFonts w:ascii="Arial" w:cs="Arial" w:eastAsia="Arial" w:hAnsi="Arial"/>
                <w:sz w:val="20"/>
                <w:szCs w:val="20"/>
                <w:b w:val="1"/>
                <w:bCs w:val="1"/>
                <w:color w:val="auto"/>
              </w:rPr>
              <w:t>401(k) Plan</w:t>
            </w:r>
          </w:p>
        </w:tc>
        <w:tc>
          <w:tcPr>
            <w:tcW w:w="180" w:type="dxa"/>
            <w:vAlign w:val="bottom"/>
          </w:tcPr>
          <w:p>
            <w:pPr>
              <w:spacing w:after="0"/>
              <w:rPr>
                <w:sz w:val="22"/>
                <w:szCs w:val="22"/>
                <w:color w:val="auto"/>
              </w:rPr>
            </w:pPr>
          </w:p>
        </w:tc>
        <w:tc>
          <w:tcPr>
            <w:tcW w:w="1760" w:type="dxa"/>
            <w:vAlign w:val="bottom"/>
          </w:tcPr>
          <w:p>
            <w:pPr>
              <w:jc w:val="right"/>
              <w:ind w:right="161"/>
              <w:spacing w:after="0"/>
              <w:rPr>
                <w:sz w:val="20"/>
                <w:szCs w:val="20"/>
                <w:color w:val="auto"/>
              </w:rPr>
            </w:pPr>
            <w:r>
              <w:rPr>
                <w:rFonts w:ascii="Arial" w:cs="Arial" w:eastAsia="Arial" w:hAnsi="Arial"/>
                <w:sz w:val="20"/>
                <w:szCs w:val="20"/>
                <w:b w:val="1"/>
                <w:bCs w:val="1"/>
                <w:color w:val="auto"/>
                <w:w w:val="92"/>
              </w:rPr>
              <w:t>Puerto Rico Plan</w:t>
            </w:r>
          </w:p>
        </w:tc>
      </w:tr>
      <w:tr>
        <w:trPr>
          <w:trHeight w:val="23"/>
        </w:trPr>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875"/>
        </w:trPr>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820" w:type="dxa"/>
            <w:vAlign w:val="bottom"/>
          </w:tcPr>
          <w:p>
            <w:pPr>
              <w:jc w:val="right"/>
              <w:ind w:right="21"/>
              <w:spacing w:after="0"/>
              <w:rPr>
                <w:sz w:val="20"/>
                <w:szCs w:val="20"/>
                <w:color w:val="auto"/>
              </w:rPr>
            </w:pPr>
            <w:r>
              <w:rPr>
                <w:rFonts w:ascii="Arial" w:cs="Arial" w:eastAsia="Arial" w:hAnsi="Arial"/>
                <w:sz w:val="20"/>
                <w:szCs w:val="20"/>
                <w:color w:val="auto"/>
              </w:rPr>
              <w:t>926,283,047</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27,164,143</w:t>
            </w:r>
          </w:p>
        </w:tc>
      </w:tr>
      <w:tr>
        <w:trPr>
          <w:trHeight w:val="284"/>
        </w:trPr>
        <w:tc>
          <w:tcPr>
            <w:tcW w:w="3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(1,754,818)</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(342,179)</w:t>
            </w:r>
          </w:p>
        </w:tc>
      </w:tr>
      <w:tr>
        <w:trPr>
          <w:trHeight w:val="284"/>
        </w:trPr>
        <w:tc>
          <w:tcPr>
            <w:tcW w:w="360" w:type="dxa"/>
            <w:vAlign w:val="bottom"/>
          </w:tcPr>
          <w:p>
            <w:pPr>
              <w:spacing w:after="0"/>
              <w:rPr>
                <w:sz w:val="24"/>
                <w:szCs w:val="24"/>
                <w:color w:val="auto"/>
              </w:rPr>
            </w:pPr>
          </w:p>
        </w:tc>
        <w:tc>
          <w:tcPr>
            <w:tcW w:w="1820" w:type="dxa"/>
            <w:vAlign w:val="bottom"/>
          </w:tcPr>
          <w:p>
            <w:pPr>
              <w:jc w:val="right"/>
              <w:ind w:right="21"/>
              <w:spacing w:after="0"/>
              <w:rPr>
                <w:sz w:val="20"/>
                <w:szCs w:val="20"/>
                <w:color w:val="auto"/>
              </w:rPr>
            </w:pPr>
            <w:r>
              <w:rPr>
                <w:rFonts w:ascii="Arial" w:cs="Arial" w:eastAsia="Arial" w:hAnsi="Arial"/>
                <w:sz w:val="20"/>
                <w:szCs w:val="20"/>
                <w:color w:val="auto"/>
              </w:rPr>
              <w:t>1,641,569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10,208</w:t>
            </w:r>
          </w:p>
        </w:tc>
      </w:tr>
      <w:tr>
        <w:trPr>
          <w:trHeight w:val="23"/>
        </w:trPr>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457"/>
        </w:trPr>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820" w:type="dxa"/>
            <w:vAlign w:val="bottom"/>
          </w:tcPr>
          <w:p>
            <w:pPr>
              <w:jc w:val="right"/>
              <w:ind w:right="21"/>
              <w:spacing w:after="0"/>
              <w:rPr>
                <w:sz w:val="20"/>
                <w:szCs w:val="20"/>
                <w:color w:val="auto"/>
              </w:rPr>
            </w:pPr>
            <w:r>
              <w:rPr>
                <w:rFonts w:ascii="Arial" w:cs="Arial" w:eastAsia="Arial" w:hAnsi="Arial"/>
                <w:sz w:val="20"/>
                <w:szCs w:val="20"/>
                <w:color w:val="auto"/>
              </w:rPr>
              <w:t>926,169,798</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26,832,172</w:t>
            </w:r>
          </w:p>
        </w:tc>
      </w:tr>
      <w:tr>
        <w:trPr>
          <w:trHeight w:val="23"/>
        </w:trPr>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00" w:space="720"/>
            <w:col w:w="4460"/>
          </w:cols>
          <w:pgMar w:left="280" w:top="19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80" w:top="190" w:right="239" w:bottom="1440"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Supplemental Schedules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1440" w:right="1440" w:bottom="1440" w:gutter="0" w:footer="0" w:header="0"/>
          <w:type w:val="continuous"/>
        </w:sectPr>
      </w:pPr>
    </w:p>
    <w:bookmarkStart w:id="18" w:name="page19"/>
    <w:bookmarkEnd w:id="18"/>
    <w:p>
      <w:pPr>
        <w:jc w:val="center"/>
        <w:ind w:right="20"/>
        <w:spacing w:after="0"/>
        <w:rPr>
          <w:sz w:val="20"/>
          <w:szCs w:val="20"/>
          <w:color w:val="auto"/>
        </w:rPr>
      </w:pPr>
      <w:r>
        <w:rPr>
          <w:rFonts w:ascii="Arial" w:cs="Arial" w:eastAsia="Arial" w:hAnsi="Arial"/>
          <w:sz w:val="25"/>
          <w:szCs w:val="25"/>
          <w:color w:val="auto"/>
        </w:rPr>
        <w:t>The Lilly Employee 401(k) Plan</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EIN 35-0470950 Plan No. 002</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Schedule H, Line 4i – Schedule of Assets</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(Held at End of Year)</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40" w:type="dxa"/>
            <w:vAlign w:val="bottom"/>
          </w:tcPr>
          <w:p>
            <w:pPr>
              <w:spacing w:after="0"/>
              <w:rPr>
                <w:sz w:val="21"/>
                <w:szCs w:val="21"/>
                <w:color w:val="auto"/>
              </w:rPr>
            </w:pPr>
          </w:p>
        </w:tc>
        <w:tc>
          <w:tcPr>
            <w:tcW w:w="4000" w:type="dxa"/>
            <w:vAlign w:val="bottom"/>
          </w:tcPr>
          <w:p>
            <w:pPr>
              <w:jc w:val="center"/>
              <w:ind w:right="1822"/>
              <w:spacing w:after="0"/>
              <w:rPr>
                <w:sz w:val="20"/>
                <w:szCs w:val="20"/>
                <w:color w:val="auto"/>
              </w:rPr>
            </w:pPr>
            <w:r>
              <w:rPr>
                <w:rFonts w:ascii="Arial" w:cs="Arial" w:eastAsia="Arial" w:hAnsi="Arial"/>
                <w:sz w:val="20"/>
                <w:szCs w:val="20"/>
                <w:color w:val="auto"/>
                <w:w w:val="88"/>
              </w:rPr>
              <w:t>December 31, 2017</w:t>
            </w:r>
          </w:p>
        </w:tc>
        <w:tc>
          <w:tcPr>
            <w:tcW w:w="6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878"/>
        </w:trPr>
        <w:tc>
          <w:tcPr>
            <w:tcW w:w="4040" w:type="dxa"/>
            <w:vAlign w:val="bottom"/>
          </w:tcPr>
          <w:p>
            <w:pPr>
              <w:spacing w:after="0"/>
              <w:rPr>
                <w:sz w:val="24"/>
                <w:szCs w:val="24"/>
                <w:color w:val="auto"/>
              </w:rPr>
            </w:pPr>
          </w:p>
        </w:tc>
        <w:tc>
          <w:tcPr>
            <w:tcW w:w="4000" w:type="dxa"/>
            <w:vAlign w:val="bottom"/>
          </w:tcPr>
          <w:p>
            <w:pPr>
              <w:jc w:val="center"/>
              <w:ind w:left="1382"/>
              <w:spacing w:after="0"/>
              <w:rPr>
                <w:sz w:val="20"/>
                <w:szCs w:val="20"/>
                <w:color w:val="auto"/>
              </w:rPr>
            </w:pPr>
            <w:r>
              <w:rPr>
                <w:rFonts w:ascii="Arial" w:cs="Arial" w:eastAsia="Arial" w:hAnsi="Arial"/>
                <w:sz w:val="20"/>
                <w:szCs w:val="20"/>
                <w:b w:val="1"/>
                <w:bCs w:val="1"/>
                <w:color w:val="auto"/>
                <w:w w:val="89"/>
              </w:rPr>
              <w:t>Description of</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40" w:type="dxa"/>
            <w:vAlign w:val="bottom"/>
          </w:tcPr>
          <w:p>
            <w:pPr>
              <w:spacing w:after="0"/>
              <w:rPr>
                <w:sz w:val="24"/>
                <w:szCs w:val="24"/>
                <w:color w:val="auto"/>
              </w:rPr>
            </w:pPr>
          </w:p>
        </w:tc>
        <w:tc>
          <w:tcPr>
            <w:tcW w:w="4000" w:type="dxa"/>
            <w:vAlign w:val="bottom"/>
          </w:tcPr>
          <w:p>
            <w:pPr>
              <w:jc w:val="center"/>
              <w:ind w:left="1402"/>
              <w:spacing w:after="0"/>
              <w:rPr>
                <w:sz w:val="20"/>
                <w:szCs w:val="20"/>
                <w:color w:val="auto"/>
              </w:rPr>
            </w:pPr>
            <w:r>
              <w:rPr>
                <w:rFonts w:ascii="Arial" w:cs="Arial" w:eastAsia="Arial" w:hAnsi="Arial"/>
                <w:sz w:val="20"/>
                <w:szCs w:val="20"/>
                <w:b w:val="1"/>
                <w:bCs w:val="1"/>
                <w:color w:val="auto"/>
                <w:w w:val="89"/>
              </w:rPr>
              <w:t>Investments, Including</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40" w:type="dxa"/>
            <w:vAlign w:val="bottom"/>
          </w:tcPr>
          <w:p>
            <w:pPr>
              <w:spacing w:after="0"/>
              <w:rPr>
                <w:sz w:val="24"/>
                <w:szCs w:val="24"/>
                <w:color w:val="auto"/>
              </w:rPr>
            </w:pPr>
          </w:p>
        </w:tc>
        <w:tc>
          <w:tcPr>
            <w:tcW w:w="4000" w:type="dxa"/>
            <w:vAlign w:val="bottom"/>
          </w:tcPr>
          <w:p>
            <w:pPr>
              <w:jc w:val="center"/>
              <w:ind w:left="1382"/>
              <w:spacing w:after="0"/>
              <w:rPr>
                <w:sz w:val="20"/>
                <w:szCs w:val="20"/>
                <w:color w:val="auto"/>
              </w:rPr>
            </w:pPr>
            <w:r>
              <w:rPr>
                <w:rFonts w:ascii="Arial" w:cs="Arial" w:eastAsia="Arial" w:hAnsi="Arial"/>
                <w:sz w:val="20"/>
                <w:szCs w:val="20"/>
                <w:b w:val="1"/>
                <w:bCs w:val="1"/>
                <w:color w:val="auto"/>
                <w:w w:val="93"/>
              </w:rPr>
              <w:t>Maturity Date, Rate of</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40" w:type="dxa"/>
            <w:vAlign w:val="bottom"/>
          </w:tcPr>
          <w:p>
            <w:pPr>
              <w:jc w:val="center"/>
              <w:ind w:left="1121"/>
              <w:spacing w:after="0"/>
              <w:rPr>
                <w:sz w:val="20"/>
                <w:szCs w:val="20"/>
                <w:color w:val="auto"/>
              </w:rPr>
            </w:pPr>
            <w:r>
              <w:rPr>
                <w:rFonts w:ascii="Arial" w:cs="Arial" w:eastAsia="Arial" w:hAnsi="Arial"/>
                <w:sz w:val="20"/>
                <w:szCs w:val="20"/>
                <w:b w:val="1"/>
                <w:bCs w:val="1"/>
                <w:color w:val="auto"/>
                <w:w w:val="89"/>
              </w:rPr>
              <w:t>Identity of Issue, Borrower,</w:t>
            </w:r>
          </w:p>
        </w:tc>
        <w:tc>
          <w:tcPr>
            <w:tcW w:w="4000" w:type="dxa"/>
            <w:vAlign w:val="bottom"/>
          </w:tcPr>
          <w:p>
            <w:pPr>
              <w:jc w:val="center"/>
              <w:ind w:left="1382"/>
              <w:spacing w:after="0"/>
              <w:rPr>
                <w:sz w:val="20"/>
                <w:szCs w:val="20"/>
                <w:color w:val="auto"/>
              </w:rPr>
            </w:pPr>
            <w:r>
              <w:rPr>
                <w:rFonts w:ascii="Arial" w:cs="Arial" w:eastAsia="Arial" w:hAnsi="Arial"/>
                <w:sz w:val="20"/>
                <w:szCs w:val="20"/>
                <w:b w:val="1"/>
                <w:bCs w:val="1"/>
                <w:color w:val="auto"/>
                <w:w w:val="89"/>
              </w:rPr>
              <w:t>Interest, Par, or</w:t>
            </w:r>
          </w:p>
        </w:tc>
        <w:tc>
          <w:tcPr>
            <w:tcW w:w="620" w:type="dxa"/>
            <w:vAlign w:val="bottom"/>
          </w:tcPr>
          <w:p>
            <w:pPr>
              <w:spacing w:after="0"/>
              <w:rPr>
                <w:sz w:val="24"/>
                <w:szCs w:val="24"/>
                <w:color w:val="auto"/>
              </w:rPr>
            </w:pPr>
          </w:p>
        </w:tc>
        <w:tc>
          <w:tcPr>
            <w:tcW w:w="1500" w:type="dxa"/>
            <w:vAlign w:val="bottom"/>
          </w:tcPr>
          <w:p>
            <w:pPr>
              <w:jc w:val="center"/>
              <w:ind w:right="261"/>
              <w:spacing w:after="0"/>
              <w:rPr>
                <w:sz w:val="20"/>
                <w:szCs w:val="20"/>
                <w:color w:val="auto"/>
              </w:rPr>
            </w:pPr>
            <w:r>
              <w:rPr>
                <w:rFonts w:ascii="Arial" w:cs="Arial" w:eastAsia="Arial" w:hAnsi="Arial"/>
                <w:sz w:val="20"/>
                <w:szCs w:val="20"/>
                <w:b w:val="1"/>
                <w:bCs w:val="1"/>
                <w:color w:val="auto"/>
                <w:w w:val="96"/>
              </w:rPr>
              <w:t>Current</w:t>
            </w:r>
          </w:p>
        </w:tc>
      </w:tr>
      <w:tr>
        <w:trPr>
          <w:trHeight w:val="284"/>
        </w:trPr>
        <w:tc>
          <w:tcPr>
            <w:tcW w:w="4040" w:type="dxa"/>
            <w:vAlign w:val="bottom"/>
          </w:tcPr>
          <w:p>
            <w:pPr>
              <w:jc w:val="center"/>
              <w:ind w:left="1121"/>
              <w:spacing w:after="0"/>
              <w:rPr>
                <w:sz w:val="20"/>
                <w:szCs w:val="20"/>
                <w:color w:val="auto"/>
              </w:rPr>
            </w:pPr>
            <w:r>
              <w:rPr>
                <w:rFonts w:ascii="Arial" w:cs="Arial" w:eastAsia="Arial" w:hAnsi="Arial"/>
                <w:sz w:val="20"/>
                <w:szCs w:val="20"/>
                <w:b w:val="1"/>
                <w:bCs w:val="1"/>
                <w:color w:val="auto"/>
                <w:w w:val="89"/>
              </w:rPr>
              <w:t>Lessor, or Similar Party</w:t>
            </w:r>
          </w:p>
        </w:tc>
        <w:tc>
          <w:tcPr>
            <w:tcW w:w="4000" w:type="dxa"/>
            <w:vAlign w:val="bottom"/>
          </w:tcPr>
          <w:p>
            <w:pPr>
              <w:jc w:val="center"/>
              <w:ind w:left="1402"/>
              <w:spacing w:after="0"/>
              <w:rPr>
                <w:sz w:val="20"/>
                <w:szCs w:val="20"/>
                <w:color w:val="auto"/>
              </w:rPr>
            </w:pPr>
            <w:r>
              <w:rPr>
                <w:rFonts w:ascii="Arial" w:cs="Arial" w:eastAsia="Arial" w:hAnsi="Arial"/>
                <w:sz w:val="20"/>
                <w:szCs w:val="20"/>
                <w:b w:val="1"/>
                <w:bCs w:val="1"/>
                <w:color w:val="auto"/>
                <w:w w:val="95"/>
              </w:rPr>
              <w:t>Maturity Value</w:t>
            </w:r>
          </w:p>
        </w:tc>
        <w:tc>
          <w:tcPr>
            <w:tcW w:w="620" w:type="dxa"/>
            <w:vAlign w:val="bottom"/>
          </w:tcPr>
          <w:p>
            <w:pPr>
              <w:spacing w:after="0"/>
              <w:rPr>
                <w:sz w:val="24"/>
                <w:szCs w:val="24"/>
                <w:color w:val="auto"/>
              </w:rPr>
            </w:pPr>
          </w:p>
        </w:tc>
        <w:tc>
          <w:tcPr>
            <w:tcW w:w="1500" w:type="dxa"/>
            <w:vAlign w:val="bottom"/>
          </w:tcPr>
          <w:p>
            <w:pPr>
              <w:jc w:val="center"/>
              <w:ind w:right="281"/>
              <w:spacing w:after="0"/>
              <w:rPr>
                <w:sz w:val="20"/>
                <w:szCs w:val="20"/>
                <w:color w:val="auto"/>
              </w:rPr>
            </w:pPr>
            <w:r>
              <w:rPr>
                <w:rFonts w:ascii="Arial" w:cs="Arial" w:eastAsia="Arial" w:hAnsi="Arial"/>
                <w:sz w:val="20"/>
                <w:szCs w:val="20"/>
                <w:b w:val="1"/>
                <w:bCs w:val="1"/>
                <w:color w:val="auto"/>
                <w:w w:val="89"/>
              </w:rPr>
              <w:t>Value</w:t>
            </w:r>
          </w:p>
        </w:tc>
      </w:tr>
      <w:tr>
        <w:trPr>
          <w:trHeight w:val="23"/>
        </w:trPr>
        <w:tc>
          <w:tcPr>
            <w:tcW w:w="40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551"/>
        </w:trPr>
        <w:tc>
          <w:tcPr>
            <w:tcW w:w="404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4000" w:type="dxa"/>
            <w:vAlign w:val="bottom"/>
          </w:tcPr>
          <w:p>
            <w:pPr>
              <w:ind w:left="1260"/>
              <w:spacing w:after="0"/>
              <w:rPr>
                <w:sz w:val="20"/>
                <w:szCs w:val="20"/>
                <w:color w:val="auto"/>
              </w:rPr>
            </w:pPr>
            <w:r>
              <w:rPr>
                <w:rFonts w:ascii="Arial" w:cs="Arial" w:eastAsia="Arial" w:hAnsi="Arial"/>
                <w:sz w:val="20"/>
                <w:szCs w:val="20"/>
                <w:color w:val="auto"/>
              </w:rPr>
              <w:t>Interest rates ranging</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40" w:type="dxa"/>
            <w:vAlign w:val="bottom"/>
          </w:tcPr>
          <w:p>
            <w:pPr>
              <w:spacing w:after="0"/>
              <w:rPr>
                <w:sz w:val="24"/>
                <w:szCs w:val="24"/>
                <w:color w:val="auto"/>
              </w:rPr>
            </w:pPr>
          </w:p>
        </w:tc>
        <w:tc>
          <w:tcPr>
            <w:tcW w:w="4000" w:type="dxa"/>
            <w:vAlign w:val="bottom"/>
          </w:tcPr>
          <w:p>
            <w:pPr>
              <w:ind w:left="1400"/>
              <w:spacing w:after="0"/>
              <w:rPr>
                <w:sz w:val="20"/>
                <w:szCs w:val="20"/>
                <w:color w:val="auto"/>
              </w:rPr>
            </w:pPr>
            <w:r>
              <w:rPr>
                <w:rFonts w:ascii="Arial" w:cs="Arial" w:eastAsia="Arial" w:hAnsi="Arial"/>
                <w:sz w:val="20"/>
                <w:szCs w:val="20"/>
                <w:color w:val="auto"/>
              </w:rPr>
              <w:t>from 3.25% to 10.00%</w:t>
            </w:r>
          </w:p>
        </w:tc>
        <w:tc>
          <w:tcPr>
            <w:tcW w:w="6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33,464,590</w:t>
            </w:r>
          </w:p>
        </w:tc>
      </w:tr>
      <w:tr>
        <w:trPr>
          <w:trHeight w:val="581"/>
        </w:trPr>
        <w:tc>
          <w:tcPr>
            <w:tcW w:w="4040" w:type="dxa"/>
            <w:vAlign w:val="bottom"/>
          </w:tcPr>
          <w:p>
            <w:pPr>
              <w:ind w:left="20"/>
              <w:spacing w:after="0"/>
              <w:rPr>
                <w:sz w:val="20"/>
                <w:szCs w:val="20"/>
                <w:color w:val="auto"/>
              </w:rPr>
            </w:pPr>
            <w:r>
              <w:rPr>
                <w:rFonts w:ascii="Arial" w:cs="Arial" w:eastAsia="Arial" w:hAnsi="Arial"/>
                <w:sz w:val="20"/>
                <w:szCs w:val="20"/>
                <w:color w:val="auto"/>
              </w:rPr>
              <w:t>*Parties in interest.</w:t>
            </w:r>
          </w:p>
        </w:tc>
        <w:tc>
          <w:tcPr>
            <w:tcW w:w="4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98"/>
        </w:trPr>
        <w:tc>
          <w:tcPr>
            <w:tcW w:w="4040" w:type="dxa"/>
            <w:vAlign w:val="bottom"/>
          </w:tcPr>
          <w:p>
            <w:pPr>
              <w:spacing w:after="0"/>
              <w:rPr>
                <w:sz w:val="24"/>
                <w:szCs w:val="24"/>
                <w:color w:val="auto"/>
              </w:rPr>
            </w:pPr>
          </w:p>
        </w:tc>
        <w:tc>
          <w:tcPr>
            <w:tcW w:w="4000" w:type="dxa"/>
            <w:vAlign w:val="bottom"/>
          </w:tcPr>
          <w:p>
            <w:pPr>
              <w:jc w:val="right"/>
              <w:ind w:right="2782"/>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160"/>
          </w:cols>
          <w:pgMar w:left="880" w:top="528" w:right="85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EIN 98-0167031 Plan No. 004</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Schedule H, Line 4i – Schedule of Assets</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(Held at End of Year)</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40" w:type="dxa"/>
            <w:vAlign w:val="bottom"/>
          </w:tcPr>
          <w:p>
            <w:pPr>
              <w:spacing w:after="0"/>
              <w:rPr>
                <w:sz w:val="21"/>
                <w:szCs w:val="21"/>
                <w:color w:val="auto"/>
              </w:rPr>
            </w:pPr>
          </w:p>
        </w:tc>
        <w:tc>
          <w:tcPr>
            <w:tcW w:w="4000" w:type="dxa"/>
            <w:vAlign w:val="bottom"/>
          </w:tcPr>
          <w:p>
            <w:pPr>
              <w:jc w:val="center"/>
              <w:ind w:right="1822"/>
              <w:spacing w:after="0"/>
              <w:rPr>
                <w:sz w:val="20"/>
                <w:szCs w:val="20"/>
                <w:color w:val="auto"/>
              </w:rPr>
            </w:pPr>
            <w:r>
              <w:rPr>
                <w:rFonts w:ascii="Arial" w:cs="Arial" w:eastAsia="Arial" w:hAnsi="Arial"/>
                <w:sz w:val="20"/>
                <w:szCs w:val="20"/>
                <w:color w:val="auto"/>
                <w:w w:val="88"/>
              </w:rPr>
              <w:t>December 31, 2017</w:t>
            </w:r>
          </w:p>
        </w:tc>
        <w:tc>
          <w:tcPr>
            <w:tcW w:w="6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878"/>
        </w:trPr>
        <w:tc>
          <w:tcPr>
            <w:tcW w:w="4040" w:type="dxa"/>
            <w:vAlign w:val="bottom"/>
          </w:tcPr>
          <w:p>
            <w:pPr>
              <w:spacing w:after="0"/>
              <w:rPr>
                <w:sz w:val="24"/>
                <w:szCs w:val="24"/>
                <w:color w:val="auto"/>
              </w:rPr>
            </w:pPr>
          </w:p>
        </w:tc>
        <w:tc>
          <w:tcPr>
            <w:tcW w:w="4000" w:type="dxa"/>
            <w:vAlign w:val="bottom"/>
          </w:tcPr>
          <w:p>
            <w:pPr>
              <w:jc w:val="center"/>
              <w:ind w:left="1382"/>
              <w:spacing w:after="0"/>
              <w:rPr>
                <w:sz w:val="20"/>
                <w:szCs w:val="20"/>
                <w:color w:val="auto"/>
              </w:rPr>
            </w:pPr>
            <w:r>
              <w:rPr>
                <w:rFonts w:ascii="Arial" w:cs="Arial" w:eastAsia="Arial" w:hAnsi="Arial"/>
                <w:sz w:val="20"/>
                <w:szCs w:val="20"/>
                <w:b w:val="1"/>
                <w:bCs w:val="1"/>
                <w:color w:val="auto"/>
                <w:w w:val="89"/>
              </w:rPr>
              <w:t>Description of</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40" w:type="dxa"/>
            <w:vAlign w:val="bottom"/>
          </w:tcPr>
          <w:p>
            <w:pPr>
              <w:spacing w:after="0"/>
              <w:rPr>
                <w:sz w:val="24"/>
                <w:szCs w:val="24"/>
                <w:color w:val="auto"/>
              </w:rPr>
            </w:pPr>
          </w:p>
        </w:tc>
        <w:tc>
          <w:tcPr>
            <w:tcW w:w="4000" w:type="dxa"/>
            <w:vAlign w:val="bottom"/>
          </w:tcPr>
          <w:p>
            <w:pPr>
              <w:jc w:val="center"/>
              <w:ind w:left="1402"/>
              <w:spacing w:after="0"/>
              <w:rPr>
                <w:sz w:val="20"/>
                <w:szCs w:val="20"/>
                <w:color w:val="auto"/>
              </w:rPr>
            </w:pPr>
            <w:r>
              <w:rPr>
                <w:rFonts w:ascii="Arial" w:cs="Arial" w:eastAsia="Arial" w:hAnsi="Arial"/>
                <w:sz w:val="20"/>
                <w:szCs w:val="20"/>
                <w:b w:val="1"/>
                <w:bCs w:val="1"/>
                <w:color w:val="auto"/>
                <w:w w:val="89"/>
              </w:rPr>
              <w:t>Investments, Including</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40" w:type="dxa"/>
            <w:vAlign w:val="bottom"/>
          </w:tcPr>
          <w:p>
            <w:pPr>
              <w:spacing w:after="0"/>
              <w:rPr>
                <w:sz w:val="24"/>
                <w:szCs w:val="24"/>
                <w:color w:val="auto"/>
              </w:rPr>
            </w:pPr>
          </w:p>
        </w:tc>
        <w:tc>
          <w:tcPr>
            <w:tcW w:w="4000" w:type="dxa"/>
            <w:vAlign w:val="bottom"/>
          </w:tcPr>
          <w:p>
            <w:pPr>
              <w:jc w:val="center"/>
              <w:ind w:left="1382"/>
              <w:spacing w:after="0"/>
              <w:rPr>
                <w:sz w:val="20"/>
                <w:szCs w:val="20"/>
                <w:color w:val="auto"/>
              </w:rPr>
            </w:pPr>
            <w:r>
              <w:rPr>
                <w:rFonts w:ascii="Arial" w:cs="Arial" w:eastAsia="Arial" w:hAnsi="Arial"/>
                <w:sz w:val="20"/>
                <w:szCs w:val="20"/>
                <w:b w:val="1"/>
                <w:bCs w:val="1"/>
                <w:color w:val="auto"/>
                <w:w w:val="93"/>
              </w:rPr>
              <w:t>Maturity Date, Rate of</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40" w:type="dxa"/>
            <w:vAlign w:val="bottom"/>
          </w:tcPr>
          <w:p>
            <w:pPr>
              <w:jc w:val="center"/>
              <w:ind w:left="1121"/>
              <w:spacing w:after="0"/>
              <w:rPr>
                <w:sz w:val="20"/>
                <w:szCs w:val="20"/>
                <w:color w:val="auto"/>
              </w:rPr>
            </w:pPr>
            <w:r>
              <w:rPr>
                <w:rFonts w:ascii="Arial" w:cs="Arial" w:eastAsia="Arial" w:hAnsi="Arial"/>
                <w:sz w:val="20"/>
                <w:szCs w:val="20"/>
                <w:b w:val="1"/>
                <w:bCs w:val="1"/>
                <w:color w:val="auto"/>
                <w:w w:val="89"/>
              </w:rPr>
              <w:t>Identity of Issue, Borrower,</w:t>
            </w:r>
          </w:p>
        </w:tc>
        <w:tc>
          <w:tcPr>
            <w:tcW w:w="4000" w:type="dxa"/>
            <w:vAlign w:val="bottom"/>
          </w:tcPr>
          <w:p>
            <w:pPr>
              <w:jc w:val="center"/>
              <w:ind w:left="1382"/>
              <w:spacing w:after="0"/>
              <w:rPr>
                <w:sz w:val="20"/>
                <w:szCs w:val="20"/>
                <w:color w:val="auto"/>
              </w:rPr>
            </w:pPr>
            <w:r>
              <w:rPr>
                <w:rFonts w:ascii="Arial" w:cs="Arial" w:eastAsia="Arial" w:hAnsi="Arial"/>
                <w:sz w:val="20"/>
                <w:szCs w:val="20"/>
                <w:b w:val="1"/>
                <w:bCs w:val="1"/>
                <w:color w:val="auto"/>
                <w:w w:val="89"/>
              </w:rPr>
              <w:t>Interest, Par, or</w:t>
            </w:r>
          </w:p>
        </w:tc>
        <w:tc>
          <w:tcPr>
            <w:tcW w:w="620" w:type="dxa"/>
            <w:vAlign w:val="bottom"/>
          </w:tcPr>
          <w:p>
            <w:pPr>
              <w:spacing w:after="0"/>
              <w:rPr>
                <w:sz w:val="24"/>
                <w:szCs w:val="24"/>
                <w:color w:val="auto"/>
              </w:rPr>
            </w:pPr>
          </w:p>
        </w:tc>
        <w:tc>
          <w:tcPr>
            <w:tcW w:w="1500" w:type="dxa"/>
            <w:vAlign w:val="bottom"/>
          </w:tcPr>
          <w:p>
            <w:pPr>
              <w:jc w:val="center"/>
              <w:ind w:right="261"/>
              <w:spacing w:after="0"/>
              <w:rPr>
                <w:sz w:val="20"/>
                <w:szCs w:val="20"/>
                <w:color w:val="auto"/>
              </w:rPr>
            </w:pPr>
            <w:r>
              <w:rPr>
                <w:rFonts w:ascii="Arial" w:cs="Arial" w:eastAsia="Arial" w:hAnsi="Arial"/>
                <w:sz w:val="20"/>
                <w:szCs w:val="20"/>
                <w:b w:val="1"/>
                <w:bCs w:val="1"/>
                <w:color w:val="auto"/>
                <w:w w:val="96"/>
              </w:rPr>
              <w:t>Current</w:t>
            </w:r>
          </w:p>
        </w:tc>
      </w:tr>
      <w:tr>
        <w:trPr>
          <w:trHeight w:val="284"/>
        </w:trPr>
        <w:tc>
          <w:tcPr>
            <w:tcW w:w="4040" w:type="dxa"/>
            <w:vAlign w:val="bottom"/>
          </w:tcPr>
          <w:p>
            <w:pPr>
              <w:jc w:val="center"/>
              <w:ind w:left="1121"/>
              <w:spacing w:after="0"/>
              <w:rPr>
                <w:sz w:val="20"/>
                <w:szCs w:val="20"/>
                <w:color w:val="auto"/>
              </w:rPr>
            </w:pPr>
            <w:r>
              <w:rPr>
                <w:rFonts w:ascii="Arial" w:cs="Arial" w:eastAsia="Arial" w:hAnsi="Arial"/>
                <w:sz w:val="20"/>
                <w:szCs w:val="20"/>
                <w:b w:val="1"/>
                <w:bCs w:val="1"/>
                <w:color w:val="auto"/>
                <w:w w:val="89"/>
              </w:rPr>
              <w:t>Lessor, or Similar Party</w:t>
            </w:r>
          </w:p>
        </w:tc>
        <w:tc>
          <w:tcPr>
            <w:tcW w:w="4000" w:type="dxa"/>
            <w:vAlign w:val="bottom"/>
          </w:tcPr>
          <w:p>
            <w:pPr>
              <w:jc w:val="center"/>
              <w:ind w:left="1402"/>
              <w:spacing w:after="0"/>
              <w:rPr>
                <w:sz w:val="20"/>
                <w:szCs w:val="20"/>
                <w:color w:val="auto"/>
              </w:rPr>
            </w:pPr>
            <w:r>
              <w:rPr>
                <w:rFonts w:ascii="Arial" w:cs="Arial" w:eastAsia="Arial" w:hAnsi="Arial"/>
                <w:sz w:val="20"/>
                <w:szCs w:val="20"/>
                <w:b w:val="1"/>
                <w:bCs w:val="1"/>
                <w:color w:val="auto"/>
                <w:w w:val="95"/>
              </w:rPr>
              <w:t>Maturity Value</w:t>
            </w:r>
          </w:p>
        </w:tc>
        <w:tc>
          <w:tcPr>
            <w:tcW w:w="620" w:type="dxa"/>
            <w:vAlign w:val="bottom"/>
          </w:tcPr>
          <w:p>
            <w:pPr>
              <w:spacing w:after="0"/>
              <w:rPr>
                <w:sz w:val="24"/>
                <w:szCs w:val="24"/>
                <w:color w:val="auto"/>
              </w:rPr>
            </w:pPr>
          </w:p>
        </w:tc>
        <w:tc>
          <w:tcPr>
            <w:tcW w:w="1500" w:type="dxa"/>
            <w:vAlign w:val="bottom"/>
          </w:tcPr>
          <w:p>
            <w:pPr>
              <w:jc w:val="center"/>
              <w:ind w:right="281"/>
              <w:spacing w:after="0"/>
              <w:rPr>
                <w:sz w:val="20"/>
                <w:szCs w:val="20"/>
                <w:color w:val="auto"/>
              </w:rPr>
            </w:pPr>
            <w:r>
              <w:rPr>
                <w:rFonts w:ascii="Arial" w:cs="Arial" w:eastAsia="Arial" w:hAnsi="Arial"/>
                <w:sz w:val="20"/>
                <w:szCs w:val="20"/>
                <w:b w:val="1"/>
                <w:bCs w:val="1"/>
                <w:color w:val="auto"/>
                <w:w w:val="89"/>
              </w:rPr>
              <w:t>Value</w:t>
            </w:r>
          </w:p>
        </w:tc>
      </w:tr>
      <w:tr>
        <w:trPr>
          <w:trHeight w:val="23"/>
        </w:trPr>
        <w:tc>
          <w:tcPr>
            <w:tcW w:w="40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551"/>
        </w:trPr>
        <w:tc>
          <w:tcPr>
            <w:tcW w:w="404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4000" w:type="dxa"/>
            <w:vAlign w:val="bottom"/>
          </w:tcPr>
          <w:p>
            <w:pPr>
              <w:ind w:left="1260"/>
              <w:spacing w:after="0"/>
              <w:rPr>
                <w:sz w:val="20"/>
                <w:szCs w:val="20"/>
                <w:color w:val="auto"/>
              </w:rPr>
            </w:pPr>
            <w:r>
              <w:rPr>
                <w:rFonts w:ascii="Arial" w:cs="Arial" w:eastAsia="Arial" w:hAnsi="Arial"/>
                <w:sz w:val="20"/>
                <w:szCs w:val="20"/>
                <w:color w:val="auto"/>
              </w:rPr>
              <w:t>Interest rates ranging</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4040" w:type="dxa"/>
            <w:vAlign w:val="bottom"/>
          </w:tcPr>
          <w:p>
            <w:pPr>
              <w:spacing w:after="0"/>
              <w:rPr>
                <w:sz w:val="24"/>
                <w:szCs w:val="24"/>
                <w:color w:val="auto"/>
              </w:rPr>
            </w:pPr>
          </w:p>
        </w:tc>
        <w:tc>
          <w:tcPr>
            <w:tcW w:w="4000" w:type="dxa"/>
            <w:vAlign w:val="bottom"/>
          </w:tcPr>
          <w:p>
            <w:pPr>
              <w:ind w:left="1400"/>
              <w:spacing w:after="0"/>
              <w:rPr>
                <w:sz w:val="20"/>
                <w:szCs w:val="20"/>
                <w:color w:val="auto"/>
              </w:rPr>
            </w:pPr>
            <w:r>
              <w:rPr>
                <w:rFonts w:ascii="Arial" w:cs="Arial" w:eastAsia="Arial" w:hAnsi="Arial"/>
                <w:sz w:val="20"/>
                <w:szCs w:val="20"/>
                <w:color w:val="auto"/>
              </w:rPr>
              <w:t>from 4.25% to 9.50%</w:t>
            </w:r>
          </w:p>
        </w:tc>
        <w:tc>
          <w:tcPr>
            <w:tcW w:w="6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2,991,916</w:t>
            </w:r>
          </w:p>
        </w:tc>
      </w:tr>
      <w:tr>
        <w:trPr>
          <w:trHeight w:val="581"/>
        </w:trPr>
        <w:tc>
          <w:tcPr>
            <w:tcW w:w="4040" w:type="dxa"/>
            <w:vAlign w:val="bottom"/>
          </w:tcPr>
          <w:p>
            <w:pPr>
              <w:ind w:left="20"/>
              <w:spacing w:after="0"/>
              <w:rPr>
                <w:sz w:val="20"/>
                <w:szCs w:val="20"/>
                <w:color w:val="auto"/>
              </w:rPr>
            </w:pPr>
            <w:r>
              <w:rPr>
                <w:rFonts w:ascii="Arial" w:cs="Arial" w:eastAsia="Arial" w:hAnsi="Arial"/>
                <w:sz w:val="20"/>
                <w:szCs w:val="20"/>
                <w:color w:val="auto"/>
              </w:rPr>
              <w:t>*Parties in interest.</w:t>
            </w:r>
          </w:p>
        </w:tc>
        <w:tc>
          <w:tcPr>
            <w:tcW w:w="4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98"/>
        </w:trPr>
        <w:tc>
          <w:tcPr>
            <w:tcW w:w="4040" w:type="dxa"/>
            <w:vAlign w:val="bottom"/>
          </w:tcPr>
          <w:p>
            <w:pPr>
              <w:spacing w:after="0"/>
              <w:rPr>
                <w:sz w:val="24"/>
                <w:szCs w:val="24"/>
                <w:color w:val="auto"/>
              </w:rPr>
            </w:pPr>
          </w:p>
        </w:tc>
        <w:tc>
          <w:tcPr>
            <w:tcW w:w="4000" w:type="dxa"/>
            <w:vAlign w:val="bottom"/>
          </w:tcPr>
          <w:p>
            <w:pPr>
              <w:jc w:val="right"/>
              <w:ind w:right="2782"/>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160"/>
          </w:cols>
          <w:pgMar w:left="880" w:top="528" w:right="859" w:bottom="1440" w:gutter="0" w:footer="0" w:header="0"/>
        </w:sectPr>
      </w:pPr>
    </w:p>
    <w:bookmarkStart w:id="20" w:name="page21"/>
    <w:bookmarkEnd w:id="20"/>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395" w:lineRule="auto"/>
        <w:rPr>
          <w:sz w:val="20"/>
          <w:szCs w:val="20"/>
          <w:color w:val="auto"/>
        </w:rPr>
      </w:pPr>
      <w:r>
        <w:rPr>
          <w:rFonts w:ascii="Arial" w:cs="Arial" w:eastAsia="Arial" w:hAnsi="Arial"/>
          <w:sz w:val="21"/>
          <w:szCs w:val="21"/>
          <w:color w:val="auto"/>
        </w:rPr>
        <w:t>Pursuant to the requirements of the Securities Exchange Act of 1934, the trustees (or other persons who administer the Plans) have duly caused this annual report to be signed on its behalf by the undersigned hereunto duly authorized.</w:t>
      </w:r>
    </w:p>
    <w:p>
      <w:pPr>
        <w:spacing w:after="0" w:line="24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The Lilly Employee 401(k) Plan</w:t>
      </w:r>
    </w:p>
    <w:p>
      <w:pPr>
        <w:spacing w:after="0" w:line="200" w:lineRule="exact"/>
        <w:rPr>
          <w:sz w:val="20"/>
          <w:szCs w:val="20"/>
          <w:color w:val="auto"/>
        </w:rPr>
      </w:pPr>
    </w:p>
    <w:p>
      <w:pPr>
        <w:spacing w:after="0" w:line="222"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Date: June 18, 2018</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Stacey M. Roberson</w:t>
      </w:r>
    </w:p>
    <w:p>
      <w:pPr>
        <w:spacing w:after="0" w:line="7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Stacey M. Roberson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Employee Benefits Committee</w:t>
      </w:r>
    </w:p>
    <w:p>
      <w:pPr>
        <w:spacing w:after="0" w:line="296"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The Savings Plan for Lilly Affiliate Employees</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in Puerto Rico</w:t>
      </w:r>
    </w:p>
    <w:p>
      <w:pPr>
        <w:spacing w:after="0" w:line="200" w:lineRule="exact"/>
        <w:rPr>
          <w:sz w:val="20"/>
          <w:szCs w:val="20"/>
          <w:color w:val="auto"/>
        </w:rPr>
      </w:pPr>
    </w:p>
    <w:p>
      <w:pPr>
        <w:spacing w:after="0" w:line="272"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Date: June 18, 2018</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Stacey M. Roberson</w:t>
      </w:r>
    </w:p>
    <w:p>
      <w:pPr>
        <w:spacing w:after="0" w:line="7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Stacey M. Roberson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Employee Benefits Committee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23" w:right="359" w:bottom="1440" w:gutter="0" w:footer="0" w:header="0"/>
        </w:sectPr>
      </w:pPr>
    </w:p>
    <w:bookmarkStart w:id="21" w:name="page22"/>
    <w:bookmarkEnd w:id="21"/>
    <w:p>
      <w:pPr>
        <w:jc w:val="right"/>
        <w:ind w:right="387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11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200" w:lineRule="exact"/>
        <w:rPr>
          <w:sz w:val="20"/>
          <w:szCs w:val="20"/>
          <w:color w:val="auto"/>
        </w:rPr>
      </w:pPr>
    </w:p>
    <w:p>
      <w:pPr>
        <w:spacing w:after="0" w:line="236" w:lineRule="exact"/>
        <w:rPr>
          <w:sz w:val="20"/>
          <w:szCs w:val="20"/>
          <w:color w:val="auto"/>
        </w:rPr>
      </w:pPr>
    </w:p>
    <w:p>
      <w:pPr>
        <w:spacing w:after="0"/>
        <w:tabs>
          <w:tab w:leader="none" w:pos="740" w:val="left"/>
        </w:tabs>
        <w:rPr>
          <w:sz w:val="20"/>
          <w:szCs w:val="20"/>
          <w:color w:val="auto"/>
        </w:rPr>
      </w:pPr>
      <w:r>
        <w:rPr>
          <w:rFonts w:ascii="Arial" w:cs="Arial" w:eastAsia="Arial" w:hAnsi="Arial"/>
          <w:sz w:val="21"/>
          <w:szCs w:val="21"/>
          <w:color w:val="auto"/>
        </w:rPr>
        <w:t>23</w:t>
      </w:r>
      <w:r>
        <w:rPr>
          <w:sz w:val="20"/>
          <w:szCs w:val="20"/>
          <w:color w:val="auto"/>
        </w:rPr>
        <w:tab/>
      </w:r>
      <w:r>
        <w:rPr>
          <w:rFonts w:ascii="Arial" w:cs="Arial" w:eastAsia="Arial" w:hAnsi="Arial"/>
          <w:sz w:val="21"/>
          <w:szCs w:val="2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423"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We consent to the incorporation by reference in the Registration Statement (Form S-8 No. 333-172422) pertaining to The Lilly Employee 401(k) Plan and The Savings Plan for Lilly Affiliate Employees in Puerto Rico of Eli Lilly and Company of our report dated June 18, 2018, with respect to the financial statements and schedules of The Lilly Employee 401(k) Plan and The Savings Plan for Lilly Affiliate Employees in Puerto Rico (the Plans) included in this Annual Report (Form 11-K)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June 18, 2018</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1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We consent to the incorporation by reference in the Registration Statement (Form S-8 No. 333-172422) pertaining to The Lilly Employee 401(k) Plan and The Savings Plan for Lilly Affiliate Employees in Puerto Rico of Eli Lilly and Company of our report dated June 18, 2018, with respect to the financial statements and schedules of The Lilly Employee 401(k) Plan and The Savings Plan for Lilly Affiliate Employees in Puerto Rico (the Plans) included in this Annual Report (Form 11-K)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June 18, 2018</w:t>
      </w:r>
    </w:p>
    <w:sectPr>
      <w:pgSz w:w="11900" w:h="16838" w:orient="portrait"/>
      <w:cols w:equalWidth="0" w:num="1">
        <w:col w:w="11420"/>
      </w:cols>
      <w:pgMar w:left="240" w:top="6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2019-12-05T07:12:38Z</dcterms:created>
  <dcterms:modified xsi:type="dcterms:W3CDTF">2019-12-05T07:12:38Z</dcterms:modified>
</cp:coreProperties>
</file>