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CoLucid Pharmaceuticals, Inc.</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ProCar Acquisition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(Offeror)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 wholly-owned subsidiary of</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Eli Lilly and Company</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(Parent of Offeror)</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(Names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19716T101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10153</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460" w:type="dxa"/>
            <w:vAlign w:val="bottom"/>
            <w:gridSpan w:val="2"/>
          </w:tcPr>
          <w:p>
            <w:pPr>
              <w:ind w:left="38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9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3980" w:type="dxa"/>
            <w:vAlign w:val="bottom"/>
            <w:tcBorders>
              <w:left w:val="single" w:sz="8" w:color="auto"/>
              <w:bottom w:val="single" w:sz="8" w:color="auto"/>
            </w:tcBorders>
          </w:tcPr>
          <w:p>
            <w:pPr>
              <w:jc w:val="center"/>
              <w:ind w:left="1719"/>
              <w:spacing w:after="0" w:line="142" w:lineRule="exact"/>
              <w:rPr>
                <w:sz w:val="20"/>
                <w:szCs w:val="20"/>
                <w:color w:val="auto"/>
              </w:rPr>
            </w:pPr>
            <w:r>
              <w:rPr>
                <w:rFonts w:ascii="Arial" w:cs="Arial" w:eastAsia="Arial" w:hAnsi="Arial"/>
                <w:sz w:val="14"/>
                <w:szCs w:val="14"/>
                <w:b w:val="1"/>
                <w:bCs w:val="1"/>
                <w:color w:val="auto"/>
                <w:w w:val="93"/>
              </w:rPr>
              <w:t>Transaction Valuation*</w:t>
            </w:r>
          </w:p>
        </w:tc>
        <w:tc>
          <w:tcPr>
            <w:tcW w:w="166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Amount of Filing Fee**</w:t>
            </w:r>
          </w:p>
        </w:tc>
      </w:tr>
      <w:tr>
        <w:trPr>
          <w:trHeight w:val="210"/>
        </w:trPr>
        <w:tc>
          <w:tcPr>
            <w:tcW w:w="3980" w:type="dxa"/>
            <w:vAlign w:val="bottom"/>
            <w:tcBorders>
              <w:left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rPr>
              <w:t>$971,384,209.50</w:t>
            </w:r>
          </w:p>
        </w:tc>
        <w:tc>
          <w:tcPr>
            <w:tcW w:w="166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419"/>
              <w:spacing w:after="0"/>
              <w:rPr>
                <w:sz w:val="20"/>
                <w:szCs w:val="20"/>
                <w:color w:val="auto"/>
              </w:rPr>
            </w:pPr>
            <w:r>
              <w:rPr>
                <w:rFonts w:ascii="Arial" w:cs="Arial" w:eastAsia="Arial" w:hAnsi="Arial"/>
                <w:sz w:val="18"/>
                <w:szCs w:val="18"/>
                <w:color w:val="auto"/>
              </w:rPr>
              <w:t>$112,583.43</w:t>
            </w:r>
          </w:p>
        </w:tc>
      </w:tr>
    </w:tbl>
    <w:p>
      <w:pPr>
        <w:ind w:left="460" w:right="18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$0.001 per share, of CoLucid Pharmaceuticals, Inc. (“CoLucid”), at a purchase price of $46.50 per share, net to the seller in cash, without interest and subject to any required tax withholding. Such shares consist of, as of 5:00 p.m., New York City time, on January 30, 2017 (the most recent practicable date): (i) 19,284,290 shares of common stock of CoLucid that were issued and outstanding; (ii) 1,340,206 shares of</w:t>
      </w:r>
    </w:p>
    <w:p>
      <w:pPr>
        <w:spacing w:after="0" w:line="1" w:lineRule="exact"/>
        <w:rPr>
          <w:sz w:val="24"/>
          <w:szCs w:val="24"/>
          <w:color w:val="auto"/>
        </w:rPr>
      </w:pPr>
    </w:p>
    <w:p>
      <w:pPr>
        <w:ind w:left="460" w:right="140"/>
        <w:spacing w:after="0" w:line="250" w:lineRule="auto"/>
        <w:rPr>
          <w:sz w:val="20"/>
          <w:szCs w:val="20"/>
          <w:color w:val="auto"/>
        </w:rPr>
      </w:pPr>
      <w:r>
        <w:rPr>
          <w:rFonts w:ascii="Arial" w:cs="Arial" w:eastAsia="Arial" w:hAnsi="Arial"/>
          <w:sz w:val="18"/>
          <w:szCs w:val="18"/>
          <w:color w:val="auto"/>
        </w:rPr>
        <w:t>common stock of CoLucid potentially issuable upon exercise of outstanding exercisable in-the-money stock options; (iii) 263,147 shares of common stock of CoLucid issuable upon the settlement of outstanding restricted stock units; and (iv) 2,340 shares of common stock of CoLucid estimated to be subject to outstanding purchase rights under CoLucid’s 2015 Employee Stock Purchase Plan.</w:t>
      </w:r>
    </w:p>
    <w:p>
      <w:pPr>
        <w:spacing w:after="0" w:line="1" w:lineRule="exact"/>
        <w:rPr>
          <w:sz w:val="24"/>
          <w:szCs w:val="24"/>
          <w:color w:val="auto"/>
        </w:rPr>
      </w:pPr>
    </w:p>
    <w:p>
      <w:pPr>
        <w:ind w:left="460" w:right="24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2017, issued August 31, 2016, by multiplying the transaction value by 0.0001159.</w:t>
      </w:r>
    </w:p>
    <w:p>
      <w:pPr>
        <w:spacing w:after="0" w:line="211" w:lineRule="exact"/>
        <w:rPr>
          <w:sz w:val="24"/>
          <w:szCs w:val="24"/>
          <w:color w:val="auto"/>
        </w:rPr>
      </w:pPr>
    </w:p>
    <w:p>
      <w:pPr>
        <w:ind w:left="460" w:right="28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517" w:right="219" w:bottom="0" w:gutter="0" w:footer="0" w:header="0"/>
        </w:sectPr>
      </w:pPr>
    </w:p>
    <w:bookmarkStart w:id="1" w:name="page2"/>
    <w:bookmarkEnd w:id="1"/>
    <w:p>
      <w:pPr>
        <w:ind w:left="912"/>
        <w:spacing w:after="0"/>
        <w:rPr>
          <w:sz w:val="20"/>
          <w:szCs w:val="20"/>
          <w:color w:val="auto"/>
        </w:rPr>
      </w:pPr>
      <w:r>
        <w:rPr>
          <w:rFonts w:ascii="Arial" w:cs="Arial" w:eastAsia="Arial" w:hAnsi="Arial"/>
          <w:sz w:val="17"/>
          <w:szCs w:val="17"/>
          <w:color w:val="auto"/>
        </w:rPr>
        <w:t>Amount Previously Paid: $112,583.43</w:t>
      </w:r>
    </w:p>
    <w:p>
      <w:pPr>
        <w:spacing w:after="0" w:line="237"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Form or Registration No.: Schedule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Filing Party: ProCar Acquisition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Eli Lilly and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Filed: January 31, 2017</w:t>
      </w:r>
    </w:p>
    <w:p>
      <w:pPr>
        <w:spacing w:after="0" w:line="200" w:lineRule="exact"/>
        <w:rPr>
          <w:sz w:val="20"/>
          <w:szCs w:val="20"/>
          <w:color w:val="auto"/>
        </w:rPr>
      </w:pPr>
    </w:p>
    <w:p>
      <w:pPr>
        <w:sectPr>
          <w:pgSz w:w="11900" w:h="16838" w:orient="portrait"/>
          <w:cols w:equalWidth="0" w:num="2">
            <w:col w:w="6332" w:space="720"/>
            <w:col w:w="3260"/>
          </w:cols>
          <w:pgMar w:left="248" w:top="125" w:right="1339" w:bottom="1440" w:gutter="0" w:footer="0" w:header="0"/>
        </w:sectPr>
      </w:pPr>
    </w:p>
    <w:p>
      <w:pPr>
        <w:spacing w:after="0" w:line="38" w:lineRule="exact"/>
        <w:rPr>
          <w:sz w:val="20"/>
          <w:szCs w:val="20"/>
          <w:color w:val="auto"/>
        </w:rPr>
      </w:pPr>
    </w:p>
    <w:p>
      <w:pPr>
        <w:ind w:left="912" w:right="1040" w:hanging="912"/>
        <w:spacing w:after="0" w:line="527" w:lineRule="auto"/>
        <w:tabs>
          <w:tab w:leader="none" w:pos="445"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sz w:val="20"/>
          <w:szCs w:val="20"/>
          <w:color w:val="auto"/>
        </w:rPr>
      </w:pPr>
    </w:p>
    <w:p>
      <w:pPr>
        <w:ind w:left="1472" w:right="5040"/>
        <w:spacing w:after="0" w:line="224" w:lineRule="exact"/>
        <w:tabs>
          <w:tab w:leader="none" w:pos="191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72" w:right="490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50" w:lineRule="exact"/>
        <w:rPr>
          <w:sz w:val="20"/>
          <w:szCs w:val="20"/>
          <w:color w:val="auto"/>
        </w:rPr>
      </w:pPr>
    </w:p>
    <w:p>
      <w:pPr>
        <w:ind w:left="912"/>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12"/>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12" w:hanging="440"/>
        <w:spacing w:after="0"/>
        <w:tabs>
          <w:tab w:leader="none" w:pos="191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12" w:hanging="440"/>
        <w:spacing w:after="0"/>
        <w:tabs>
          <w:tab w:leader="none" w:pos="1912"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12"/>
          </w:cols>
          <w:pgMar w:left="248" w:top="125" w:right="1339" w:bottom="1440" w:gutter="0" w:footer="0" w:header="0"/>
          <w:type w:val="continuous"/>
        </w:sectPr>
      </w:pPr>
    </w:p>
    <w:bookmarkStart w:id="2" w:name="page3"/>
    <w:bookmarkEnd w:id="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(this “Amendment”) amends and supplements the Tender Offer Statement on Schedule TO (together with any subsequent amendments and supplements thereto, the “Schedule TO”), filed with the Securities and Exchange Commission on January 31, 2017 by ProCar Acquisition Corporation, a Delaware corporation (“Purchaser”) and a wholly-owned subsidiary of Eli Lilly and Company, an Indiana corporation (“Lilly”). The Schedule TO relates to the offer by Purchaser to purchase all of the outstanding shares of common stock, par value $0.001 per share (the “Shares”), of CoLucid Pharmaceuticals, Inc., a Delaware corporation (“CoLucid”), at a purchase price of $46.50 per Share, net to the seller in cash, without interest and subject to any required tax withholding, on the terms and subject to the conditions set forth in the Offer to Purchase, dated January 31, 2017 (the “Offer to Purchase”) and in the related Letter of Transmittal (which, together with the Offer to Purchase, as they may be amended or supplemented from time to time, collectively constitute the “Offer”), copies of which are attached to the Schedule TO as Exhibits (a)(1)(A) and (a)(1)(B), respectively.</w:t>
      </w:r>
    </w:p>
    <w:p>
      <w:pPr>
        <w:spacing w:after="0" w:line="1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Offer to Purchase and Items 1 through 9 and Item 11 of the Schedule TO, to the extent such Items incorporate by reference the information contained in the Offer to Purchase, are hereby amended as follows:</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Amending Section 15 — “Conditions of the Offer” of the Offer to Purchase by replacing all references to the phrase “the Acceptance Time” in such Section with “one minute after 11:59 p.m., New York City time, on the Expiration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Adding a new paragraph at the end of Section 15 — “Conditions of the Offer” of the Offer to Purchase to read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Antitrust Condition has been satisfied by the expiration of the HSR Act waiting period, effective February 13, 2017 at 11:59 p.m., New York City time.”</w:t>
      </w:r>
    </w:p>
    <w:p>
      <w:pPr>
        <w:spacing w:after="0" w:line="14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Amending and supplementing the second paragraph in Section 16 — “Certain Legal Matters; Regulatory Approvals—Antitrust Compliance” on page 40 of the Offer to Purchase to add at the end of such paragraph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waiting period applicable to the Offer under the HSR Act expired effective February 13, 2017 at 11:59 p.m., New York City time.”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Adding a new heading and paragraph at the end of Section 16 — “Certain Legal Matters; Regulatory Approvals” of the Offer to Purchase to read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Certain Litigation</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On February 3, 2017, a putative class action lawsuit (captioned </w:t>
      </w:r>
      <w:r>
        <w:rPr>
          <w:rFonts w:ascii="Arial" w:cs="Arial" w:eastAsia="Arial" w:hAnsi="Arial"/>
          <w:sz w:val="17"/>
          <w:szCs w:val="17"/>
          <w:i w:val="1"/>
          <w:iCs w:val="1"/>
          <w:color w:val="auto"/>
        </w:rPr>
        <w:t>Parshall v. CoLucid Pharmaceuticals, Inc. et al.</w:t>
      </w:r>
      <w:r>
        <w:rPr>
          <w:rFonts w:ascii="Arial" w:cs="Arial" w:eastAsia="Arial" w:hAnsi="Arial"/>
          <w:sz w:val="17"/>
          <w:szCs w:val="17"/>
          <w:color w:val="auto"/>
        </w:rPr>
        <w:t>, Case No. 17 cv-10197) (the “Action”) was filed in the United States District Court for the District of Massachusetts against CoLucid, individual members of the CoLucid Board, Purchaser and Lilly, alleging violations of Sections 14(d) and 14(e) of the Exchange Act, Rule 14d 9(d) promulgated under Section 14(d) of the Exchange Act, and Section 20(a) of the Exchange Act in connection with the Schedule 14D-9. The complaint filed in the Action alleges that the Schedule 14D-9 omits material information, rendering the information disclosed false and misleading. Plaintiff seeks, among other</w:t>
      </w:r>
    </w:p>
    <w:p>
      <w:pPr>
        <w:sectPr>
          <w:pgSz w:w="11900" w:h="16838" w:orient="portrait"/>
          <w:cols w:equalWidth="0" w:num="1">
            <w:col w:w="11400"/>
          </w:cols>
          <w:pgMar w:left="240" w:top="274" w:right="259" w:bottom="1440" w:gutter="0" w:footer="0" w:header="0"/>
        </w:sectPr>
      </w:pPr>
    </w:p>
    <w:bookmarkStart w:id="3" w:name="page4"/>
    <w:bookmarkEnd w:id="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things, orders (i) enjoining the defendants from proceeding with, consummating, or closing the Offer and the Merger, (ii) rescinding the Offer and the Merger if they are consummated or, alternatively, awarding unspecified rescissory damages, (iii) directing the individual members of the CoLucid Board to file an amended Schedule 14D-9, and (iv) awarding plaintiff’s costs, including attorneys’ fees. Lilly and Purchaser believe that the Action is without merit, and intend to vigorously defend against all claims asserted; however, its ultimate outcome cannot presently be determined.”</w:t>
      </w:r>
    </w:p>
    <w:p>
      <w:pPr>
        <w:sectPr>
          <w:pgSz w:w="11900" w:h="16838" w:orient="portrait"/>
          <w:cols w:equalWidth="0" w:num="1">
            <w:col w:w="11340"/>
          </w:cols>
          <w:pgMar w:left="240" w:top="27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ProCar Acquisition 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Darren J. Carroll</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Darren J. Carroll</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Eli Lilly and Company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Derica W. Rice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Derica W. Rice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 and CFO</w:t>
            </w:r>
          </w:p>
        </w:tc>
      </w:tr>
    </w:tbl>
    <w:p>
      <w:pPr>
        <w:sectPr>
          <w:pgSz w:w="11900" w:h="16838" w:orient="portrait"/>
          <w:cols w:equalWidth="0" w:num="1">
            <w:col w:w="11420"/>
          </w:cols>
          <w:pgMar w:left="240" w:top="27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3"/>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tcPr>
          <w:p>
            <w:pPr>
              <w:spacing w:after="0"/>
              <w:rPr>
                <w:sz w:val="24"/>
                <w:szCs w:val="24"/>
                <w:color w:val="auto"/>
              </w:rPr>
            </w:pPr>
          </w:p>
        </w:tc>
      </w:tr>
      <w:tr>
        <w:trPr>
          <w:trHeight w:val="318"/>
        </w:trPr>
        <w:tc>
          <w:tcPr>
            <w:tcW w:w="1500" w:type="dxa"/>
            <w:vAlign w:val="bottom"/>
            <w:gridSpan w:val="2"/>
          </w:tcPr>
          <w:p>
            <w:pPr>
              <w:spacing w:after="0"/>
              <w:rPr>
                <w:sz w:val="20"/>
                <w:szCs w:val="20"/>
                <w:color w:val="auto"/>
              </w:rPr>
            </w:pPr>
            <w:r>
              <w:rPr>
                <w:rFonts w:ascii="Arial" w:cs="Arial" w:eastAsia="Arial" w:hAnsi="Arial"/>
                <w:sz w:val="18"/>
                <w:szCs w:val="18"/>
                <w:color w:val="auto"/>
              </w:rPr>
              <w:t>(a)(1)(A)</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Offer to Purchase, dated January 31, 2017.*</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(a)(1)(B)</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(a)(1)(C)</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Notice of Guaranteed Delivery.*</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(a)(1)(D)</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(a)(1)(E)</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(a)(1)(F)</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Summary Advertisement, dated January 31, 2017.*</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(a)(5)(A)</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3"/>
              </w:rPr>
              <w:t>Joint Press Release issued by Lilly and CoLucid on January 18, 2017 (incorporated by reference to Exhibit 99.1 to the Schedule TO</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filed by Lilly on January 18, 2017).*</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(b)</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Not applicable.</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(d)(1)</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5"/>
              </w:rPr>
              <w:t>Agreement and Plan of Merger, dated as of January 17, 2017, among Eli Lilly and Company, ProCar Acquisition Corporation and</w:t>
            </w: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7"/>
              </w:rPr>
              <w:t>CoLucid Pharmaceuticals, Inc. (incorporated by reference to Exhibit 2.1 to the Current Report on Form 8-K filed by CoLucid on</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January 18, 2017).*</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(d)(2)</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1"/>
              </w:rPr>
              <w:t>Form of Tender and Support Agreement by and among Eli Lilly and Company, ProCar Acquisition Corporation and certain stockholders</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6"/>
              </w:rPr>
              <w:t>of CoLucid (incorporated by reference to Exhibit 10.1 to the Current Report on Form 8-K filed by CoLucid on January 18, 2017).*</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(d)(3)</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Confidentiality Agreement between CoLucid and Lilly dated as of September 19, 2016.*</w:t>
            </w:r>
          </w:p>
        </w:tc>
      </w:tr>
      <w:tr>
        <w:trPr>
          <w:trHeight w:val="310"/>
        </w:trPr>
        <w:tc>
          <w:tcPr>
            <w:tcW w:w="1500" w:type="dxa"/>
            <w:vAlign w:val="bottom"/>
            <w:gridSpan w:val="2"/>
          </w:tcPr>
          <w:p>
            <w:pPr>
              <w:spacing w:after="0"/>
              <w:rPr>
                <w:sz w:val="20"/>
                <w:szCs w:val="20"/>
                <w:color w:val="auto"/>
              </w:rPr>
            </w:pPr>
            <w:r>
              <w:rPr>
                <w:rFonts w:ascii="Arial" w:cs="Arial" w:eastAsia="Arial" w:hAnsi="Arial"/>
                <w:sz w:val="18"/>
                <w:szCs w:val="18"/>
                <w:color w:val="auto"/>
              </w:rPr>
              <w:t>(d)(4)</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0"/>
              </w:rPr>
              <w:t>Amended and Restated Development and License Agreement between CoLucid Pharmaceuticals, Inc. and Eli Lilly and Company, dated</w:t>
            </w:r>
          </w:p>
        </w:tc>
      </w:tr>
      <w:tr>
        <w:trPr>
          <w:trHeight w:val="216"/>
        </w:trPr>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w w:val="92"/>
              </w:rPr>
              <w:t>February 10, 2015 (incorporated by reference to Exhibit 10.10 to Amendment No. 3 to CoLucid’s Registration Statement on Form S-1</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filed on April 23, 2015 (file no. 333-203100)).*</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(g)</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Not applicable.</w:t>
            </w:r>
          </w:p>
        </w:tc>
      </w:tr>
      <w:tr>
        <w:trPr>
          <w:trHeight w:val="324"/>
        </w:trPr>
        <w:tc>
          <w:tcPr>
            <w:tcW w:w="1500" w:type="dxa"/>
            <w:vAlign w:val="bottom"/>
            <w:gridSpan w:val="2"/>
          </w:tcPr>
          <w:p>
            <w:pPr>
              <w:spacing w:after="0"/>
              <w:rPr>
                <w:sz w:val="20"/>
                <w:szCs w:val="20"/>
                <w:color w:val="auto"/>
              </w:rPr>
            </w:pPr>
            <w:r>
              <w:rPr>
                <w:rFonts w:ascii="Arial" w:cs="Arial" w:eastAsia="Arial" w:hAnsi="Arial"/>
                <w:sz w:val="18"/>
                <w:szCs w:val="18"/>
                <w:color w:val="auto"/>
              </w:rPr>
              <w:t>(h)</w:t>
            </w:r>
          </w:p>
        </w:tc>
        <w:tc>
          <w:tcPr>
            <w:tcW w:w="9920" w:type="dxa"/>
            <w:vAlign w:val="bottom"/>
            <w:gridSpan w:val="3"/>
          </w:tcPr>
          <w:p>
            <w:pPr>
              <w:ind w:left="80"/>
              <w:spacing w:after="0"/>
              <w:rPr>
                <w:sz w:val="20"/>
                <w:szCs w:val="20"/>
                <w:color w:val="auto"/>
              </w:rPr>
            </w:pPr>
            <w:r>
              <w:rPr>
                <w:rFonts w:ascii="Arial" w:cs="Arial" w:eastAsia="Arial" w:hAnsi="Arial"/>
                <w:sz w:val="18"/>
                <w:szCs w:val="18"/>
                <w:color w:val="auto"/>
              </w:rPr>
              <w:t>Not applicable.</w:t>
            </w:r>
          </w:p>
        </w:tc>
      </w:tr>
      <w:tr>
        <w:trPr>
          <w:trHeight w:val="459"/>
        </w:trPr>
        <w:tc>
          <w:tcPr>
            <w:tcW w:w="1500" w:type="dxa"/>
            <w:vAlign w:val="bottom"/>
            <w:gridSpan w:val="2"/>
          </w:tcPr>
          <w:p>
            <w:pPr>
              <w:spacing w:after="0"/>
              <w:rPr>
                <w:sz w:val="20"/>
                <w:szCs w:val="20"/>
                <w:color w:val="auto"/>
              </w:rPr>
            </w:pPr>
            <w:r>
              <w:rPr>
                <w:rFonts w:ascii="Arial" w:cs="Arial" w:eastAsia="Arial" w:hAnsi="Arial"/>
                <w:sz w:val="18"/>
                <w:szCs w:val="18"/>
                <w:color w:val="auto"/>
              </w:rPr>
              <w:t>*  Filed previously.</w:t>
            </w:r>
          </w:p>
        </w:tc>
        <w:tc>
          <w:tcPr>
            <w:tcW w:w="4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2019-12-18T17:42:29Z</dcterms:created>
  <dcterms:modified xsi:type="dcterms:W3CDTF">2019-12-18T17:42:29Z</dcterms:modified>
</cp:coreProperties>
</file>