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0"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right="2740" w:firstLine="8"/>
        <w:spacing w:after="0" w:line="261"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2016</w:t>
      </w:r>
      <w:r>
        <w:rPr>
          <w:rFonts w:ascii="Arial" w:cs="Arial" w:eastAsia="Arial" w:hAnsi="Arial"/>
          <w:sz w:val="18"/>
          <w:szCs w:val="18"/>
          <w:color w:val="auto"/>
        </w:rPr>
        <w:t>.</w:t>
      </w:r>
    </w:p>
    <w:p>
      <w:pPr>
        <w:jc w:val="center"/>
        <w:ind w:right="-219"/>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980" w:right="2440" w:hanging="971"/>
        <w:spacing w:after="0" w:line="290" w:lineRule="auto"/>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15(d) OF THE SECURITIES EXCHANGE ACT OF 1934</w:t>
      </w:r>
      <w:r>
        <w:rPr>
          <w:rFonts w:ascii="Arial" w:cs="Arial" w:eastAsia="Arial" w:hAnsi="Arial"/>
          <w:sz w:val="17"/>
          <w:szCs w:val="17"/>
          <w:color w:val="auto"/>
        </w:rPr>
        <w:t xml:space="preserve"> For the transition period from __________________________to __________________________</w:t>
      </w:r>
    </w:p>
    <w:p>
      <w:pPr>
        <w:spacing w:after="0" w:line="18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001-6351</w:t>
      </w:r>
    </w:p>
    <w:p>
      <w:pPr>
        <w:spacing w:after="0" w:line="24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200" w:lineRule="exact"/>
        <w:rPr>
          <w:sz w:val="24"/>
          <w:szCs w:val="24"/>
          <w:color w:val="auto"/>
        </w:rPr>
      </w:pP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Lilly Employee 401(k) Plan</w:t>
      </w:r>
    </w:p>
    <w:p>
      <w:pPr>
        <w:spacing w:after="0" w:line="5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Eli Lilly and Company</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Lilly Corporate Center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Indianapolis, Indiana 46285</w:t>
      </w:r>
    </w:p>
    <w:p>
      <w:pPr>
        <w:spacing w:after="0" w:line="200" w:lineRule="exact"/>
        <w:rPr>
          <w:sz w:val="24"/>
          <w:szCs w:val="24"/>
          <w:color w:val="auto"/>
        </w:rPr>
      </w:pPr>
    </w:p>
    <w:p>
      <w:pPr>
        <w:spacing w:after="0" w:line="306"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financial statements shall be furnished for the plan:</w:t>
      </w:r>
    </w:p>
    <w:p>
      <w:pPr>
        <w:spacing w:after="0" w:line="23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828" w:right="4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Financial Statements and Supplemental Schedules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December 31, 2016 and 2015 and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10040" w:type="dxa"/>
            <w:vAlign w:val="bottom"/>
          </w:tcPr>
          <w:p>
            <w:pPr>
              <w:ind w:left="4320"/>
              <w:spacing w:after="0"/>
              <w:rPr>
                <w:sz w:val="20"/>
                <w:szCs w:val="20"/>
                <w:color w:val="auto"/>
              </w:rPr>
            </w:pPr>
            <w:r>
              <w:rPr>
                <w:rFonts w:ascii="Arial" w:cs="Arial" w:eastAsia="Arial" w:hAnsi="Arial"/>
                <w:sz w:val="25"/>
                <w:szCs w:val="25"/>
                <w:b w:val="1"/>
                <w:bCs w:val="1"/>
                <w:color w:val="auto"/>
              </w:rPr>
              <w:t>Table of Contents</w:t>
            </w:r>
          </w:p>
        </w:tc>
        <w:tc>
          <w:tcPr>
            <w:tcW w:w="480" w:type="dxa"/>
            <w:vAlign w:val="bottom"/>
          </w:tcPr>
          <w:p>
            <w:pPr>
              <w:spacing w:after="0"/>
              <w:rPr>
                <w:sz w:val="24"/>
                <w:szCs w:val="24"/>
                <w:color w:val="auto"/>
              </w:rPr>
            </w:pPr>
          </w:p>
        </w:tc>
      </w:tr>
      <w:tr>
        <w:trPr>
          <w:trHeight w:val="775"/>
        </w:trPr>
        <w:tc>
          <w:tcPr>
            <w:tcW w:w="1004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324"/>
        </w:trPr>
        <w:tc>
          <w:tcPr>
            <w:tcW w:w="10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1004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1"/>
                <w:szCs w:val="21"/>
                <w:color w:val="auto"/>
              </w:rPr>
            </w:pPr>
          </w:p>
        </w:tc>
      </w:tr>
      <w:tr>
        <w:trPr>
          <w:trHeight w:val="54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- 2016</w:t>
            </w:r>
          </w:p>
        </w:tc>
        <w:tc>
          <w:tcPr>
            <w:tcW w:w="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- 2015</w:t>
            </w:r>
          </w:p>
        </w:tc>
        <w:tc>
          <w:tcPr>
            <w:tcW w:w="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Changes in Net Assets Available for Benefits</w:t>
            </w:r>
          </w:p>
        </w:tc>
        <w:tc>
          <w:tcPr>
            <w:tcW w:w="4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Notes to Financial Statements</w:t>
            </w:r>
          </w:p>
        </w:tc>
        <w:tc>
          <w:tcPr>
            <w:tcW w:w="4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324"/>
        </w:trPr>
        <w:tc>
          <w:tcPr>
            <w:tcW w:w="10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1004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8"/>
                <w:szCs w:val="18"/>
                <w:color w:val="auto"/>
              </w:rPr>
              <w:t>Supplemental Schedules</w:t>
            </w:r>
          </w:p>
        </w:tc>
        <w:tc>
          <w:tcPr>
            <w:tcW w:w="480" w:type="dxa"/>
            <w:vAlign w:val="bottom"/>
          </w:tcPr>
          <w:p>
            <w:pPr>
              <w:spacing w:after="0"/>
              <w:rPr>
                <w:sz w:val="21"/>
                <w:szCs w:val="21"/>
                <w:color w:val="auto"/>
              </w:rPr>
            </w:pPr>
          </w:p>
        </w:tc>
      </w:tr>
      <w:tr>
        <w:trPr>
          <w:trHeight w:val="526"/>
        </w:trPr>
        <w:tc>
          <w:tcPr>
            <w:tcW w:w="10040" w:type="dxa"/>
            <w:vAlign w:val="bottom"/>
          </w:tcPr>
          <w:p>
            <w:pPr>
              <w:ind w:left="20"/>
              <w:spacing w:after="0"/>
              <w:rPr>
                <w:sz w:val="20"/>
                <w:szCs w:val="20"/>
                <w:color w:val="auto"/>
              </w:rPr>
            </w:pPr>
            <w:r>
              <w:rPr>
                <w:rFonts w:ascii="Arial" w:cs="Arial" w:eastAsia="Arial" w:hAnsi="Arial"/>
                <w:sz w:val="18"/>
                <w:szCs w:val="18"/>
                <w:color w:val="auto"/>
              </w:rPr>
              <w:t>Schedule H, Line 4i - Schedule of Assets (Held at End of Year) -</w:t>
            </w:r>
          </w:p>
        </w:tc>
        <w:tc>
          <w:tcPr>
            <w:tcW w:w="480" w:type="dxa"/>
            <w:vAlign w:val="bottom"/>
          </w:tcPr>
          <w:p>
            <w:pPr>
              <w:spacing w:after="0"/>
              <w:rPr>
                <w:sz w:val="24"/>
                <w:szCs w:val="24"/>
                <w:color w:val="auto"/>
              </w:rPr>
            </w:pPr>
          </w:p>
        </w:tc>
      </w:tr>
      <w:tr>
        <w:trPr>
          <w:trHeight w:val="230"/>
        </w:trPr>
        <w:tc>
          <w:tcPr>
            <w:tcW w:w="10040" w:type="dxa"/>
            <w:vAlign w:val="bottom"/>
          </w:tcPr>
          <w:p>
            <w:pPr>
              <w:ind w:left="340"/>
              <w:spacing w:after="0"/>
              <w:rPr>
                <w:sz w:val="20"/>
                <w:szCs w:val="20"/>
                <w:color w:val="auto"/>
              </w:rPr>
            </w:pPr>
            <w:r>
              <w:rPr>
                <w:rFonts w:ascii="Arial" w:cs="Arial" w:eastAsia="Arial" w:hAnsi="Arial"/>
                <w:sz w:val="18"/>
                <w:szCs w:val="18"/>
                <w:color w:val="auto"/>
              </w:rPr>
              <w:t>The Lilly Employee 401(k) Plan</w:t>
            </w:r>
          </w:p>
        </w:tc>
        <w:tc>
          <w:tcPr>
            <w:tcW w:w="48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56"/>
        </w:trPr>
        <w:tc>
          <w:tcPr>
            <w:tcW w:w="10040" w:type="dxa"/>
            <w:vAlign w:val="bottom"/>
          </w:tcPr>
          <w:p>
            <w:pPr>
              <w:ind w:left="20"/>
              <w:spacing w:after="0"/>
              <w:rPr>
                <w:sz w:val="20"/>
                <w:szCs w:val="20"/>
                <w:color w:val="auto"/>
              </w:rPr>
            </w:pPr>
            <w:r>
              <w:rPr>
                <w:rFonts w:ascii="Arial" w:cs="Arial" w:eastAsia="Arial" w:hAnsi="Arial"/>
                <w:sz w:val="18"/>
                <w:szCs w:val="18"/>
                <w:color w:val="auto"/>
              </w:rPr>
              <w:t>Schedule H, Line 4i - Schedule of Assets (Held at End of Year) -</w:t>
            </w:r>
          </w:p>
        </w:tc>
        <w:tc>
          <w:tcPr>
            <w:tcW w:w="480" w:type="dxa"/>
            <w:vAlign w:val="bottom"/>
          </w:tcPr>
          <w:p>
            <w:pPr>
              <w:spacing w:after="0"/>
              <w:rPr>
                <w:sz w:val="22"/>
                <w:szCs w:val="22"/>
                <w:color w:val="auto"/>
              </w:rPr>
            </w:pPr>
          </w:p>
        </w:tc>
      </w:tr>
      <w:tr>
        <w:trPr>
          <w:trHeight w:val="230"/>
        </w:trPr>
        <w:tc>
          <w:tcPr>
            <w:tcW w:w="10040" w:type="dxa"/>
            <w:vAlign w:val="bottom"/>
          </w:tcPr>
          <w:p>
            <w:pPr>
              <w:ind w:left="340"/>
              <w:spacing w:after="0"/>
              <w:rPr>
                <w:sz w:val="20"/>
                <w:szCs w:val="20"/>
                <w:color w:val="auto"/>
              </w:rPr>
            </w:pPr>
            <w:r>
              <w:rPr>
                <w:rFonts w:ascii="Arial" w:cs="Arial" w:eastAsia="Arial" w:hAnsi="Arial"/>
                <w:sz w:val="18"/>
                <w:szCs w:val="18"/>
                <w:color w:val="auto"/>
              </w:rPr>
              <w:t>The Savings Plan for Lilly Affiliate Employees in Puerto Rico</w:t>
            </w:r>
          </w:p>
        </w:tc>
        <w:tc>
          <w:tcPr>
            <w:tcW w:w="48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4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Exhibit 23 Consent of Independent Registered Public Accounting Firm</w:t>
            </w:r>
          </w:p>
        </w:tc>
        <w:tc>
          <w:tcPr>
            <w:tcW w:w="4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702"/>
        </w:trPr>
        <w:tc>
          <w:tcPr>
            <w:tcW w:w="10040" w:type="dxa"/>
            <w:vAlign w:val="bottom"/>
          </w:tcPr>
          <w:p>
            <w:pPr>
              <w:ind w:left="5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r>
    </w:tbl>
    <w:p>
      <w:pPr>
        <w:sectPr>
          <w:pgSz w:w="11900" w:h="16838" w:orient="portrait"/>
          <w:cols w:equalWidth="0" w:num="1">
            <w:col w:w="10520"/>
          </w:cols>
          <w:pgMar w:left="680" w:top="427" w:right="69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The Employee Benefits Committee</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Eli Lilly and Company</w:t>
      </w:r>
    </w:p>
    <w:p>
      <w:pPr>
        <w:spacing w:after="0" w:line="200" w:lineRule="exact"/>
        <w:rPr>
          <w:sz w:val="20"/>
          <w:szCs w:val="20"/>
          <w:color w:val="auto"/>
        </w:rPr>
      </w:pPr>
    </w:p>
    <w:p>
      <w:pPr>
        <w:spacing w:after="0" w:line="30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have audited each of the accompanying statements of net assets available for benefits of The Lilly Employee 401(k) Plan and The Savings Plan for Lilly Affiliate Employees in Puerto Rico (the Plans) as of December 31, 2016 and 2015, and the related statements of changes in net assets available for benefits for the Plans for the year ended December 31, 2016. These financial statements are the responsibility of the Plans’ management. Our responsibility is to express an opinion on these financial statements based on our audits.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our opinion, the financial statements referred to above present fairly, in all material respects, the net assets available for benefits of the Plans at December 31, 2016 and 2015, and the changes in net assets available for benefits for the Plans for the year ended December 31, 2016, in conformity with U.S. generally accepted accounting principles.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accompanying supplemental schedules of assets (held at end of year) as of December 31, 2016 have been subjected to audit procedures performed in conjunction with the audit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June 26,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5" w:right="239" w:bottom="1440" w:gutter="0" w:footer="0" w:header="0"/>
        </w:sectPr>
      </w:pPr>
    </w:p>
    <w:bookmarkStart w:id="3" w:name="page4"/>
    <w:bookmarkEnd w:id="3"/>
    <w:p>
      <w:pPr>
        <w:jc w:val="center"/>
        <w:ind w:right="-699"/>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69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ind w:left="2940"/>
        <w:spacing w:after="0"/>
        <w:rPr>
          <w:sz w:val="20"/>
          <w:szCs w:val="20"/>
          <w:color w:val="auto"/>
        </w:rPr>
      </w:pPr>
      <w:r>
        <w:rPr>
          <w:rFonts w:ascii="Arial" w:cs="Arial" w:eastAsia="Arial" w:hAnsi="Arial"/>
          <w:sz w:val="25"/>
          <w:szCs w:val="25"/>
          <w:color w:val="auto"/>
        </w:rPr>
        <w:t>Statements of Net Assets Available for Benefits</w:t>
      </w:r>
    </w:p>
    <w:p>
      <w:pPr>
        <w:spacing w:after="0" w:line="38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jc w:val="center"/>
              <w:ind w:right="62"/>
              <w:spacing w:after="0"/>
              <w:rPr>
                <w:sz w:val="20"/>
                <w:szCs w:val="20"/>
                <w:color w:val="auto"/>
              </w:rPr>
            </w:pPr>
            <w:r>
              <w:rPr>
                <w:rFonts w:ascii="Arial" w:cs="Arial" w:eastAsia="Arial" w:hAnsi="Arial"/>
                <w:sz w:val="20"/>
                <w:szCs w:val="20"/>
                <w:b w:val="1"/>
                <w:bCs w:val="1"/>
                <w:color w:val="auto"/>
                <w:w w:val="89"/>
              </w:rPr>
              <w:t>The Savings Plan</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jc w:val="center"/>
              <w:ind w:right="82"/>
              <w:spacing w:after="0"/>
              <w:rPr>
                <w:sz w:val="20"/>
                <w:szCs w:val="20"/>
                <w:color w:val="auto"/>
              </w:rPr>
            </w:pPr>
            <w:r>
              <w:rPr>
                <w:rFonts w:ascii="Arial" w:cs="Arial" w:eastAsia="Arial" w:hAnsi="Arial"/>
                <w:sz w:val="20"/>
                <w:szCs w:val="20"/>
                <w:b w:val="1"/>
                <w:bCs w:val="1"/>
                <w:color w:val="auto"/>
                <w:w w:val="96"/>
              </w:rPr>
              <w:t>for Lilly</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1"/>
              </w:rPr>
              <w:t>The Lilly Employee</w:t>
            </w:r>
          </w:p>
        </w:tc>
        <w:tc>
          <w:tcPr>
            <w:tcW w:w="160" w:type="dxa"/>
            <w:vAlign w:val="bottom"/>
          </w:tcPr>
          <w:p>
            <w:pPr>
              <w:spacing w:after="0"/>
              <w:rPr>
                <w:sz w:val="19"/>
                <w:szCs w:val="19"/>
                <w:color w:val="auto"/>
              </w:rPr>
            </w:pPr>
          </w:p>
        </w:tc>
        <w:tc>
          <w:tcPr>
            <w:tcW w:w="2120" w:type="dxa"/>
            <w:vAlign w:val="bottom"/>
          </w:tcPr>
          <w:p>
            <w:pPr>
              <w:jc w:val="center"/>
              <w:ind w:right="62"/>
              <w:spacing w:after="0"/>
              <w:rPr>
                <w:sz w:val="20"/>
                <w:szCs w:val="20"/>
                <w:color w:val="auto"/>
              </w:rPr>
            </w:pPr>
            <w:r>
              <w:rPr>
                <w:rFonts w:ascii="Arial" w:cs="Arial" w:eastAsia="Arial" w:hAnsi="Arial"/>
                <w:sz w:val="20"/>
                <w:szCs w:val="20"/>
                <w:b w:val="1"/>
                <w:bCs w:val="1"/>
                <w:color w:val="auto"/>
                <w:w w:val="90"/>
              </w:rPr>
              <w:t>Affiliate Employees in</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0"/>
              </w:rPr>
              <w:t>401(k) Plan</w:t>
            </w:r>
          </w:p>
        </w:tc>
        <w:tc>
          <w:tcPr>
            <w:tcW w:w="160" w:type="dxa"/>
            <w:vAlign w:val="bottom"/>
          </w:tcPr>
          <w:p>
            <w:pPr>
              <w:spacing w:after="0"/>
              <w:rPr>
                <w:sz w:val="19"/>
                <w:szCs w:val="19"/>
                <w:color w:val="auto"/>
              </w:rPr>
            </w:pPr>
          </w:p>
        </w:tc>
        <w:tc>
          <w:tcPr>
            <w:tcW w:w="2120" w:type="dxa"/>
            <w:vAlign w:val="bottom"/>
          </w:tcPr>
          <w:p>
            <w:pPr>
              <w:jc w:val="center"/>
              <w:ind w:right="62"/>
              <w:spacing w:after="0"/>
              <w:rPr>
                <w:sz w:val="20"/>
                <w:szCs w:val="20"/>
                <w:color w:val="auto"/>
              </w:rPr>
            </w:pPr>
            <w:r>
              <w:rPr>
                <w:rFonts w:ascii="Arial" w:cs="Arial" w:eastAsia="Arial" w:hAnsi="Arial"/>
                <w:sz w:val="20"/>
                <w:szCs w:val="20"/>
                <w:b w:val="1"/>
                <w:bCs w:val="1"/>
                <w:color w:val="auto"/>
                <w:w w:val="89"/>
              </w:rPr>
              <w:t>Puerto Rico</w:t>
            </w: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4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0"/>
              </w:rPr>
              <w:t>(Plan No. 002)</w:t>
            </w:r>
          </w:p>
        </w:tc>
        <w:tc>
          <w:tcPr>
            <w:tcW w:w="160" w:type="dxa"/>
            <w:vAlign w:val="bottom"/>
          </w:tcPr>
          <w:p>
            <w:pPr>
              <w:spacing w:after="0"/>
              <w:rPr>
                <w:sz w:val="22"/>
                <w:szCs w:val="22"/>
                <w:color w:val="auto"/>
              </w:rPr>
            </w:pPr>
          </w:p>
        </w:tc>
        <w:tc>
          <w:tcPr>
            <w:tcW w:w="2120" w:type="dxa"/>
            <w:vAlign w:val="bottom"/>
          </w:tcPr>
          <w:p>
            <w:pPr>
              <w:jc w:val="center"/>
              <w:ind w:right="62"/>
              <w:spacing w:after="0"/>
              <w:rPr>
                <w:sz w:val="20"/>
                <w:szCs w:val="20"/>
                <w:color w:val="auto"/>
              </w:rPr>
            </w:pPr>
            <w:r>
              <w:rPr>
                <w:rFonts w:ascii="Arial" w:cs="Arial" w:eastAsia="Arial" w:hAnsi="Arial"/>
                <w:sz w:val="20"/>
                <w:szCs w:val="20"/>
                <w:b w:val="1"/>
                <w:bCs w:val="1"/>
                <w:color w:val="auto"/>
                <w:w w:val="90"/>
              </w:rPr>
              <w:t>(Plan No. 004)</w:t>
            </w:r>
          </w:p>
        </w:tc>
        <w:tc>
          <w:tcPr>
            <w:tcW w:w="0" w:type="dxa"/>
            <w:vAlign w:val="bottom"/>
          </w:tcPr>
          <w:p>
            <w:pPr>
              <w:spacing w:after="0"/>
              <w:rPr>
                <w:sz w:val="1"/>
                <w:szCs w:val="1"/>
                <w:color w:val="auto"/>
              </w:rPr>
            </w:pPr>
          </w:p>
        </w:tc>
      </w:tr>
      <w:tr>
        <w:trPr>
          <w:trHeight w:val="23"/>
        </w:trPr>
        <w:tc>
          <w:tcPr>
            <w:tcW w:w="514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Cash (Note 9)</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3"/>
              <w:spacing w:after="0"/>
              <w:rPr>
                <w:sz w:val="20"/>
                <w:szCs w:val="20"/>
                <w:color w:val="auto"/>
              </w:rPr>
            </w:pPr>
            <w:r>
              <w:rPr>
                <w:rFonts w:ascii="Arial" w:cs="Arial" w:eastAsia="Arial" w:hAnsi="Arial"/>
                <w:sz w:val="18"/>
                <w:szCs w:val="18"/>
                <w:color w:val="auto"/>
              </w:rPr>
              <w:t>4,252,919</w:t>
            </w:r>
          </w:p>
        </w:tc>
        <w:tc>
          <w:tcPr>
            <w:tcW w:w="3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1"/>
        </w:trPr>
        <w:tc>
          <w:tcPr>
            <w:tcW w:w="5140" w:type="dxa"/>
            <w:vAlign w:val="bottom"/>
          </w:tcPr>
          <w:p>
            <w:pPr>
              <w:spacing w:after="0"/>
              <w:rPr>
                <w:sz w:val="20"/>
                <w:szCs w:val="20"/>
                <w:color w:val="auto"/>
              </w:rPr>
            </w:pPr>
            <w:r>
              <w:rPr>
                <w:rFonts w:ascii="Arial" w:cs="Arial" w:eastAsia="Arial" w:hAnsi="Arial"/>
                <w:sz w:val="20"/>
                <w:szCs w:val="20"/>
                <w:color w:val="auto"/>
              </w:rPr>
              <w:t>Investments:</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160"/>
              <w:spacing w:after="0"/>
              <w:rPr>
                <w:sz w:val="20"/>
                <w:szCs w:val="20"/>
                <w:color w:val="auto"/>
              </w:rPr>
            </w:pPr>
            <w:r>
              <w:rPr>
                <w:rFonts w:ascii="Arial" w:cs="Arial" w:eastAsia="Arial" w:hAnsi="Arial"/>
                <w:sz w:val="20"/>
                <w:szCs w:val="20"/>
                <w:color w:val="auto"/>
              </w:rPr>
              <w:t>Interest in net assets of The Lilly</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300"/>
              <w:spacing w:after="0"/>
              <w:rPr>
                <w:sz w:val="20"/>
                <w:szCs w:val="20"/>
                <w:color w:val="auto"/>
              </w:rPr>
            </w:pPr>
            <w:r>
              <w:rPr>
                <w:rFonts w:ascii="Arial" w:cs="Arial" w:eastAsia="Arial" w:hAnsi="Arial"/>
                <w:sz w:val="20"/>
                <w:szCs w:val="20"/>
                <w:color w:val="auto"/>
              </w:rPr>
              <w:t>Employee Savings Plan Master Trust</w:t>
            </w:r>
          </w:p>
        </w:tc>
        <w:tc>
          <w:tcPr>
            <w:tcW w:w="140" w:type="dxa"/>
            <w:vAlign w:val="bottom"/>
          </w:tcPr>
          <w:p>
            <w:pPr>
              <w:spacing w:after="0"/>
              <w:rPr>
                <w:sz w:val="24"/>
                <w:szCs w:val="24"/>
                <w:color w:val="auto"/>
              </w:rPr>
            </w:pPr>
          </w:p>
        </w:tc>
        <w:tc>
          <w:tcPr>
            <w:tcW w:w="2140" w:type="dxa"/>
            <w:vAlign w:val="bottom"/>
          </w:tcPr>
          <w:p>
            <w:pPr>
              <w:jc w:val="right"/>
              <w:ind w:right="3"/>
              <w:spacing w:after="0"/>
              <w:rPr>
                <w:sz w:val="20"/>
                <w:szCs w:val="20"/>
                <w:color w:val="auto"/>
              </w:rPr>
            </w:pPr>
            <w:r>
              <w:rPr>
                <w:rFonts w:ascii="Arial" w:cs="Arial" w:eastAsia="Arial" w:hAnsi="Arial"/>
                <w:sz w:val="20"/>
                <w:szCs w:val="20"/>
                <w:color w:val="auto"/>
              </w:rPr>
              <w:t>6,015,685,887</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2"/>
              <w:spacing w:after="0"/>
              <w:rPr>
                <w:sz w:val="20"/>
                <w:szCs w:val="20"/>
                <w:color w:val="auto"/>
              </w:rPr>
            </w:pPr>
            <w:r>
              <w:rPr>
                <w:rFonts w:ascii="Arial" w:cs="Arial" w:eastAsia="Arial" w:hAnsi="Arial"/>
                <w:sz w:val="20"/>
                <w:szCs w:val="20"/>
                <w:color w:val="auto"/>
              </w:rPr>
              <w:t>172,165,827</w:t>
            </w:r>
          </w:p>
        </w:tc>
        <w:tc>
          <w:tcPr>
            <w:tcW w:w="0" w:type="dxa"/>
            <w:vAlign w:val="bottom"/>
          </w:tcPr>
          <w:p>
            <w:pPr>
              <w:spacing w:after="0"/>
              <w:rPr>
                <w:sz w:val="1"/>
                <w:szCs w:val="1"/>
                <w:color w:val="auto"/>
              </w:rPr>
            </w:pPr>
          </w:p>
        </w:tc>
      </w:tr>
      <w:tr>
        <w:trPr>
          <w:trHeight w:val="608"/>
        </w:trPr>
        <w:tc>
          <w:tcPr>
            <w:tcW w:w="5140" w:type="dxa"/>
            <w:vAlign w:val="bottom"/>
          </w:tcPr>
          <w:p>
            <w:pPr>
              <w:spacing w:after="0"/>
              <w:rPr>
                <w:sz w:val="20"/>
                <w:szCs w:val="20"/>
                <w:color w:val="auto"/>
              </w:rPr>
            </w:pPr>
            <w:r>
              <w:rPr>
                <w:rFonts w:ascii="Arial" w:cs="Arial" w:eastAsia="Arial" w:hAnsi="Arial"/>
                <w:sz w:val="20"/>
                <w:szCs w:val="20"/>
                <w:color w:val="auto"/>
              </w:rPr>
              <w:t>Receivables:</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160"/>
              <w:spacing w:after="0"/>
              <w:rPr>
                <w:sz w:val="20"/>
                <w:szCs w:val="20"/>
                <w:color w:val="auto"/>
              </w:rPr>
            </w:pPr>
            <w:r>
              <w:rPr>
                <w:rFonts w:ascii="Arial" w:cs="Arial" w:eastAsia="Arial" w:hAnsi="Arial"/>
                <w:sz w:val="20"/>
                <w:szCs w:val="20"/>
                <w:color w:val="auto"/>
              </w:rPr>
              <w:t>Employer contribution</w:t>
            </w:r>
          </w:p>
        </w:tc>
        <w:tc>
          <w:tcPr>
            <w:tcW w:w="140" w:type="dxa"/>
            <w:vAlign w:val="bottom"/>
          </w:tcPr>
          <w:p>
            <w:pPr>
              <w:spacing w:after="0"/>
              <w:rPr>
                <w:sz w:val="24"/>
                <w:szCs w:val="24"/>
                <w:color w:val="auto"/>
              </w:rPr>
            </w:pPr>
          </w:p>
        </w:tc>
        <w:tc>
          <w:tcPr>
            <w:tcW w:w="2140" w:type="dxa"/>
            <w:vAlign w:val="bottom"/>
          </w:tcPr>
          <w:p>
            <w:pPr>
              <w:jc w:val="right"/>
              <w:ind w:right="3"/>
              <w:spacing w:after="0"/>
              <w:rPr>
                <w:sz w:val="20"/>
                <w:szCs w:val="20"/>
                <w:color w:val="auto"/>
              </w:rPr>
            </w:pPr>
            <w:r>
              <w:rPr>
                <w:rFonts w:ascii="Arial" w:cs="Arial" w:eastAsia="Arial" w:hAnsi="Arial"/>
                <w:sz w:val="20"/>
                <w:szCs w:val="20"/>
                <w:color w:val="auto"/>
              </w:rPr>
              <w:t>9,597,862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2"/>
              <w:spacing w:after="0"/>
              <w:rPr>
                <w:sz w:val="20"/>
                <w:szCs w:val="20"/>
                <w:color w:val="auto"/>
              </w:rPr>
            </w:pPr>
            <w:r>
              <w:rPr>
                <w:rFonts w:ascii="Arial" w:cs="Arial" w:eastAsia="Arial" w:hAnsi="Arial"/>
                <w:sz w:val="20"/>
                <w:szCs w:val="20"/>
                <w:color w:val="auto"/>
              </w:rPr>
              <w:t>372,497</w:t>
            </w:r>
          </w:p>
        </w:tc>
        <w:tc>
          <w:tcPr>
            <w:tcW w:w="0" w:type="dxa"/>
            <w:vAlign w:val="bottom"/>
          </w:tcPr>
          <w:p>
            <w:pPr>
              <w:spacing w:after="0"/>
              <w:rPr>
                <w:sz w:val="1"/>
                <w:szCs w:val="1"/>
                <w:color w:val="auto"/>
              </w:rPr>
            </w:pPr>
          </w:p>
        </w:tc>
      </w:tr>
      <w:tr>
        <w:trPr>
          <w:trHeight w:val="284"/>
        </w:trPr>
        <w:tc>
          <w:tcPr>
            <w:tcW w:w="5140" w:type="dxa"/>
            <w:vAlign w:val="bottom"/>
          </w:tcPr>
          <w:p>
            <w:pPr>
              <w:ind w:left="160"/>
              <w:spacing w:after="0"/>
              <w:rPr>
                <w:sz w:val="20"/>
                <w:szCs w:val="20"/>
                <w:color w:val="auto"/>
              </w:rPr>
            </w:pPr>
            <w:r>
              <w:rPr>
                <w:rFonts w:ascii="Arial" w:cs="Arial" w:eastAsia="Arial" w:hAnsi="Arial"/>
                <w:sz w:val="20"/>
                <w:szCs w:val="20"/>
                <w:color w:val="auto"/>
              </w:rPr>
              <w:t>Notes receivable from participants</w:t>
            </w:r>
          </w:p>
        </w:tc>
        <w:tc>
          <w:tcPr>
            <w:tcW w:w="140" w:type="dxa"/>
            <w:vAlign w:val="bottom"/>
          </w:tcPr>
          <w:p>
            <w:pPr>
              <w:spacing w:after="0"/>
              <w:rPr>
                <w:sz w:val="24"/>
                <w:szCs w:val="24"/>
                <w:color w:val="auto"/>
              </w:rPr>
            </w:pPr>
          </w:p>
        </w:tc>
        <w:tc>
          <w:tcPr>
            <w:tcW w:w="2140" w:type="dxa"/>
            <w:vAlign w:val="bottom"/>
          </w:tcPr>
          <w:p>
            <w:pPr>
              <w:jc w:val="right"/>
              <w:ind w:right="3"/>
              <w:spacing w:after="0"/>
              <w:rPr>
                <w:sz w:val="20"/>
                <w:szCs w:val="20"/>
                <w:color w:val="auto"/>
              </w:rPr>
            </w:pPr>
            <w:r>
              <w:rPr>
                <w:rFonts w:ascii="Arial" w:cs="Arial" w:eastAsia="Arial" w:hAnsi="Arial"/>
                <w:sz w:val="20"/>
                <w:szCs w:val="20"/>
                <w:color w:val="auto"/>
              </w:rPr>
              <w:t>35,324,052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2"/>
              <w:spacing w:after="0"/>
              <w:rPr>
                <w:sz w:val="20"/>
                <w:szCs w:val="20"/>
                <w:color w:val="auto"/>
              </w:rPr>
            </w:pPr>
            <w:r>
              <w:rPr>
                <w:rFonts w:ascii="Arial" w:cs="Arial" w:eastAsia="Arial" w:hAnsi="Arial"/>
                <w:sz w:val="20"/>
                <w:szCs w:val="20"/>
                <w:color w:val="auto"/>
              </w:rPr>
              <w:t>3,041,475</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40" w:type="dxa"/>
            <w:vAlign w:val="bottom"/>
          </w:tcPr>
          <w:p>
            <w:pPr>
              <w:jc w:val="right"/>
              <w:ind w:right="3"/>
              <w:spacing w:after="0"/>
              <w:rPr>
                <w:sz w:val="20"/>
                <w:szCs w:val="20"/>
                <w:color w:val="auto"/>
              </w:rPr>
            </w:pPr>
            <w:r>
              <w:rPr>
                <w:rFonts w:ascii="Arial" w:cs="Arial" w:eastAsia="Arial" w:hAnsi="Arial"/>
                <w:sz w:val="20"/>
                <w:szCs w:val="20"/>
                <w:color w:val="auto"/>
              </w:rPr>
              <w:t>44,921,914</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20" w:type="dxa"/>
            <w:vAlign w:val="bottom"/>
          </w:tcPr>
          <w:p>
            <w:pPr>
              <w:jc w:val="right"/>
              <w:ind w:right="2"/>
              <w:spacing w:after="0"/>
              <w:rPr>
                <w:sz w:val="20"/>
                <w:szCs w:val="20"/>
                <w:color w:val="auto"/>
              </w:rPr>
            </w:pPr>
            <w:r>
              <w:rPr>
                <w:rFonts w:ascii="Arial" w:cs="Arial" w:eastAsia="Arial" w:hAnsi="Arial"/>
                <w:sz w:val="20"/>
                <w:szCs w:val="20"/>
                <w:color w:val="auto"/>
              </w:rPr>
              <w:t>3,413,972</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9"/>
        </w:trPr>
        <w:tc>
          <w:tcPr>
            <w:tcW w:w="514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71"/>
              </w:rPr>
              <w:t>$</w:t>
            </w:r>
          </w:p>
        </w:tc>
        <w:tc>
          <w:tcPr>
            <w:tcW w:w="214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6,064,860,720</w:t>
            </w:r>
          </w:p>
        </w:tc>
        <w:tc>
          <w:tcPr>
            <w:tcW w:w="300" w:type="dxa"/>
            <w:vAlign w:val="bottom"/>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175,579,799</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20"/>
                <w:szCs w:val="20"/>
                <w:i w:val="1"/>
                <w:iCs w:val="1"/>
                <w:color w:val="auto"/>
              </w:rPr>
              <w:t>See accompanying notes.</w:t>
            </w: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ind w:right="1923"/>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00"/>
          </w:cols>
          <w:pgMar w:left="600" w:top="744" w:right="1299" w:bottom="1440" w:gutter="0" w:footer="0" w:header="0"/>
        </w:sectPr>
      </w:pPr>
    </w:p>
    <w:bookmarkStart w:id="4" w:name="page5"/>
    <w:bookmarkEnd w:id="4"/>
    <w:p>
      <w:pPr>
        <w:jc w:val="center"/>
        <w:ind w:right="-819"/>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8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ind w:left="3020"/>
        <w:spacing w:after="0"/>
        <w:rPr>
          <w:sz w:val="20"/>
          <w:szCs w:val="20"/>
          <w:color w:val="auto"/>
        </w:rPr>
      </w:pPr>
      <w:r>
        <w:rPr>
          <w:rFonts w:ascii="Arial" w:cs="Arial" w:eastAsia="Arial" w:hAnsi="Arial"/>
          <w:sz w:val="25"/>
          <w:szCs w:val="25"/>
          <w:color w:val="auto"/>
        </w:rPr>
        <w:t>Statements of Net Assets Available for Benefits</w:t>
      </w:r>
    </w:p>
    <w:p>
      <w:pPr>
        <w:spacing w:after="0" w:line="38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jc w:val="center"/>
              <w:ind w:right="101"/>
              <w:spacing w:after="0"/>
              <w:rPr>
                <w:sz w:val="20"/>
                <w:szCs w:val="20"/>
                <w:color w:val="auto"/>
              </w:rPr>
            </w:pPr>
            <w:r>
              <w:rPr>
                <w:rFonts w:ascii="Arial" w:cs="Arial" w:eastAsia="Arial" w:hAnsi="Arial"/>
                <w:sz w:val="20"/>
                <w:szCs w:val="20"/>
                <w:b w:val="1"/>
                <w:bCs w:val="1"/>
                <w:color w:val="auto"/>
                <w:w w:val="88"/>
              </w:rPr>
              <w:t>The Savings Plan</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jc w:val="center"/>
              <w:ind w:right="101"/>
              <w:spacing w:after="0"/>
              <w:rPr>
                <w:sz w:val="20"/>
                <w:szCs w:val="20"/>
                <w:color w:val="auto"/>
              </w:rPr>
            </w:pPr>
            <w:r>
              <w:rPr>
                <w:rFonts w:ascii="Arial" w:cs="Arial" w:eastAsia="Arial" w:hAnsi="Arial"/>
                <w:sz w:val="20"/>
                <w:szCs w:val="20"/>
                <w:b w:val="1"/>
                <w:bCs w:val="1"/>
                <w:color w:val="auto"/>
                <w:w w:val="96"/>
              </w:rPr>
              <w:t>for Lilly</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640" w:type="dxa"/>
            <w:vAlign w:val="bottom"/>
            <w:gridSpan w:val="3"/>
          </w:tcPr>
          <w:p>
            <w:pPr>
              <w:ind w:left="20"/>
              <w:spacing w:after="0"/>
              <w:rPr>
                <w:sz w:val="20"/>
                <w:szCs w:val="20"/>
                <w:color w:val="auto"/>
              </w:rPr>
            </w:pPr>
            <w:r>
              <w:rPr>
                <w:rFonts w:ascii="Arial" w:cs="Arial" w:eastAsia="Arial" w:hAnsi="Arial"/>
                <w:sz w:val="20"/>
                <w:szCs w:val="20"/>
                <w:b w:val="1"/>
                <w:bCs w:val="1"/>
                <w:color w:val="auto"/>
              </w:rPr>
              <w:t>The Lilly Employee 401(k)</w:t>
            </w:r>
          </w:p>
        </w:tc>
        <w:tc>
          <w:tcPr>
            <w:tcW w:w="200" w:type="dxa"/>
            <w:vAlign w:val="bottom"/>
          </w:tcPr>
          <w:p>
            <w:pPr>
              <w:spacing w:after="0"/>
              <w:rPr>
                <w:sz w:val="19"/>
                <w:szCs w:val="19"/>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90"/>
              </w:rPr>
              <w:t>Affiliate Employees in</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2"/>
          </w:tcPr>
          <w:p>
            <w:pPr>
              <w:jc w:val="center"/>
              <w:ind w:right="600"/>
              <w:spacing w:after="0"/>
              <w:rPr>
                <w:sz w:val="20"/>
                <w:szCs w:val="20"/>
                <w:color w:val="auto"/>
              </w:rPr>
            </w:pPr>
            <w:r>
              <w:rPr>
                <w:rFonts w:ascii="Arial" w:cs="Arial" w:eastAsia="Arial" w:hAnsi="Arial"/>
                <w:sz w:val="20"/>
                <w:szCs w:val="20"/>
                <w:b w:val="1"/>
                <w:bCs w:val="1"/>
                <w:color w:val="auto"/>
                <w:w w:val="89"/>
              </w:rPr>
              <w:t>Plan</w:t>
            </w:r>
          </w:p>
        </w:tc>
        <w:tc>
          <w:tcPr>
            <w:tcW w:w="200" w:type="dxa"/>
            <w:vAlign w:val="bottom"/>
          </w:tcPr>
          <w:p>
            <w:pPr>
              <w:spacing w:after="0"/>
              <w:rPr>
                <w:sz w:val="19"/>
                <w:szCs w:val="19"/>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89"/>
              </w:rPr>
              <w:t>Puerto Rico</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80" w:type="dxa"/>
            <w:vAlign w:val="bottom"/>
            <w:gridSpan w:val="2"/>
          </w:tcPr>
          <w:p>
            <w:pPr>
              <w:jc w:val="center"/>
              <w:ind w:right="600"/>
              <w:spacing w:after="0"/>
              <w:rPr>
                <w:sz w:val="20"/>
                <w:szCs w:val="20"/>
                <w:color w:val="auto"/>
              </w:rPr>
            </w:pPr>
            <w:r>
              <w:rPr>
                <w:rFonts w:ascii="Arial" w:cs="Arial" w:eastAsia="Arial" w:hAnsi="Arial"/>
                <w:sz w:val="20"/>
                <w:szCs w:val="20"/>
                <w:b w:val="1"/>
                <w:bCs w:val="1"/>
                <w:color w:val="auto"/>
                <w:w w:val="92"/>
              </w:rPr>
              <w:t>(Plan No. 002)</w:t>
            </w:r>
          </w:p>
        </w:tc>
        <w:tc>
          <w:tcPr>
            <w:tcW w:w="200" w:type="dxa"/>
            <w:vAlign w:val="bottom"/>
          </w:tcPr>
          <w:p>
            <w:pPr>
              <w:spacing w:after="0"/>
              <w:rPr>
                <w:sz w:val="22"/>
                <w:szCs w:val="22"/>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90"/>
              </w:rPr>
              <w:t>(Plan No. 004)</w:t>
            </w:r>
          </w:p>
        </w:tc>
        <w:tc>
          <w:tcPr>
            <w:tcW w:w="0" w:type="dxa"/>
            <w:vAlign w:val="bottom"/>
          </w:tcPr>
          <w:p>
            <w:pPr>
              <w:spacing w:after="0"/>
              <w:rPr>
                <w:sz w:val="1"/>
                <w:szCs w:val="1"/>
                <w:color w:val="auto"/>
              </w:rPr>
            </w:pPr>
          </w:p>
        </w:tc>
      </w:tr>
      <w:tr>
        <w:trPr>
          <w:trHeight w:val="23"/>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980" w:type="dxa"/>
            <w:vAlign w:val="bottom"/>
          </w:tcPr>
          <w:p>
            <w:pPr>
              <w:spacing w:after="0"/>
              <w:rPr>
                <w:sz w:val="20"/>
                <w:szCs w:val="20"/>
                <w:color w:val="auto"/>
              </w:rPr>
            </w:pPr>
            <w:r>
              <w:rPr>
                <w:rFonts w:ascii="Arial" w:cs="Arial" w:eastAsia="Arial" w:hAnsi="Arial"/>
                <w:sz w:val="20"/>
                <w:szCs w:val="20"/>
                <w:color w:val="auto"/>
              </w:rPr>
              <w:t>Investments:</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160"/>
              <w:spacing w:after="0"/>
              <w:rPr>
                <w:sz w:val="20"/>
                <w:szCs w:val="20"/>
                <w:color w:val="auto"/>
              </w:rPr>
            </w:pPr>
            <w:r>
              <w:rPr>
                <w:rFonts w:ascii="Arial" w:cs="Arial" w:eastAsia="Arial" w:hAnsi="Arial"/>
                <w:sz w:val="20"/>
                <w:szCs w:val="20"/>
                <w:color w:val="auto"/>
              </w:rPr>
              <w:t>Interest in net assets of The Lilly</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300"/>
              <w:spacing w:after="0"/>
              <w:rPr>
                <w:sz w:val="20"/>
                <w:szCs w:val="20"/>
                <w:color w:val="auto"/>
              </w:rPr>
            </w:pPr>
            <w:r>
              <w:rPr>
                <w:rFonts w:ascii="Arial" w:cs="Arial" w:eastAsia="Arial" w:hAnsi="Arial"/>
                <w:sz w:val="20"/>
                <w:szCs w:val="20"/>
                <w:color w:val="auto"/>
              </w:rPr>
              <w:t>Employee Savings Plan Master Trust</w:t>
            </w:r>
          </w:p>
        </w:tc>
        <w:tc>
          <w:tcPr>
            <w:tcW w:w="260" w:type="dxa"/>
            <w:vAlign w:val="bottom"/>
          </w:tcPr>
          <w:p>
            <w:pPr>
              <w:ind w:left="20"/>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22"/>
              <w:spacing w:after="0"/>
              <w:rPr>
                <w:sz w:val="20"/>
                <w:szCs w:val="20"/>
                <w:color w:val="auto"/>
              </w:rPr>
            </w:pPr>
            <w:r>
              <w:rPr>
                <w:rFonts w:ascii="Arial" w:cs="Arial" w:eastAsia="Arial" w:hAnsi="Arial"/>
                <w:sz w:val="20"/>
                <w:szCs w:val="20"/>
                <w:color w:val="auto"/>
              </w:rPr>
              <w:t>5,622,785,685</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165,407,062</w:t>
            </w:r>
          </w:p>
        </w:tc>
        <w:tc>
          <w:tcPr>
            <w:tcW w:w="0" w:type="dxa"/>
            <w:vAlign w:val="bottom"/>
          </w:tcPr>
          <w:p>
            <w:pPr>
              <w:spacing w:after="0"/>
              <w:rPr>
                <w:sz w:val="1"/>
                <w:szCs w:val="1"/>
                <w:color w:val="auto"/>
              </w:rPr>
            </w:pPr>
          </w:p>
        </w:tc>
      </w:tr>
      <w:tr>
        <w:trPr>
          <w:trHeight w:val="608"/>
        </w:trPr>
        <w:tc>
          <w:tcPr>
            <w:tcW w:w="4980" w:type="dxa"/>
            <w:vAlign w:val="bottom"/>
          </w:tcPr>
          <w:p>
            <w:pPr>
              <w:spacing w:after="0"/>
              <w:rPr>
                <w:sz w:val="20"/>
                <w:szCs w:val="20"/>
                <w:color w:val="auto"/>
              </w:rPr>
            </w:pPr>
            <w:r>
              <w:rPr>
                <w:rFonts w:ascii="Arial" w:cs="Arial" w:eastAsia="Arial" w:hAnsi="Arial"/>
                <w:sz w:val="20"/>
                <w:szCs w:val="20"/>
                <w:color w:val="auto"/>
              </w:rPr>
              <w:t>Receivables:</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160"/>
              <w:spacing w:after="0"/>
              <w:rPr>
                <w:sz w:val="20"/>
                <w:szCs w:val="20"/>
                <w:color w:val="auto"/>
              </w:rPr>
            </w:pPr>
            <w:r>
              <w:rPr>
                <w:rFonts w:ascii="Arial" w:cs="Arial" w:eastAsia="Arial" w:hAnsi="Arial"/>
                <w:sz w:val="20"/>
                <w:szCs w:val="20"/>
                <w:color w:val="auto"/>
              </w:rPr>
              <w:t>Employer contribution</w:t>
            </w:r>
          </w:p>
        </w:tc>
        <w:tc>
          <w:tcPr>
            <w:tcW w:w="260" w:type="dxa"/>
            <w:vAlign w:val="bottom"/>
          </w:tcPr>
          <w:p>
            <w:pPr>
              <w:spacing w:after="0"/>
              <w:rPr>
                <w:sz w:val="24"/>
                <w:szCs w:val="24"/>
                <w:color w:val="auto"/>
              </w:rPr>
            </w:pPr>
          </w:p>
        </w:tc>
        <w:tc>
          <w:tcPr>
            <w:tcW w:w="2060" w:type="dxa"/>
            <w:vAlign w:val="bottom"/>
          </w:tcPr>
          <w:p>
            <w:pPr>
              <w:jc w:val="right"/>
              <w:ind w:right="22"/>
              <w:spacing w:after="0"/>
              <w:rPr>
                <w:sz w:val="20"/>
                <w:szCs w:val="20"/>
                <w:color w:val="auto"/>
              </w:rPr>
            </w:pPr>
            <w:r>
              <w:rPr>
                <w:rFonts w:ascii="Arial" w:cs="Arial" w:eastAsia="Arial" w:hAnsi="Arial"/>
                <w:sz w:val="20"/>
                <w:szCs w:val="20"/>
                <w:color w:val="auto"/>
              </w:rPr>
              <w:t>8,776,030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390,973</w:t>
            </w:r>
          </w:p>
        </w:tc>
        <w:tc>
          <w:tcPr>
            <w:tcW w:w="0" w:type="dxa"/>
            <w:vAlign w:val="bottom"/>
          </w:tcPr>
          <w:p>
            <w:pPr>
              <w:spacing w:after="0"/>
              <w:rPr>
                <w:sz w:val="1"/>
                <w:szCs w:val="1"/>
                <w:color w:val="auto"/>
              </w:rPr>
            </w:pPr>
          </w:p>
        </w:tc>
      </w:tr>
      <w:tr>
        <w:trPr>
          <w:trHeight w:val="284"/>
        </w:trPr>
        <w:tc>
          <w:tcPr>
            <w:tcW w:w="4980" w:type="dxa"/>
            <w:vAlign w:val="bottom"/>
          </w:tcPr>
          <w:p>
            <w:pPr>
              <w:ind w:left="160"/>
              <w:spacing w:after="0"/>
              <w:rPr>
                <w:sz w:val="20"/>
                <w:szCs w:val="20"/>
                <w:color w:val="auto"/>
              </w:rPr>
            </w:pPr>
            <w:r>
              <w:rPr>
                <w:rFonts w:ascii="Arial" w:cs="Arial" w:eastAsia="Arial" w:hAnsi="Arial"/>
                <w:sz w:val="20"/>
                <w:szCs w:val="20"/>
                <w:color w:val="auto"/>
              </w:rPr>
              <w:t>Notes receivable from participants</w:t>
            </w:r>
          </w:p>
        </w:tc>
        <w:tc>
          <w:tcPr>
            <w:tcW w:w="260" w:type="dxa"/>
            <w:vAlign w:val="bottom"/>
          </w:tcPr>
          <w:p>
            <w:pPr>
              <w:spacing w:after="0"/>
              <w:rPr>
                <w:sz w:val="24"/>
                <w:szCs w:val="24"/>
                <w:color w:val="auto"/>
              </w:rPr>
            </w:pPr>
          </w:p>
        </w:tc>
        <w:tc>
          <w:tcPr>
            <w:tcW w:w="2060" w:type="dxa"/>
            <w:vAlign w:val="bottom"/>
          </w:tcPr>
          <w:p>
            <w:pPr>
              <w:jc w:val="right"/>
              <w:ind w:right="22"/>
              <w:spacing w:after="0"/>
              <w:rPr>
                <w:sz w:val="20"/>
                <w:szCs w:val="20"/>
                <w:color w:val="auto"/>
              </w:rPr>
            </w:pPr>
            <w:r>
              <w:rPr>
                <w:rFonts w:ascii="Arial" w:cs="Arial" w:eastAsia="Arial" w:hAnsi="Arial"/>
                <w:sz w:val="20"/>
                <w:szCs w:val="20"/>
                <w:color w:val="auto"/>
              </w:rPr>
              <w:t>34,612,352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3,227,708</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60" w:type="dxa"/>
            <w:vAlign w:val="bottom"/>
          </w:tcPr>
          <w:p>
            <w:pPr>
              <w:jc w:val="right"/>
              <w:ind w:right="22"/>
              <w:spacing w:after="0"/>
              <w:rPr>
                <w:sz w:val="20"/>
                <w:szCs w:val="20"/>
                <w:color w:val="auto"/>
              </w:rPr>
            </w:pPr>
            <w:r>
              <w:rPr>
                <w:rFonts w:ascii="Arial" w:cs="Arial" w:eastAsia="Arial" w:hAnsi="Arial"/>
                <w:sz w:val="20"/>
                <w:szCs w:val="20"/>
                <w:color w:val="auto"/>
              </w:rPr>
              <w:t>43,388,382</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3,618,681</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5"/>
        </w:trPr>
        <w:tc>
          <w:tcPr>
            <w:tcW w:w="498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0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5,666,174,067</w:t>
            </w:r>
          </w:p>
        </w:tc>
        <w:tc>
          <w:tcPr>
            <w:tcW w:w="3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169,025,743</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20"/>
                <w:szCs w:val="20"/>
                <w:i w:val="1"/>
                <w:iCs w:val="1"/>
                <w:color w:val="auto"/>
              </w:rPr>
              <w:t>See accompanying notes.</w:t>
            </w: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jc w:val="right"/>
              <w:ind w:right="1722"/>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520" w:top="528" w:right="1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5"/>
          <w:szCs w:val="25"/>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80" w:type="dxa"/>
            <w:vAlign w:val="bottom"/>
            <w:gridSpan w:val="4"/>
          </w:tcPr>
          <w:p>
            <w:pPr>
              <w:jc w:val="right"/>
              <w:ind w:right="621"/>
              <w:spacing w:after="0"/>
              <w:rPr>
                <w:sz w:val="20"/>
                <w:szCs w:val="20"/>
                <w:color w:val="auto"/>
              </w:rPr>
            </w:pPr>
            <w:r>
              <w:rPr>
                <w:rFonts w:ascii="Arial" w:cs="Arial" w:eastAsia="Arial" w:hAnsi="Arial"/>
                <w:sz w:val="20"/>
                <w:szCs w:val="20"/>
                <w:b w:val="1"/>
                <w:bCs w:val="1"/>
                <w:color w:val="auto"/>
              </w:rPr>
              <w:t>Year Ended December 31, 2016</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8"/>
        </w:trPr>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88"/>
              </w:rPr>
              <w:t>The Savings Plan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96"/>
              </w:rPr>
              <w:t>for Lilly</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1"/>
              </w:rPr>
              <w:t>The Lilly Employee</w:t>
            </w:r>
          </w:p>
        </w:tc>
        <w:tc>
          <w:tcPr>
            <w:tcW w:w="180" w:type="dxa"/>
            <w:vAlign w:val="bottom"/>
          </w:tcPr>
          <w:p>
            <w:pPr>
              <w:spacing w:after="0"/>
              <w:rPr>
                <w:sz w:val="19"/>
                <w:szCs w:val="19"/>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Affiliate Employees in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2"/>
              </w:rPr>
              <w:t>401(k) Plan</w:t>
            </w:r>
          </w:p>
        </w:tc>
        <w:tc>
          <w:tcPr>
            <w:tcW w:w="180" w:type="dxa"/>
            <w:vAlign w:val="bottom"/>
          </w:tcPr>
          <w:p>
            <w:pPr>
              <w:spacing w:after="0"/>
              <w:rPr>
                <w:sz w:val="19"/>
                <w:szCs w:val="19"/>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90"/>
              </w:rPr>
              <w:t>Puerto Rico</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2"/>
              </w:rPr>
              <w:t>(Plan No. 002)</w:t>
            </w:r>
          </w:p>
        </w:tc>
        <w:tc>
          <w:tcPr>
            <w:tcW w:w="180" w:type="dxa"/>
            <w:vAlign w:val="bottom"/>
          </w:tcPr>
          <w:p>
            <w:pPr>
              <w:spacing w:after="0"/>
              <w:rPr>
                <w:sz w:val="22"/>
                <w:szCs w:val="22"/>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92"/>
              </w:rPr>
              <w:t>(Plan No. 004)</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Arial" w:cs="Arial" w:eastAsia="Arial" w:hAnsi="Arial"/>
                <w:sz w:val="20"/>
                <w:szCs w:val="20"/>
                <w:color w:val="auto"/>
              </w:rPr>
              <w:t>Additions:</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6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Contributions: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Participants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237,349,197</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6,822,091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Employer</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114,709,488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4,035,822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Interest income on notes receivable from participants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1,425,477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123,089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Interest in The Lilly Employee Savings Plan</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Master Trust investment income, net of</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administrative fees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293,483,472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4,438,759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646,967,634</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15,419,761</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rPr>
                <w:sz w:val="20"/>
                <w:szCs w:val="20"/>
                <w:color w:val="auto"/>
              </w:rPr>
            </w:pPr>
            <w:r>
              <w:rPr>
                <w:rFonts w:ascii="Arial" w:cs="Arial" w:eastAsia="Arial" w:hAnsi="Arial"/>
                <w:sz w:val="20"/>
                <w:szCs w:val="20"/>
                <w:color w:val="auto"/>
              </w:rPr>
              <w:t>Deductions: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Participant withdrawals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257,451,490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8,634,317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40"/>
              <w:spacing w:after="0"/>
              <w:rPr>
                <w:sz w:val="20"/>
                <w:szCs w:val="20"/>
                <w:color w:val="auto"/>
              </w:rPr>
            </w:pPr>
            <w:r>
              <w:rPr>
                <w:rFonts w:ascii="Arial" w:cs="Arial" w:eastAsia="Arial" w:hAnsi="Arial"/>
                <w:sz w:val="20"/>
                <w:szCs w:val="20"/>
                <w:color w:val="auto"/>
              </w:rPr>
              <w:t>Administrative expenses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3,087,162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231,388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260,538,652</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8,865,705</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rPr>
                <w:sz w:val="20"/>
                <w:szCs w:val="20"/>
                <w:color w:val="auto"/>
              </w:rPr>
            </w:pPr>
            <w:r>
              <w:rPr>
                <w:rFonts w:ascii="Arial" w:cs="Arial" w:eastAsia="Arial" w:hAnsi="Arial"/>
                <w:sz w:val="20"/>
                <w:szCs w:val="20"/>
                <w:color w:val="auto"/>
              </w:rPr>
              <w:t>Net increase before other changes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386,428,982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6,554,056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rPr>
                <w:sz w:val="20"/>
                <w:szCs w:val="20"/>
                <w:color w:val="auto"/>
              </w:rPr>
            </w:pPr>
            <w:r>
              <w:rPr>
                <w:rFonts w:ascii="Arial" w:cs="Arial" w:eastAsia="Arial" w:hAnsi="Arial"/>
                <w:sz w:val="20"/>
                <w:szCs w:val="20"/>
                <w:color w:val="auto"/>
              </w:rPr>
              <w:t>Transfers in (Note 9)</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12,257,671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tcPr>
          <w:p>
            <w:pPr>
              <w:spacing w:after="0"/>
              <w:rPr>
                <w:sz w:val="20"/>
                <w:szCs w:val="20"/>
                <w:color w:val="auto"/>
              </w:rPr>
            </w:pPr>
            <w:r>
              <w:rPr>
                <w:rFonts w:ascii="Arial" w:cs="Arial" w:eastAsia="Arial" w:hAnsi="Arial"/>
                <w:sz w:val="20"/>
                <w:szCs w:val="20"/>
                <w:color w:val="auto"/>
              </w:rPr>
              <w:t>Net increase</w:t>
            </w: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398,686,653</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6,554,056</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at beginning of year</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5,666,174,067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169,025,743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Arial" w:cs="Arial" w:eastAsia="Arial" w:hAnsi="Arial"/>
                <w:sz w:val="20"/>
                <w:szCs w:val="20"/>
                <w:color w:val="auto"/>
              </w:rPr>
              <w:t>Net assets available for benefits</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5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640" w:type="dxa"/>
            <w:vAlign w:val="bottom"/>
          </w:tcPr>
          <w:p>
            <w:pPr>
              <w:ind w:left="200"/>
              <w:spacing w:after="0"/>
              <w:rPr>
                <w:sz w:val="20"/>
                <w:szCs w:val="20"/>
                <w:color w:val="auto"/>
              </w:rPr>
            </w:pPr>
            <w:r>
              <w:rPr>
                <w:rFonts w:ascii="Arial" w:cs="Arial" w:eastAsia="Arial" w:hAnsi="Arial"/>
                <w:sz w:val="20"/>
                <w:szCs w:val="20"/>
                <w:color w:val="auto"/>
              </w:rPr>
              <w:t>at end of year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6,064,860,720</w:t>
            </w: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175,579,799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w:t>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00" w:top="852"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Description of the Plans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accompanying financial statements comprise the employee savings plans of Eli Lilly and Company (the Company) and certain of the Company’s U.S. and Puerto Rico affiliates that participate as of the end of the stated period in The Lilly Savings Plan Master Trust (the Master Trust).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General</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Lilly Employee 401(k) Plan (Plan No. 002) (the 401(k) Plan) was established for the benefit of eligible employees of Eli Lilly and Company and participating subsidiaries and affiliated companies. The Savings Plan for Lilly Affiliate Employees in Puerto Rico (Plan No. 004) (the Puerto Rico Plan) was established for the benefit of resident eligible employees of, and certain employees within, the Commonwealth of Puerto Rico.</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description of the 401(k) Plan and the Puerto Rico Plan (collectively, the Plans) provides only general information. Participants should refer to the applicable plan documents and the Plans’ summary plan descriptions for more complete information.</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Hewitt Associates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Full-time employees become eligible for participation in the Plans on the first day of employment. Seasonal, part-time, or other special-status employees must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the employee contributions up to the 6% employee contribution level, subject to Internal Revenue Service (IRS) limits.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Contributions</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Participants may designate that their contributions be invested in any of the investment options offered by the Plans. In addition, participants generally can buy and sell investments offered by the Plans, including the Company Stock Fund, and transfer money, vested or nonvested, from any of the investment options into and out of any of the other investment options. Participants also are allowed to take payment of the Company Stock Fund dividends in lieu of having them reinvested in their participant accounts. Company matching contributions are allocated based on a participant’s investment elections for their own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9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Vesting</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All participants are vested immediately in their own contributions. All participants with two credited years of service are vested and eligible to receive 100% of the Company’s matching contributions. Forfeitures of approximately $503,000 for the 401(k) Plan were applied to decrease the Company’s contributions during 2016 for the 401(k) Plan. Forfeitures of approximately $55,000 were applied to decrease the Company’s contributions during 2016 for the Puerto Rico Plan.</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Participant Loans</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 Related fees are recorded as administrative expenses and are expensed when they are incurred.</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Termination</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Plans are subject to and are intended to comply with the provisions of the Employee Retirement Income Security Act of 1974 (ERISA) and applicable IRS or Puerto Rico Treasury requirements. The Company has the right to terminate the Plans subject to the provisions of ERISA and the Plans as established in the applicable plan documents. In the event the Plans are terminated, each participant’s account shall be nonforfeitable with respect to both the employee’s and the Company’s contributions, and the net assets are to be set aside for payment of withdrawals by participants.</w:t>
      </w:r>
    </w:p>
    <w:p>
      <w:pPr>
        <w:spacing w:after="0" w:line="197" w:lineRule="exact"/>
        <w:rPr>
          <w:sz w:val="20"/>
          <w:szCs w:val="20"/>
          <w:color w:val="auto"/>
        </w:rPr>
      </w:pPr>
    </w:p>
    <w:p>
      <w:pPr>
        <w:jc w:val="both"/>
        <w:ind w:right="8340" w:firstLine="8"/>
        <w:spacing w:after="0" w:line="552" w:lineRule="auto"/>
        <w:tabs>
          <w:tab w:leader="none" w:pos="216"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Significant Accounting Policies New Accounting Pronouncement</w:t>
      </w:r>
    </w:p>
    <w:p>
      <w:pPr>
        <w:jc w:val="both"/>
        <w:spacing w:after="0" w:line="265" w:lineRule="auto"/>
        <w:rPr>
          <w:sz w:val="20"/>
          <w:szCs w:val="20"/>
          <w:color w:val="auto"/>
        </w:rPr>
      </w:pPr>
      <w:r>
        <w:rPr>
          <w:rFonts w:ascii="Arial" w:cs="Arial" w:eastAsia="Arial" w:hAnsi="Arial"/>
          <w:sz w:val="21"/>
          <w:szCs w:val="21"/>
          <w:color w:val="auto"/>
        </w:rPr>
        <w:t xml:space="preserve">During 2016, the Plans adopted Accounting Standards Update (ASU) No. 2016-01, </w:t>
      </w:r>
      <w:r>
        <w:rPr>
          <w:rFonts w:ascii="Arial" w:cs="Arial" w:eastAsia="Arial" w:hAnsi="Arial"/>
          <w:sz w:val="21"/>
          <w:szCs w:val="21"/>
          <w:i w:val="1"/>
          <w:iCs w:val="1"/>
          <w:color w:val="auto"/>
        </w:rPr>
        <w:t>Financial Instruments (Subtopic 825-10) -</w:t>
      </w:r>
      <w:r>
        <w:rPr>
          <w:rFonts w:ascii="Arial" w:cs="Arial" w:eastAsia="Arial" w:hAnsi="Arial"/>
          <w:sz w:val="21"/>
          <w:szCs w:val="21"/>
          <w:color w:val="auto"/>
        </w:rPr>
        <w:t xml:space="preserve"> </w:t>
      </w:r>
      <w:r>
        <w:rPr>
          <w:rFonts w:ascii="Arial" w:cs="Arial" w:eastAsia="Arial" w:hAnsi="Arial"/>
          <w:sz w:val="21"/>
          <w:szCs w:val="21"/>
          <w:i w:val="1"/>
          <w:iCs w:val="1"/>
          <w:color w:val="auto"/>
        </w:rPr>
        <w:t>Overall Recognition and Measurement of Financial Assets and Financial Liabilities</w:t>
      </w:r>
      <w:r>
        <w:rPr>
          <w:rFonts w:ascii="Arial" w:cs="Arial" w:eastAsia="Arial" w:hAnsi="Arial"/>
          <w:sz w:val="21"/>
          <w:szCs w:val="21"/>
          <w:color w:val="auto"/>
        </w:rPr>
        <w:t>. ASU No. 2016-01 amended ASC 825,</w:t>
      </w:r>
      <w:r>
        <w:rPr>
          <w:rFonts w:ascii="Arial" w:cs="Arial" w:eastAsia="Arial" w:hAnsi="Arial"/>
          <w:sz w:val="21"/>
          <w:szCs w:val="21"/>
          <w:i w:val="1"/>
          <w:iCs w:val="1"/>
          <w:color w:val="auto"/>
        </w:rPr>
        <w:t xml:space="preserve"> Financial Instruments</w:t>
      </w:r>
      <w:r>
        <w:rPr>
          <w:rFonts w:ascii="Arial" w:cs="Arial" w:eastAsia="Arial" w:hAnsi="Arial"/>
          <w:sz w:val="21"/>
          <w:szCs w:val="21"/>
          <w:color w:val="auto"/>
        </w:rPr>
        <w:t>, and eliminated disclosure of the fair value of financial instruments not recorded at fair value. This standard</w:t>
      </w:r>
      <w:r>
        <w:rPr>
          <w:rFonts w:ascii="Arial" w:cs="Arial" w:eastAsia="Arial" w:hAnsi="Arial"/>
          <w:sz w:val="21"/>
          <w:szCs w:val="21"/>
          <w:i w:val="1"/>
          <w:iCs w:val="1"/>
          <w:color w:val="auto"/>
        </w:rPr>
        <w:t xml:space="preserve"> </w:t>
      </w:r>
      <w:r>
        <w:rPr>
          <w:rFonts w:ascii="Arial" w:cs="Arial" w:eastAsia="Arial" w:hAnsi="Arial"/>
          <w:sz w:val="21"/>
          <w:szCs w:val="21"/>
          <w:color w:val="auto"/>
        </w:rPr>
        <w:t>was adopted retrospectively and had no impact on the Plans’ net assets or changes in net assets.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Pending New Pronouncement</w:t>
      </w:r>
    </w:p>
    <w:p>
      <w:pPr>
        <w:spacing w:after="0" w:line="253" w:lineRule="exact"/>
        <w:rPr>
          <w:sz w:val="20"/>
          <w:szCs w:val="20"/>
          <w:color w:val="auto"/>
        </w:rPr>
      </w:pPr>
    </w:p>
    <w:p>
      <w:pPr>
        <w:ind w:right="200"/>
        <w:spacing w:after="0" w:line="260" w:lineRule="auto"/>
        <w:rPr>
          <w:sz w:val="20"/>
          <w:szCs w:val="20"/>
          <w:color w:val="auto"/>
        </w:rPr>
      </w:pPr>
      <w:r>
        <w:rPr>
          <w:rFonts w:ascii="Arial" w:cs="Arial" w:eastAsia="Arial" w:hAnsi="Arial"/>
          <w:sz w:val="22"/>
          <w:szCs w:val="22"/>
          <w:color w:val="auto"/>
        </w:rPr>
        <w:t>In February 2017, FASB issued ASU No. 2017-06</w:t>
      </w:r>
      <w:r>
        <w:rPr>
          <w:rFonts w:ascii="Arial" w:cs="Arial" w:eastAsia="Arial" w:hAnsi="Arial"/>
          <w:sz w:val="19"/>
          <w:szCs w:val="19"/>
          <w:color w:val="auto"/>
        </w:rPr>
        <w:t>,</w:t>
      </w:r>
      <w:r>
        <w:rPr>
          <w:rFonts w:ascii="Arial" w:cs="Arial" w:eastAsia="Arial" w:hAnsi="Arial"/>
          <w:sz w:val="22"/>
          <w:szCs w:val="22"/>
          <w:color w:val="auto"/>
        </w:rPr>
        <w:t xml:space="preserve"> </w:t>
      </w:r>
      <w:r>
        <w:rPr>
          <w:rFonts w:ascii="Arial" w:cs="Arial" w:eastAsia="Arial" w:hAnsi="Arial"/>
          <w:sz w:val="19"/>
          <w:szCs w:val="19"/>
          <w:i w:val="1"/>
          <w:iCs w:val="1"/>
          <w:color w:val="auto"/>
        </w:rPr>
        <w:t>P</w:t>
      </w:r>
      <w:r>
        <w:rPr>
          <w:rFonts w:ascii="Arial" w:cs="Arial" w:eastAsia="Arial" w:hAnsi="Arial"/>
          <w:sz w:val="22"/>
          <w:szCs w:val="22"/>
          <w:i w:val="1"/>
          <w:iCs w:val="1"/>
          <w:color w:val="auto"/>
        </w:rPr>
        <w:t>lan Accounting: Defined Benefit Pension Plans (Topic 960), Defined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Contribution Pension Plans (Topic 962), and Health and Welfare Benefit Plans (Topic 965) - Employee Benefit Plan Master Trust Reporting. </w:t>
      </w:r>
      <w:r>
        <w:rPr>
          <w:rFonts w:ascii="Arial" w:cs="Arial" w:eastAsia="Arial" w:hAnsi="Arial"/>
          <w:sz w:val="22"/>
          <w:szCs w:val="22"/>
          <w:color w:val="auto"/>
        </w:rPr>
        <w:t>ASU No. 2017-06 amends the master trust disclosure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color w:val="auto"/>
        </w:rPr>
        <w:t>require additional disclosures related to the Plan’s interest in the underlying investments of the Master Trust. This ASU is effective for fiscal years beginning after December 15, 2018 and is required to be applied retrospectively for all comparative periods presented. Management does not expect the adoption of this ASU to have a significant impact on the Plans’ financial statements.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Investment Valuation and Income Recognition</w:t>
      </w:r>
    </w:p>
    <w:p>
      <w:pPr>
        <w:spacing w:after="0" w:line="253"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Investments held by the Plans are stated at fair value, except for fully benefit-responsive guaranteed investment contracts,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The Master Trust invests in fully benefit-responsive synthetic guaranteed investment contracts (synthetic GICs), which are stated at contract value. Contract value represents contributions made under each contract, plus earnings, less participant withdrawals and administrative expenses. Participants may ordinarily direct the withdrawal or transfer of all or a portion of their investments at contract value.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2016 or 2015. If a participant ceases to make loan repayments and the plan administrator deems the participant loan to be a distribution, the participant loan balance is reduced and a benefit payment is recorded.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Basis of Accounting</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preparation of financial statements in conformity with U.S. generally accepted accounting principles (U.S. GAAP) requires management to make estimates that affect the amounts reported in the financial statements and accompanying notes. Actual results could differ from these estimates. The accompanying financial statements have been prepared on the accrual basis of accounting.</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Master Trust</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Plans provide that both participant contributions and company-matching contributions be held in a trust by an independent trustee for the benefit of participating employees. During 2016 and 2015, Northern Trust Company served as trustee and maintained the accounting of the aggregate value of assets associated with each Plan participating in the Master Trust. The respective ownership interest of each Plan is determined using a unit-valuation method.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9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Purchases and sales of securities are recorded on a trade-date basis. Interest income is recorded as earned. Dividends are recorded on the ex-dividend date. Net appreciation includes gains and losses on investments bought and sold as well as held during the year.</w:t>
      </w:r>
    </w:p>
    <w:p>
      <w:pPr>
        <w:spacing w:after="0" w:line="13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Investment income, including net appreciation/depreciation in fair value of investments and expenses, is allocated to the participating plans based upon their pro rata share of the net assets of the Master Trust.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Master Trust holds synthetic GICs with third-party financial service institutions. The synthetic GICs are wrap contracts paired with an underlying investment portfolio of common/collective trust funds, owned by the Plans, that invest in average-quality, intermediate-term, fixed-income securities. A synthetic GIC credits the holder’s account with a stated interest rate for a specified period of time. Investment gains and losses are amortized over the expected duration through the calculation of the interest rate applicable to the Plans on a prospective basis. Synthetic GICs provide for a variable crediting rate, which typically resets at least quarterly, and the issuer of the wrap contract provides assurance that future adjustments to the crediting rate cannot result in a crediting rate less than zero.</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most impacted by the change in the annual effective yield-to-maturity of the underlying securities but is also affected by the differential between the contract value and the market value of the covered investments.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Generally, payments will be made pro rata, based on the percentage of investments covered by each issuer. The terms of an investment contract generally provide for settlement of payments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a synthetic GIC terminates due to a decline in the ratings of the issuer, the issuer may be required to pay to the Plans the cost of acquiring a replacement contract (i.e., replacement cost) within the meaning of the contract.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would allow for a gradual asset risk wind-down over the portfolio’s duration and would maintain contract value on the Plans.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Certain events, including (1) certain amendments to the Plans' documents (including complete or partial plan termination or merger with another plan), (2) changes to the Plans’ prohibition on competing investment options or deletion of equity wash provisions, (3) bankruptcy of the Plans' sponsors or other Plans' sponsor events that cause a significant withdrawal from the Plans, and (4) the failure of the trust to qualify for exemption from federal income taxes or any required prohibited transaction exemption under ERISA, limit the ability of the Plans to transact at contract value with third-party financial institutions. The plan administrator believes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9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that the occurrence of any such value event, which would limit the Plans’ ability to transact at contract value with participants, is not probable of occurring.</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 stable contract value. The plan administrator does not believe the occurrence of any such event has occurred or is probable of occurring.</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2016 and 2015, each Plan’s respective percentage interest in the Master Trust was as follows:</w:t>
      </w:r>
    </w:p>
    <w:p>
      <w:pPr>
        <w:spacing w:after="0" w:line="394" w:lineRule="exact"/>
        <w:rPr>
          <w:sz w:val="20"/>
          <w:szCs w:val="20"/>
          <w:color w:val="auto"/>
        </w:rPr>
      </w:pPr>
    </w:p>
    <w:tbl>
      <w:tblPr>
        <w:tblLayout w:type="fixed"/>
        <w:tblInd w:w="480" w:type="dxa"/>
        <w:tblCellMar>
          <w:top w:w="0" w:type="dxa"/>
          <w:left w:w="0" w:type="dxa"/>
          <w:bottom w:w="0" w:type="dxa"/>
          <w:right w:w="0" w:type="dxa"/>
        </w:tblCellMar>
      </w:tblPr>
      <w:tr>
        <w:trPr>
          <w:trHeight w:val="256"/>
        </w:trPr>
        <w:tc>
          <w:tcPr>
            <w:tcW w:w="5880" w:type="dxa"/>
            <w:vAlign w:val="bottom"/>
          </w:tcPr>
          <w:p>
            <w:pPr>
              <w:spacing w:after="0"/>
              <w:rPr>
                <w:sz w:val="22"/>
                <w:szCs w:val="22"/>
                <w:color w:val="auto"/>
              </w:rPr>
            </w:pPr>
          </w:p>
        </w:tc>
        <w:tc>
          <w:tcPr>
            <w:tcW w:w="2420" w:type="dxa"/>
            <w:vAlign w:val="bottom"/>
            <w:gridSpan w:val="2"/>
          </w:tcPr>
          <w:p>
            <w:pPr>
              <w:ind w:left="360"/>
              <w:spacing w:after="0"/>
              <w:rPr>
                <w:sz w:val="20"/>
                <w:szCs w:val="20"/>
                <w:color w:val="auto"/>
              </w:rPr>
            </w:pPr>
            <w:r>
              <w:rPr>
                <w:rFonts w:ascii="Arial" w:cs="Arial" w:eastAsia="Arial" w:hAnsi="Arial"/>
                <w:sz w:val="20"/>
                <w:szCs w:val="20"/>
                <w:b w:val="1"/>
                <w:bCs w:val="1"/>
                <w:color w:val="auto"/>
              </w:rPr>
              <w:t>December 31, 2016</w:t>
            </w:r>
          </w:p>
        </w:tc>
        <w:tc>
          <w:tcPr>
            <w:tcW w:w="2200" w:type="dxa"/>
            <w:vAlign w:val="bottom"/>
          </w:tcPr>
          <w:p>
            <w:pPr>
              <w:ind w:left="300"/>
              <w:spacing w:after="0"/>
              <w:rPr>
                <w:sz w:val="20"/>
                <w:szCs w:val="20"/>
                <w:color w:val="auto"/>
              </w:rPr>
            </w:pPr>
            <w:r>
              <w:rPr>
                <w:rFonts w:ascii="Arial" w:cs="Arial" w:eastAsia="Arial" w:hAnsi="Arial"/>
                <w:sz w:val="20"/>
                <w:szCs w:val="20"/>
                <w:b w:val="1"/>
                <w:bCs w:val="1"/>
                <w:color w:val="auto"/>
              </w:rPr>
              <w:t>December 31, 2015</w:t>
            </w:r>
          </w:p>
        </w:tc>
      </w:tr>
      <w:tr>
        <w:trPr>
          <w:trHeight w:val="23"/>
        </w:trPr>
        <w:tc>
          <w:tcPr>
            <w:tcW w:w="58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524"/>
        </w:trPr>
        <w:tc>
          <w:tcPr>
            <w:tcW w:w="5880" w:type="dxa"/>
            <w:vAlign w:val="bottom"/>
          </w:tcPr>
          <w:p>
            <w:pPr>
              <w:spacing w:after="0"/>
              <w:rPr>
                <w:sz w:val="20"/>
                <w:szCs w:val="20"/>
                <w:color w:val="auto"/>
              </w:rPr>
            </w:pPr>
            <w:r>
              <w:rPr>
                <w:rFonts w:ascii="Arial" w:cs="Arial" w:eastAsia="Arial" w:hAnsi="Arial"/>
                <w:sz w:val="20"/>
                <w:szCs w:val="20"/>
                <w:color w:val="auto"/>
              </w:rPr>
              <w:t>401(k) Plan</w:t>
            </w:r>
          </w:p>
        </w:tc>
        <w:tc>
          <w:tcPr>
            <w:tcW w:w="2320" w:type="dxa"/>
            <w:vAlign w:val="bottom"/>
          </w:tcPr>
          <w:p>
            <w:pPr>
              <w:jc w:val="right"/>
              <w:ind w:right="761"/>
              <w:spacing w:after="0"/>
              <w:rPr>
                <w:sz w:val="20"/>
                <w:szCs w:val="20"/>
                <w:color w:val="auto"/>
              </w:rPr>
            </w:pPr>
            <w:r>
              <w:rPr>
                <w:rFonts w:ascii="Arial" w:cs="Arial" w:eastAsia="Arial" w:hAnsi="Arial"/>
                <w:sz w:val="20"/>
                <w:szCs w:val="20"/>
                <w:color w:val="auto"/>
              </w:rPr>
              <w:t>97.22%</w:t>
            </w:r>
          </w:p>
        </w:tc>
        <w:tc>
          <w:tcPr>
            <w:tcW w:w="100" w:type="dxa"/>
            <w:vAlign w:val="bottom"/>
          </w:tcPr>
          <w:p>
            <w:pPr>
              <w:spacing w:after="0"/>
              <w:rPr>
                <w:sz w:val="24"/>
                <w:szCs w:val="24"/>
                <w:color w:val="auto"/>
              </w:rPr>
            </w:pPr>
          </w:p>
        </w:tc>
        <w:tc>
          <w:tcPr>
            <w:tcW w:w="2200" w:type="dxa"/>
            <w:vAlign w:val="bottom"/>
          </w:tcPr>
          <w:p>
            <w:pPr>
              <w:jc w:val="right"/>
              <w:ind w:right="701"/>
              <w:spacing w:after="0"/>
              <w:rPr>
                <w:sz w:val="20"/>
                <w:szCs w:val="20"/>
                <w:color w:val="auto"/>
              </w:rPr>
            </w:pPr>
            <w:r>
              <w:rPr>
                <w:rFonts w:ascii="Arial" w:cs="Arial" w:eastAsia="Arial" w:hAnsi="Arial"/>
                <w:sz w:val="20"/>
                <w:szCs w:val="20"/>
                <w:color w:val="auto"/>
              </w:rPr>
              <w:t>97.14%</w:t>
            </w:r>
          </w:p>
        </w:tc>
      </w:tr>
      <w:tr>
        <w:trPr>
          <w:trHeight w:val="284"/>
        </w:trPr>
        <w:tc>
          <w:tcPr>
            <w:tcW w:w="5880" w:type="dxa"/>
            <w:vAlign w:val="bottom"/>
          </w:tcPr>
          <w:p>
            <w:pPr>
              <w:spacing w:after="0"/>
              <w:rPr>
                <w:sz w:val="20"/>
                <w:szCs w:val="20"/>
                <w:color w:val="auto"/>
              </w:rPr>
            </w:pPr>
            <w:r>
              <w:rPr>
                <w:rFonts w:ascii="Arial" w:cs="Arial" w:eastAsia="Arial" w:hAnsi="Arial"/>
                <w:sz w:val="20"/>
                <w:szCs w:val="20"/>
                <w:color w:val="auto"/>
              </w:rPr>
              <w:t>Puerto Rico Plan</w:t>
            </w:r>
          </w:p>
        </w:tc>
        <w:tc>
          <w:tcPr>
            <w:tcW w:w="2320" w:type="dxa"/>
            <w:vAlign w:val="bottom"/>
          </w:tcPr>
          <w:p>
            <w:pPr>
              <w:jc w:val="right"/>
              <w:ind w:right="821"/>
              <w:spacing w:after="0"/>
              <w:rPr>
                <w:sz w:val="20"/>
                <w:szCs w:val="20"/>
                <w:color w:val="auto"/>
              </w:rPr>
            </w:pPr>
            <w:r>
              <w:rPr>
                <w:rFonts w:ascii="Arial" w:cs="Arial" w:eastAsia="Arial" w:hAnsi="Arial"/>
                <w:sz w:val="20"/>
                <w:szCs w:val="20"/>
                <w:color w:val="auto"/>
              </w:rPr>
              <w:t>2.78%</w:t>
            </w:r>
          </w:p>
        </w:tc>
        <w:tc>
          <w:tcPr>
            <w:tcW w:w="100" w:type="dxa"/>
            <w:vAlign w:val="bottom"/>
          </w:tcPr>
          <w:p>
            <w:pPr>
              <w:spacing w:after="0"/>
              <w:rPr>
                <w:sz w:val="24"/>
                <w:szCs w:val="24"/>
                <w:color w:val="auto"/>
              </w:rPr>
            </w:pPr>
          </w:p>
        </w:tc>
        <w:tc>
          <w:tcPr>
            <w:tcW w:w="2200" w:type="dxa"/>
            <w:vAlign w:val="bottom"/>
          </w:tcPr>
          <w:p>
            <w:pPr>
              <w:jc w:val="right"/>
              <w:ind w:right="741"/>
              <w:spacing w:after="0"/>
              <w:rPr>
                <w:sz w:val="20"/>
                <w:szCs w:val="20"/>
                <w:color w:val="auto"/>
              </w:rPr>
            </w:pPr>
            <w:r>
              <w:rPr>
                <w:rFonts w:ascii="Arial" w:cs="Arial" w:eastAsia="Arial" w:hAnsi="Arial"/>
                <w:sz w:val="20"/>
                <w:szCs w:val="20"/>
                <w:color w:val="auto"/>
              </w:rPr>
              <w:t>2.86%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9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Information relating to the Master Trust’s net assets as of December 31, 2016 and 2015, and investment income for the year ended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2016, are summarized below:</w:t>
      </w: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6700" w:type="dxa"/>
            <w:vAlign w:val="bottom"/>
          </w:tcPr>
          <w:p>
            <w:pPr>
              <w:spacing w:after="0"/>
              <w:rPr>
                <w:sz w:val="22"/>
                <w:szCs w:val="22"/>
                <w:color w:val="auto"/>
              </w:rPr>
            </w:pPr>
          </w:p>
        </w:tc>
        <w:tc>
          <w:tcPr>
            <w:tcW w:w="2500" w:type="dxa"/>
            <w:vAlign w:val="bottom"/>
            <w:gridSpan w:val="3"/>
          </w:tcPr>
          <w:p>
            <w:pPr>
              <w:ind w:left="20"/>
              <w:spacing w:after="0"/>
              <w:rPr>
                <w:sz w:val="20"/>
                <w:szCs w:val="20"/>
                <w:color w:val="auto"/>
              </w:rPr>
            </w:pPr>
            <w:r>
              <w:rPr>
                <w:rFonts w:ascii="Arial" w:cs="Arial" w:eastAsia="Arial" w:hAnsi="Arial"/>
                <w:sz w:val="20"/>
                <w:szCs w:val="20"/>
                <w:b w:val="1"/>
                <w:bCs w:val="1"/>
                <w:color w:val="auto"/>
              </w:rPr>
              <w:t>December 31, 2016</w:t>
            </w:r>
          </w:p>
        </w:tc>
        <w:tc>
          <w:tcPr>
            <w:tcW w:w="2180" w:type="dxa"/>
            <w:vAlign w:val="bottom"/>
            <w:gridSpan w:val="2"/>
          </w:tcPr>
          <w:p>
            <w:pPr>
              <w:ind w:left="40"/>
              <w:spacing w:after="0"/>
              <w:rPr>
                <w:sz w:val="20"/>
                <w:szCs w:val="20"/>
                <w:color w:val="auto"/>
              </w:rPr>
            </w:pPr>
            <w:r>
              <w:rPr>
                <w:rFonts w:ascii="Arial" w:cs="Arial" w:eastAsia="Arial" w:hAnsi="Arial"/>
                <w:sz w:val="20"/>
                <w:szCs w:val="20"/>
                <w:b w:val="1"/>
                <w:bCs w:val="1"/>
                <w:color w:val="auto"/>
              </w:rPr>
              <w:t>December 31, 2015</w:t>
            </w:r>
          </w:p>
        </w:tc>
        <w:tc>
          <w:tcPr>
            <w:tcW w:w="0" w:type="dxa"/>
            <w:vAlign w:val="bottom"/>
          </w:tcPr>
          <w:p>
            <w:pPr>
              <w:spacing w:after="0"/>
              <w:rPr>
                <w:sz w:val="1"/>
                <w:szCs w:val="1"/>
                <w:color w:val="auto"/>
              </w:rPr>
            </w:pPr>
          </w:p>
        </w:tc>
      </w:tr>
      <w:tr>
        <w:trPr>
          <w:trHeight w:val="23"/>
        </w:trPr>
        <w:tc>
          <w:tcPr>
            <w:tcW w:w="6700" w:type="dxa"/>
            <w:vAlign w:val="bottom"/>
            <w:vMerge w:val="restart"/>
          </w:tcPr>
          <w:p>
            <w:pPr>
              <w:spacing w:after="0"/>
              <w:rPr>
                <w:sz w:val="20"/>
                <w:szCs w:val="20"/>
                <w:color w:val="auto"/>
              </w:rPr>
            </w:pPr>
            <w:r>
              <w:rPr>
                <w:rFonts w:ascii="Arial" w:cs="Arial" w:eastAsia="Arial" w:hAnsi="Arial"/>
                <w:sz w:val="20"/>
                <w:szCs w:val="20"/>
                <w:color w:val="auto"/>
              </w:rPr>
              <w:t>Net assets:</w:t>
            </w: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7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700" w:type="dxa"/>
            <w:vAlign w:val="bottom"/>
          </w:tcPr>
          <w:p>
            <w:pPr>
              <w:ind w:left="100"/>
              <w:spacing w:after="0"/>
              <w:rPr>
                <w:sz w:val="20"/>
                <w:szCs w:val="20"/>
                <w:color w:val="auto"/>
              </w:rPr>
            </w:pPr>
            <w:r>
              <w:rPr>
                <w:rFonts w:ascii="Arial" w:cs="Arial" w:eastAsia="Arial" w:hAnsi="Arial"/>
                <w:sz w:val="20"/>
                <w:szCs w:val="20"/>
                <w:color w:val="auto"/>
              </w:rPr>
              <w:t>Investments at fair value:</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Registered investment companies</w:t>
            </w:r>
          </w:p>
        </w:tc>
        <w:tc>
          <w:tcPr>
            <w:tcW w:w="520" w:type="dxa"/>
            <w:vAlign w:val="bottom"/>
          </w:tcPr>
          <w:p>
            <w:pPr>
              <w:ind w:left="20"/>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140,070,879</w:t>
            </w:r>
          </w:p>
        </w:tc>
        <w:tc>
          <w:tcPr>
            <w:tcW w:w="3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87,345,229</w:t>
            </w: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Self-directed brokerage accounts</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224,573,356</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205,587,168</w:t>
            </w: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Eli Lilly and Company common stock</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684,118,926</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809,246,522</w:t>
            </w: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Interest in common/collective trusts</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4,155,651,704</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3,705,060,697</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700" w:type="dxa"/>
            <w:vAlign w:val="bottom"/>
          </w:tcPr>
          <w:p>
            <w:pPr>
              <w:ind w:left="380"/>
              <w:spacing w:after="0"/>
              <w:rPr>
                <w:sz w:val="20"/>
                <w:szCs w:val="20"/>
                <w:color w:val="auto"/>
              </w:rPr>
            </w:pPr>
            <w:r>
              <w:rPr>
                <w:rFonts w:ascii="Arial" w:cs="Arial" w:eastAsia="Arial" w:hAnsi="Arial"/>
                <w:sz w:val="20"/>
                <w:szCs w:val="20"/>
                <w:color w:val="auto"/>
              </w:rPr>
              <w:t>Total investments at fair value</w:t>
            </w:r>
          </w:p>
        </w:tc>
        <w:tc>
          <w:tcPr>
            <w:tcW w:w="52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5,204,414,865</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4,807,239,616</w:t>
            </w:r>
          </w:p>
        </w:tc>
        <w:tc>
          <w:tcPr>
            <w:tcW w:w="0" w:type="dxa"/>
            <w:vAlign w:val="bottom"/>
          </w:tcPr>
          <w:p>
            <w:pPr>
              <w:spacing w:after="0"/>
              <w:rPr>
                <w:sz w:val="1"/>
                <w:szCs w:val="1"/>
                <w:color w:val="auto"/>
              </w:rPr>
            </w:pPr>
          </w:p>
        </w:tc>
      </w:tr>
      <w:tr>
        <w:trPr>
          <w:trHeight w:val="284"/>
        </w:trPr>
        <w:tc>
          <w:tcPr>
            <w:tcW w:w="6700" w:type="dxa"/>
            <w:vAlign w:val="bottom"/>
          </w:tcPr>
          <w:p>
            <w:pPr>
              <w:ind w:left="100"/>
              <w:spacing w:after="0"/>
              <w:rPr>
                <w:sz w:val="20"/>
                <w:szCs w:val="20"/>
                <w:color w:val="auto"/>
              </w:rPr>
            </w:pPr>
            <w:r>
              <w:rPr>
                <w:rFonts w:ascii="Arial" w:cs="Arial" w:eastAsia="Arial" w:hAnsi="Arial"/>
                <w:sz w:val="20"/>
                <w:szCs w:val="20"/>
                <w:color w:val="auto"/>
              </w:rPr>
              <w:t>Investments at contract value - synthetic GICs</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983,436,849</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980,953,131</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00" w:type="dxa"/>
            <w:vAlign w:val="bottom"/>
          </w:tcPr>
          <w:p>
            <w:pPr>
              <w:spacing w:after="0"/>
              <w:rPr>
                <w:sz w:val="20"/>
                <w:szCs w:val="20"/>
                <w:color w:val="auto"/>
              </w:rPr>
            </w:pPr>
            <w:r>
              <w:rPr>
                <w:rFonts w:ascii="Arial" w:cs="Arial" w:eastAsia="Arial" w:hAnsi="Arial"/>
                <w:sz w:val="20"/>
                <w:szCs w:val="20"/>
                <w:color w:val="auto"/>
              </w:rPr>
              <w:t>Total Master Trust net assets</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6,187,851,714</w:t>
            </w:r>
          </w:p>
        </w:tc>
        <w:tc>
          <w:tcPr>
            <w:tcW w:w="340" w:type="dxa"/>
            <w:vAlign w:val="bottom"/>
          </w:tcPr>
          <w:p>
            <w:pPr>
              <w:spacing w:after="0"/>
              <w:rPr>
                <w:sz w:val="23"/>
                <w:szCs w:val="23"/>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5,788,192,747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80" w:type="dxa"/>
            <w:vAlign w:val="bottom"/>
          </w:tcPr>
          <w:p>
            <w:pPr>
              <w:spacing w:after="0"/>
              <w:rPr>
                <w:sz w:val="20"/>
                <w:szCs w:val="20"/>
                <w:color w:val="auto"/>
              </w:rPr>
            </w:pPr>
            <w:r>
              <w:rPr>
                <w:rFonts w:ascii="Arial" w:cs="Arial" w:eastAsia="Arial" w:hAnsi="Arial"/>
                <w:sz w:val="20"/>
                <w:szCs w:val="20"/>
                <w:color w:val="auto"/>
              </w:rPr>
              <w:t>Year ended December 31, 2016, investment income:</w:t>
            </w:r>
          </w:p>
        </w:tc>
        <w:tc>
          <w:tcPr>
            <w:tcW w:w="6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4"/>
        </w:trPr>
        <w:tc>
          <w:tcPr>
            <w:tcW w:w="6580" w:type="dxa"/>
            <w:vAlign w:val="bottom"/>
          </w:tcPr>
          <w:p>
            <w:pPr>
              <w:ind w:left="100"/>
              <w:spacing w:after="0"/>
              <w:rPr>
                <w:sz w:val="20"/>
                <w:szCs w:val="20"/>
                <w:color w:val="auto"/>
              </w:rPr>
            </w:pPr>
            <w:r>
              <w:rPr>
                <w:rFonts w:ascii="Arial" w:cs="Arial" w:eastAsia="Arial" w:hAnsi="Arial"/>
                <w:sz w:val="20"/>
                <w:szCs w:val="20"/>
                <w:color w:val="auto"/>
              </w:rPr>
              <w:t>Interest income, net of expenses</w:t>
            </w:r>
          </w:p>
        </w:tc>
        <w:tc>
          <w:tcPr>
            <w:tcW w:w="640" w:type="dxa"/>
            <w:vAlign w:val="bottom"/>
          </w:tcPr>
          <w:p>
            <w:pPr>
              <w:jc w:val="right"/>
              <w:ind w:right="421"/>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9,430,208</w:t>
            </w:r>
          </w:p>
        </w:tc>
      </w:tr>
      <w:tr>
        <w:trPr>
          <w:trHeight w:val="284"/>
        </w:trPr>
        <w:tc>
          <w:tcPr>
            <w:tcW w:w="6580" w:type="dxa"/>
            <w:vAlign w:val="bottom"/>
          </w:tcPr>
          <w:p>
            <w:pPr>
              <w:ind w:left="100"/>
              <w:spacing w:after="0"/>
              <w:rPr>
                <w:sz w:val="20"/>
                <w:szCs w:val="20"/>
                <w:color w:val="auto"/>
              </w:rPr>
            </w:pPr>
            <w:r>
              <w:rPr>
                <w:rFonts w:ascii="Arial" w:cs="Arial" w:eastAsia="Arial" w:hAnsi="Arial"/>
                <w:sz w:val="20"/>
                <w:szCs w:val="20"/>
                <w:color w:val="auto"/>
              </w:rPr>
              <w:t>Dividend income</w:t>
            </w:r>
          </w:p>
        </w:tc>
        <w:tc>
          <w:tcPr>
            <w:tcW w:w="6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27,199,694</w:t>
            </w:r>
          </w:p>
        </w:tc>
      </w:tr>
      <w:tr>
        <w:trPr>
          <w:trHeight w:val="284"/>
        </w:trPr>
        <w:tc>
          <w:tcPr>
            <w:tcW w:w="6580" w:type="dxa"/>
            <w:vAlign w:val="bottom"/>
          </w:tcPr>
          <w:p>
            <w:pPr>
              <w:ind w:left="100"/>
              <w:spacing w:after="0"/>
              <w:rPr>
                <w:sz w:val="20"/>
                <w:szCs w:val="20"/>
                <w:color w:val="auto"/>
              </w:rPr>
            </w:pPr>
            <w:r>
              <w:rPr>
                <w:rFonts w:ascii="Arial" w:cs="Arial" w:eastAsia="Arial" w:hAnsi="Arial"/>
                <w:sz w:val="20"/>
                <w:szCs w:val="20"/>
                <w:color w:val="auto"/>
              </w:rPr>
              <w:t>Net appreciation (depreciation) in fair value of investments</w:t>
            </w:r>
          </w:p>
        </w:tc>
        <w:tc>
          <w:tcPr>
            <w:tcW w:w="6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261,292,329</w:t>
            </w:r>
          </w:p>
        </w:tc>
      </w:tr>
      <w:tr>
        <w:trPr>
          <w:trHeight w:val="23"/>
        </w:trPr>
        <w:tc>
          <w:tcPr>
            <w:tcW w:w="65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2"/>
        </w:trPr>
        <w:tc>
          <w:tcPr>
            <w:tcW w:w="6580" w:type="dxa"/>
            <w:vAlign w:val="bottom"/>
          </w:tcPr>
          <w:p>
            <w:pPr>
              <w:spacing w:after="0"/>
              <w:rPr>
                <w:sz w:val="20"/>
                <w:szCs w:val="20"/>
                <w:color w:val="auto"/>
              </w:rPr>
            </w:pPr>
            <w:r>
              <w:rPr>
                <w:rFonts w:ascii="Arial" w:cs="Arial" w:eastAsia="Arial" w:hAnsi="Arial"/>
                <w:sz w:val="20"/>
                <w:szCs w:val="20"/>
                <w:color w:val="auto"/>
              </w:rPr>
              <w:t>Total Master Trust investment income</w:t>
            </w:r>
          </w:p>
        </w:tc>
        <w:tc>
          <w:tcPr>
            <w:tcW w:w="6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297,922,231</w:t>
            </w:r>
          </w:p>
        </w:tc>
      </w:tr>
      <w:tr>
        <w:trPr>
          <w:trHeight w:val="20"/>
        </w:trPr>
        <w:tc>
          <w:tcPr>
            <w:tcW w:w="6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Fair Value Measurements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Level 1 - Inputs to the valuation methodology are unadjusted quoted prices for identical assets or liabilities in active markets.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2 - Inputs to the valuation methodology include:</w:t>
      </w:r>
    </w:p>
    <w:p>
      <w:pPr>
        <w:spacing w:after="0" w:line="24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Quoted prices for similar assets and liabilities in active markets</w:t>
      </w:r>
    </w:p>
    <w:p>
      <w:pPr>
        <w:sectPr>
          <w:pgSz w:w="11900" w:h="16838" w:orient="portrait"/>
          <w:cols w:equalWidth="0" w:num="1">
            <w:col w:w="11420"/>
          </w:cols>
          <w:pgMar w:left="240" w:top="190"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90"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markets that are not active</w:t>
      </w:r>
    </w:p>
    <w:p>
      <w:pPr>
        <w:spacing w:after="0" w:line="246"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Inputs other than quoted prices that are for the assets or liabilities (e.g., interest rate and yield curve quotes at commonly quoted intervals)</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1"/>
          <w:szCs w:val="21"/>
          <w:color w:val="auto"/>
        </w:rPr>
      </w:pPr>
      <w:r>
        <w:rPr>
          <w:rFonts w:ascii="Arial" w:cs="Arial" w:eastAsia="Arial" w:hAnsi="Arial"/>
          <w:sz w:val="21"/>
          <w:szCs w:val="21"/>
          <w:color w:val="auto"/>
        </w:rPr>
        <w:t>Inputs that are derived principally from or corroborated by observable market data by correlation or other means</w:t>
      </w:r>
    </w:p>
    <w:p>
      <w:pPr>
        <w:spacing w:after="0" w:line="258" w:lineRule="exact"/>
        <w:rPr>
          <w:sz w:val="20"/>
          <w:szCs w:val="20"/>
          <w:color w:val="auto"/>
        </w:rPr>
      </w:pPr>
    </w:p>
    <w:p>
      <w:pPr>
        <w:ind w:left="340"/>
        <w:spacing w:after="0" w:line="263" w:lineRule="auto"/>
        <w:rPr>
          <w:sz w:val="20"/>
          <w:szCs w:val="20"/>
          <w:color w:val="auto"/>
        </w:rPr>
      </w:pPr>
      <w:r>
        <w:rPr>
          <w:rFonts w:ascii="Arial" w:cs="Arial" w:eastAsia="Arial" w:hAnsi="Arial"/>
          <w:sz w:val="22"/>
          <w:szCs w:val="22"/>
          <w:color w:val="auto"/>
        </w:rPr>
        <w:t>If the asset or liability has a specified (contractual) term, the Level 2 input must be observable for substantially the full term of the asset or liability.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3 - Inputs to the valuation methodology are unobservable and significant to the fair value measurement.</w:t>
      </w: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description of the valuation techniques and inputs used for assets measured at fair value:</w:t>
      </w:r>
    </w:p>
    <w:p>
      <w:pPr>
        <w:spacing w:after="0" w:line="247" w:lineRule="exact"/>
        <w:rPr>
          <w:sz w:val="20"/>
          <w:szCs w:val="20"/>
          <w:color w:val="auto"/>
        </w:rPr>
      </w:pPr>
    </w:p>
    <w:p>
      <w:pPr>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2"/>
          <w:szCs w:val="22"/>
          <w:color w:val="auto"/>
        </w:rPr>
        <w:t>Registered investment companies (mutual funds) - Valued at the net asset value (NAV) of shares held by the Plans at year end, as quoted in the active market, and are classified within Level 1 of the valuation hierarchy.</w:t>
      </w:r>
    </w:p>
    <w:p>
      <w:pPr>
        <w:spacing w:after="0" w:line="201" w:lineRule="exact"/>
        <w:rPr>
          <w:rFonts w:ascii="Arial" w:cs="Arial" w:eastAsia="Arial" w:hAnsi="Arial"/>
          <w:sz w:val="18"/>
          <w:szCs w:val="18"/>
          <w:color w:val="auto"/>
        </w:rPr>
      </w:pPr>
    </w:p>
    <w:p>
      <w:pPr>
        <w:ind w:left="660" w:hanging="328"/>
        <w:spacing w:after="0" w:line="343"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Self-directed brokerage accounts (represents mutual funds and Exchange Traded Funds) - Valued at the NAV of shares held by the Plans at year end, as quoted in the active market, and are classified within Level 1 of the valuation hierarchy.</w:t>
      </w:r>
    </w:p>
    <w:p>
      <w:pPr>
        <w:spacing w:after="0" w:line="131"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Eli Lilly and Company common stock - Valued at the closing price reported on the New York Stock Exchange and is classified within Level 1 of the valuation hierarchy.</w:t>
      </w:r>
    </w:p>
    <w:p>
      <w:pPr>
        <w:spacing w:after="0" w:line="201"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2016 and 2015.</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9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Master Trust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2016:</w:t>
      </w:r>
    </w:p>
    <w:p>
      <w:pPr>
        <w:spacing w:after="0" w:line="200" w:lineRule="exact"/>
        <w:rPr>
          <w:sz w:val="20"/>
          <w:szCs w:val="20"/>
          <w:color w:val="auto"/>
        </w:rPr>
      </w:pP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0"/>
                <w:szCs w:val="20"/>
                <w:color w:val="auto"/>
              </w:rPr>
            </w:pPr>
            <w:r>
              <w:rPr>
                <w:rFonts w:ascii="Arial" w:cs="Arial" w:eastAsia="Arial" w:hAnsi="Arial"/>
                <w:sz w:val="14"/>
                <w:szCs w:val="14"/>
                <w:color w:val="auto"/>
              </w:rPr>
              <w:t>Registered investment companies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140,070,879</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140,070,879</w:t>
            </w:r>
          </w:p>
        </w:tc>
        <w:tc>
          <w:tcPr>
            <w:tcW w:w="2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4"/>
                <w:szCs w:val="14"/>
                <w:color w:val="auto"/>
              </w:rPr>
              <w:t>Self-directed brokerage accounts</w:t>
            </w: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224,573,356</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224,573,356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80" w:type="dxa"/>
            <w:vAlign w:val="bottom"/>
          </w:tcPr>
          <w:p>
            <w:pPr>
              <w:spacing w:after="0"/>
              <w:rPr>
                <w:sz w:val="20"/>
                <w:szCs w:val="20"/>
                <w:color w:val="auto"/>
              </w:rPr>
            </w:pPr>
            <w:r>
              <w:rPr>
                <w:rFonts w:ascii="Arial" w:cs="Arial" w:eastAsia="Arial" w:hAnsi="Arial"/>
                <w:sz w:val="14"/>
                <w:szCs w:val="14"/>
                <w:color w:val="auto"/>
              </w:rPr>
              <w:t>Eli Lilly and Company common stock</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684,118,926</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684,118,926</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1,048,763,161</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1,048,763,161</w:t>
            </w:r>
          </w:p>
        </w:tc>
        <w:tc>
          <w:tcPr>
            <w:tcW w:w="2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Interest in common/collective trusts, measured at NAV</w:t>
            </w:r>
          </w:p>
        </w:tc>
        <w:tc>
          <w:tcPr>
            <w:tcW w:w="300" w:type="dxa"/>
            <w:vAlign w:val="bottom"/>
          </w:tcPr>
          <w:p>
            <w:pPr>
              <w:spacing w:after="0" w:line="20" w:lineRule="exact"/>
              <w:rPr>
                <w:sz w:val="1"/>
                <w:szCs w:val="1"/>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4,155,651,704</w:t>
            </w: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48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4"/>
                <w:szCs w:val="14"/>
                <w:color w:val="auto"/>
              </w:rPr>
              <w:t>Total Master Trust investments, at fair value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5,204,414,865</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Master Trust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2015:</w:t>
      </w:r>
    </w:p>
    <w:p>
      <w:pPr>
        <w:spacing w:after="0" w:line="200" w:lineRule="exact"/>
        <w:rPr>
          <w:sz w:val="20"/>
          <w:szCs w:val="20"/>
          <w:color w:val="auto"/>
        </w:rPr>
      </w:pP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3560" w:type="dxa"/>
            <w:vAlign w:val="bottom"/>
          </w:tcPr>
          <w:p>
            <w:pPr>
              <w:spacing w:after="0"/>
              <w:rPr>
                <w:sz w:val="20"/>
                <w:szCs w:val="20"/>
                <w:color w:val="auto"/>
              </w:rPr>
            </w:pPr>
            <w:r>
              <w:rPr>
                <w:rFonts w:ascii="Arial" w:cs="Arial" w:eastAsia="Arial" w:hAnsi="Arial"/>
                <w:sz w:val="14"/>
                <w:szCs w:val="14"/>
                <w:color w:val="auto"/>
              </w:rPr>
              <w:t>Registered investment companies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87,345,229</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87,345,229</w:t>
            </w:r>
          </w:p>
        </w:tc>
        <w:tc>
          <w:tcPr>
            <w:tcW w:w="200" w:type="dxa"/>
            <w:vAlign w:val="bottom"/>
          </w:tcPr>
          <w:p>
            <w:pPr>
              <w:spacing w:after="0"/>
              <w:rPr>
                <w:sz w:val="21"/>
                <w:szCs w:val="21"/>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Self-directed brokerage accounts</w:t>
            </w: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205,587,168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205,587,168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Eli Lilly and Company common stock</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809,246,522</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809,246,522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1,102,178,919</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1,102,178,919</w:t>
            </w:r>
          </w:p>
        </w:tc>
        <w:tc>
          <w:tcPr>
            <w:tcW w:w="200" w:type="dxa"/>
            <w:vAlign w:val="bottom"/>
          </w:tcPr>
          <w:p>
            <w:pPr>
              <w:spacing w:after="0"/>
              <w:rPr>
                <w:sz w:val="21"/>
                <w:szCs w:val="21"/>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4"/>
                <w:szCs w:val="14"/>
                <w:color w:val="auto"/>
              </w:rPr>
              <w:t>Interest in common/collective trusts, measured at NAV</w:t>
            </w:r>
          </w:p>
        </w:tc>
        <w:tc>
          <w:tcPr>
            <w:tcW w:w="300" w:type="dxa"/>
            <w:vAlign w:val="bottom"/>
          </w:tcPr>
          <w:p>
            <w:pPr>
              <w:spacing w:after="0" w:line="20" w:lineRule="exact"/>
              <w:rPr>
                <w:sz w:val="1"/>
                <w:szCs w:val="1"/>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3,705,060,697</w:t>
            </w: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6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4"/>
                <w:szCs w:val="14"/>
                <w:color w:val="auto"/>
              </w:rPr>
              <w:t>Total Master Trust investments, at fair value</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4,807,239,616</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Income Tax Status</w:t>
      </w:r>
    </w:p>
    <w:p>
      <w:pPr>
        <w:spacing w:after="0" w:line="25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401(k) Plan has received a determination letter from the IRS dated June 13, 2017, confirming generally that the 401(k) Plan meets the qualification requirements under Section 401(a) of the Internal Revenue Code (the Code), and therefore the related trust is exempt from taxation. Subsequent to the effective date of the determination letter, the 401(k) Plan was amended. Once qualified, the 401(k) Plan is required to operate in conformity with the Code to maintain its qualification. The plan administrator believes that the 401(k) Plan is being operated in compliance with applicable requirements of the Code and, therefore, believes that the 401 (k) Plan remains qualified and the related trust is tax exempt. The plan administrator has indicated that it will take the necessary steps, if any, to confirm that the Plan's operations remain in compliance with the Code.</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Puerto Rico Plan received a determination letter from the Commonwealth of Puerto Rico’s Department of Treasury dated February 3, 2016, confirming generally that the Puerto Rico Plan meets the qualification requirements of Section 1081.01 of the Puerto Rico Internal Revenue Code of 2011 (the Puerto Rico Code). Once qualified, the Puerto Rico Plan is required to operate in conformity with the Puerto Rico Code to</w:t>
      </w:r>
    </w:p>
    <w:p>
      <w:pPr>
        <w:sectPr>
          <w:pgSz w:w="11900" w:h="16838" w:orient="portrait"/>
          <w:cols w:equalWidth="0" w:num="1">
            <w:col w:w="11420"/>
          </w:cols>
          <w:pgMar w:left="240" w:top="190"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9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maintain its qualification. The plan administrator believes that the Puerto Rico Plan is being operated in compliance with applicable requirements of the Puerto Rico Code and, therefore, believes that the Puerto Rico Plan is qualified and the related trust is tax exempt.</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U.S. GAAP requires plan management to evaluate uncertain tax positions taken by the Plans. The financial statement effects of a tax position are recognized when the position is more likely than not, based on technical merits, to be sustained upon examination by the IRS. The plan administrator has analyzed the tax positions taken by the Plans and has concluded that as of December 31, 2016, there are no uncertain positions taken or expected to be taken. The Plans have recognized no interest or penalties related to uncertain tax positions. The Plans are subject to routine audits by taxing jurisdictions; however, there are currently no audits for any tax periods in progress. The plan administrator believes that the Plans are no longer subject to income tax examinations for years prior to 2013.</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Risks and Uncertainties</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Plans invest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Transactions With Related Parties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2016, the 401(k) Plan received $18,576,725 in cash dividends from the Company on the common stock of the Company owned by the 401(k) Plan. During 2016, the Puerto Rico Plan received $953,784 in cash dividends from the Company on the common stock of the Company owned by the Puerto Rico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9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Reconciliation of the Financial Statements to the Form 5500</w:t>
      </w:r>
    </w:p>
    <w:p>
      <w:pPr>
        <w:spacing w:after="0" w:line="253"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following are reconciliations of net assets available for benefits as of December 31, 2016 and 2015, and the net increase in net assets available for benefits for the year ended December 31, 2016, with the corresponding amounts in the Form 5500.</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6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2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280" w:type="dxa"/>
            <w:vAlign w:val="bottom"/>
          </w:tcPr>
          <w:p>
            <w:pPr>
              <w:spacing w:after="0"/>
              <w:rPr>
                <w:sz w:val="22"/>
                <w:szCs w:val="22"/>
                <w:color w:val="auto"/>
              </w:rPr>
            </w:pPr>
          </w:p>
        </w:tc>
        <w:tc>
          <w:tcPr>
            <w:tcW w:w="2000" w:type="dxa"/>
            <w:vAlign w:val="bottom"/>
          </w:tcPr>
          <w:p>
            <w:pPr>
              <w:jc w:val="right"/>
              <w:ind w:right="321"/>
              <w:spacing w:after="0"/>
              <w:rPr>
                <w:sz w:val="20"/>
                <w:szCs w:val="20"/>
                <w:color w:val="auto"/>
              </w:rPr>
            </w:pPr>
            <w:r>
              <w:rPr>
                <w:rFonts w:ascii="Arial" w:cs="Arial" w:eastAsia="Arial" w:hAnsi="Arial"/>
                <w:sz w:val="20"/>
                <w:szCs w:val="20"/>
                <w:b w:val="1"/>
                <w:bCs w:val="1"/>
                <w:color w:val="auto"/>
                <w:w w:val="97"/>
              </w:rPr>
              <w:t>Puerto Rico Plan</w:t>
            </w:r>
          </w:p>
        </w:tc>
        <w:tc>
          <w:tcPr>
            <w:tcW w:w="0" w:type="dxa"/>
            <w:vAlign w:val="bottom"/>
          </w:tcPr>
          <w:p>
            <w:pPr>
              <w:spacing w:after="0"/>
              <w:rPr>
                <w:sz w:val="1"/>
                <w:szCs w:val="1"/>
                <w:color w:val="auto"/>
              </w:rPr>
            </w:pPr>
          </w:p>
        </w:tc>
      </w:tr>
      <w:tr>
        <w:trPr>
          <w:trHeight w:val="30"/>
        </w:trPr>
        <w:tc>
          <w:tcPr>
            <w:tcW w:w="6500" w:type="dxa"/>
            <w:vAlign w:val="bottom"/>
            <w:vMerge w:val="restart"/>
          </w:tcPr>
          <w:p>
            <w:pPr>
              <w:spacing w:after="0"/>
              <w:rPr>
                <w:sz w:val="20"/>
                <w:szCs w:val="20"/>
                <w:color w:val="auto"/>
              </w:rPr>
            </w:pPr>
            <w:r>
              <w:rPr>
                <w:rFonts w:ascii="Arial" w:cs="Arial" w:eastAsia="Arial" w:hAnsi="Arial"/>
                <w:sz w:val="20"/>
                <w:szCs w:val="20"/>
                <w:b w:val="1"/>
                <w:bCs w:val="1"/>
                <w:color w:val="auto"/>
              </w:rPr>
              <w:t>December 31, 2016</w:t>
            </w: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5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500" w:type="dxa"/>
            <w:vAlign w:val="bottom"/>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500" w:type="dxa"/>
            <w:vAlign w:val="bottom"/>
          </w:tcPr>
          <w:p>
            <w:pPr>
              <w:ind w:left="160"/>
              <w:spacing w:after="0"/>
              <w:rPr>
                <w:sz w:val="20"/>
                <w:szCs w:val="20"/>
                <w:color w:val="auto"/>
              </w:rPr>
            </w:pPr>
            <w:r>
              <w:rPr>
                <w:rFonts w:ascii="Arial" w:cs="Arial" w:eastAsia="Arial" w:hAnsi="Arial"/>
                <w:sz w:val="20"/>
                <w:szCs w:val="20"/>
                <w:color w:val="auto"/>
              </w:rPr>
              <w:t>accompanying financial statements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6,064,860,720</w:t>
            </w:r>
          </w:p>
        </w:tc>
        <w:tc>
          <w:tcPr>
            <w:tcW w:w="34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175,579,799</w:t>
            </w:r>
          </w:p>
        </w:tc>
        <w:tc>
          <w:tcPr>
            <w:tcW w:w="0" w:type="dxa"/>
            <w:vAlign w:val="bottom"/>
          </w:tcPr>
          <w:p>
            <w:pPr>
              <w:spacing w:after="0"/>
              <w:rPr>
                <w:sz w:val="1"/>
                <w:szCs w:val="1"/>
                <w:color w:val="auto"/>
              </w:rPr>
            </w:pPr>
          </w:p>
        </w:tc>
      </w:tr>
      <w:tr>
        <w:trPr>
          <w:trHeight w:val="284"/>
        </w:trPr>
        <w:tc>
          <w:tcPr>
            <w:tcW w:w="650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(1,641,569)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(10,208)</w:t>
            </w: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00" w:type="dxa"/>
            <w:vAlign w:val="bottom"/>
          </w:tcPr>
          <w:p>
            <w:pPr>
              <w:spacing w:after="0"/>
              <w:rPr>
                <w:sz w:val="20"/>
                <w:szCs w:val="20"/>
                <w:color w:val="auto"/>
              </w:rPr>
            </w:pPr>
            <w:r>
              <w:rPr>
                <w:rFonts w:ascii="Arial" w:cs="Arial" w:eastAsia="Arial" w:hAnsi="Arial"/>
                <w:sz w:val="20"/>
                <w:szCs w:val="20"/>
                <w:color w:val="auto"/>
              </w:rPr>
              <w:t>Net assets available for benefits at year end per Form 5500</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6,063,219,151</w:t>
            </w:r>
          </w:p>
        </w:tc>
        <w:tc>
          <w:tcPr>
            <w:tcW w:w="340" w:type="dxa"/>
            <w:vAlign w:val="bottom"/>
          </w:tcPr>
          <w:p>
            <w:pPr>
              <w:spacing w:after="0"/>
              <w:rPr>
                <w:sz w:val="23"/>
                <w:szCs w:val="23"/>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175,569,591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2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280" w:type="dxa"/>
            <w:vAlign w:val="bottom"/>
          </w:tcPr>
          <w:p>
            <w:pPr>
              <w:spacing w:after="0"/>
              <w:rPr>
                <w:sz w:val="22"/>
                <w:szCs w:val="22"/>
                <w:color w:val="auto"/>
              </w:rPr>
            </w:pPr>
          </w:p>
        </w:tc>
        <w:tc>
          <w:tcPr>
            <w:tcW w:w="2000" w:type="dxa"/>
            <w:vAlign w:val="bottom"/>
          </w:tcPr>
          <w:p>
            <w:pPr>
              <w:jc w:val="right"/>
              <w:ind w:right="321"/>
              <w:spacing w:after="0"/>
              <w:rPr>
                <w:sz w:val="20"/>
                <w:szCs w:val="20"/>
                <w:color w:val="auto"/>
              </w:rPr>
            </w:pPr>
            <w:r>
              <w:rPr>
                <w:rFonts w:ascii="Arial" w:cs="Arial" w:eastAsia="Arial" w:hAnsi="Arial"/>
                <w:sz w:val="20"/>
                <w:szCs w:val="20"/>
                <w:b w:val="1"/>
                <w:bCs w:val="1"/>
                <w:color w:val="auto"/>
                <w:w w:val="97"/>
              </w:rPr>
              <w:t>Puerto Rico Plan</w:t>
            </w:r>
          </w:p>
        </w:tc>
        <w:tc>
          <w:tcPr>
            <w:tcW w:w="0" w:type="dxa"/>
            <w:vAlign w:val="bottom"/>
          </w:tcPr>
          <w:p>
            <w:pPr>
              <w:spacing w:after="0"/>
              <w:rPr>
                <w:sz w:val="1"/>
                <w:szCs w:val="1"/>
                <w:color w:val="auto"/>
              </w:rPr>
            </w:pPr>
          </w:p>
        </w:tc>
      </w:tr>
      <w:tr>
        <w:trPr>
          <w:trHeight w:val="30"/>
        </w:trPr>
        <w:tc>
          <w:tcPr>
            <w:tcW w:w="5220" w:type="dxa"/>
            <w:vAlign w:val="bottom"/>
            <w:vMerge w:val="restart"/>
          </w:tcPr>
          <w:p>
            <w:pPr>
              <w:spacing w:after="0"/>
              <w:rPr>
                <w:sz w:val="20"/>
                <w:szCs w:val="20"/>
                <w:color w:val="auto"/>
              </w:rPr>
            </w:pPr>
            <w:r>
              <w:rPr>
                <w:rFonts w:ascii="Arial" w:cs="Arial" w:eastAsia="Arial" w:hAnsi="Arial"/>
                <w:sz w:val="20"/>
                <w:szCs w:val="20"/>
                <w:b w:val="1"/>
                <w:bCs w:val="1"/>
                <w:color w:val="auto"/>
              </w:rPr>
              <w:t>December 31, 2015</w:t>
            </w:r>
          </w:p>
        </w:tc>
        <w:tc>
          <w:tcPr>
            <w:tcW w:w="1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220" w:type="dxa"/>
            <w:vAlign w:val="bottom"/>
            <w:vMerge w:val="continue"/>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220" w:type="dxa"/>
            <w:vAlign w:val="bottom"/>
          </w:tcPr>
          <w:p>
            <w:pPr>
              <w:spacing w:after="0"/>
              <w:rPr>
                <w:sz w:val="20"/>
                <w:szCs w:val="20"/>
                <w:color w:val="auto"/>
              </w:rPr>
            </w:pPr>
            <w:r>
              <w:rPr>
                <w:rFonts w:ascii="Arial" w:cs="Arial" w:eastAsia="Arial" w:hAnsi="Arial"/>
                <w:sz w:val="20"/>
                <w:szCs w:val="20"/>
                <w:color w:val="auto"/>
                <w:w w:val="93"/>
              </w:rPr>
              <w:t>Net assets available for benefits at year end, as reported in the</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20" w:type="dxa"/>
            <w:vAlign w:val="bottom"/>
          </w:tcPr>
          <w:p>
            <w:pPr>
              <w:ind w:left="160"/>
              <w:spacing w:after="0"/>
              <w:rPr>
                <w:sz w:val="20"/>
                <w:szCs w:val="20"/>
                <w:color w:val="auto"/>
              </w:rPr>
            </w:pPr>
            <w:r>
              <w:rPr>
                <w:rFonts w:ascii="Arial" w:cs="Arial" w:eastAsia="Arial" w:hAnsi="Arial"/>
                <w:sz w:val="20"/>
                <w:szCs w:val="20"/>
                <w:color w:val="auto"/>
              </w:rPr>
              <w:t>accompanying financial statements</w:t>
            </w:r>
          </w:p>
        </w:tc>
        <w:tc>
          <w:tcPr>
            <w:tcW w:w="16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5,666,174,067</w:t>
            </w:r>
          </w:p>
        </w:tc>
        <w:tc>
          <w:tcPr>
            <w:tcW w:w="34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169,025,743</w:t>
            </w:r>
          </w:p>
        </w:tc>
        <w:tc>
          <w:tcPr>
            <w:tcW w:w="0" w:type="dxa"/>
            <w:vAlign w:val="bottom"/>
          </w:tcPr>
          <w:p>
            <w:pPr>
              <w:spacing w:after="0"/>
              <w:rPr>
                <w:sz w:val="1"/>
                <w:szCs w:val="1"/>
                <w:color w:val="auto"/>
              </w:rPr>
            </w:pPr>
          </w:p>
        </w:tc>
      </w:tr>
      <w:tr>
        <w:trPr>
          <w:trHeight w:val="284"/>
        </w:trPr>
        <w:tc>
          <w:tcPr>
            <w:tcW w:w="522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(1,414,949)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(44,715)</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220" w:type="dxa"/>
            <w:vAlign w:val="bottom"/>
          </w:tcPr>
          <w:p>
            <w:pPr>
              <w:spacing w:after="0"/>
              <w:rPr>
                <w:sz w:val="20"/>
                <w:szCs w:val="20"/>
                <w:color w:val="auto"/>
              </w:rPr>
            </w:pPr>
            <w:r>
              <w:rPr>
                <w:rFonts w:ascii="Arial" w:cs="Arial" w:eastAsia="Arial" w:hAnsi="Arial"/>
                <w:sz w:val="20"/>
                <w:szCs w:val="20"/>
                <w:color w:val="auto"/>
                <w:w w:val="98"/>
              </w:rPr>
              <w:t>Net assets available for benefits at year end per Form 5500</w:t>
            </w:r>
          </w:p>
        </w:tc>
        <w:tc>
          <w:tcPr>
            <w:tcW w:w="16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5,664,759,118</w:t>
            </w:r>
          </w:p>
        </w:tc>
        <w:tc>
          <w:tcPr>
            <w:tcW w:w="340" w:type="dxa"/>
            <w:vAlign w:val="bottom"/>
          </w:tcPr>
          <w:p>
            <w:pPr>
              <w:spacing w:after="0"/>
              <w:rPr>
                <w:sz w:val="23"/>
                <w:szCs w:val="23"/>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168,981,028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80" w:type="dxa"/>
            <w:vAlign w:val="bottom"/>
            <w:vMerge w:val="restart"/>
          </w:tcPr>
          <w:p>
            <w:pPr>
              <w:jc w:val="right"/>
              <w:ind w:right="704"/>
              <w:spacing w:after="0"/>
              <w:rPr>
                <w:sz w:val="20"/>
                <w:szCs w:val="20"/>
                <w:color w:val="auto"/>
              </w:rPr>
            </w:pPr>
            <w:r>
              <w:rPr>
                <w:rFonts w:ascii="Arial" w:cs="Arial" w:eastAsia="Arial" w:hAnsi="Arial"/>
                <w:sz w:val="18"/>
                <w:szCs w:val="18"/>
                <w:color w:val="auto"/>
              </w:rPr>
              <w:t>16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90"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6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gridSpan w:val="2"/>
          </w:tcPr>
          <w:p>
            <w:pPr>
              <w:ind w:left="240"/>
              <w:spacing w:after="0"/>
              <w:rPr>
                <w:sz w:val="20"/>
                <w:szCs w:val="20"/>
                <w:color w:val="auto"/>
              </w:rPr>
            </w:pPr>
            <w:r>
              <w:rPr>
                <w:rFonts w:ascii="Arial" w:cs="Arial" w:eastAsia="Arial" w:hAnsi="Arial"/>
                <w:sz w:val="20"/>
                <w:szCs w:val="20"/>
                <w:b w:val="1"/>
                <w:bCs w:val="1"/>
                <w:color w:val="auto"/>
              </w:rPr>
              <w:t>401(k) Plan</w:t>
            </w:r>
          </w:p>
        </w:tc>
        <w:tc>
          <w:tcPr>
            <w:tcW w:w="180" w:type="dxa"/>
            <w:vAlign w:val="bottom"/>
          </w:tcPr>
          <w:p>
            <w:pPr>
              <w:spacing w:after="0"/>
              <w:rPr>
                <w:sz w:val="22"/>
                <w:szCs w:val="22"/>
                <w:color w:val="auto"/>
              </w:rPr>
            </w:pPr>
          </w:p>
        </w:tc>
        <w:tc>
          <w:tcPr>
            <w:tcW w:w="1760" w:type="dxa"/>
            <w:vAlign w:val="bottom"/>
          </w:tcPr>
          <w:p>
            <w:pPr>
              <w:jc w:val="right"/>
              <w:ind w:right="161"/>
              <w:spacing w:after="0"/>
              <w:rPr>
                <w:sz w:val="20"/>
                <w:szCs w:val="20"/>
                <w:color w:val="auto"/>
              </w:rPr>
            </w:pPr>
            <w:r>
              <w:rPr>
                <w:rFonts w:ascii="Arial" w:cs="Arial" w:eastAsia="Arial" w:hAnsi="Arial"/>
                <w:sz w:val="20"/>
                <w:szCs w:val="20"/>
                <w:b w:val="1"/>
                <w:bCs w:val="1"/>
                <w:color w:val="auto"/>
                <w:w w:val="92"/>
              </w:rPr>
              <w:t>Puerto Rico Plan</w:t>
            </w:r>
          </w:p>
        </w:tc>
        <w:tc>
          <w:tcPr>
            <w:tcW w:w="0" w:type="dxa"/>
            <w:vAlign w:val="bottom"/>
          </w:tcPr>
          <w:p>
            <w:pPr>
              <w:spacing w:after="0"/>
              <w:rPr>
                <w:sz w:val="1"/>
                <w:szCs w:val="1"/>
                <w:color w:val="auto"/>
              </w:rPr>
            </w:pPr>
          </w:p>
        </w:tc>
      </w:tr>
      <w:tr>
        <w:trPr>
          <w:trHeight w:val="30"/>
        </w:trPr>
        <w:tc>
          <w:tcPr>
            <w:tcW w:w="6920" w:type="dxa"/>
            <w:vAlign w:val="bottom"/>
            <w:vMerge w:val="restart"/>
          </w:tcPr>
          <w:p>
            <w:pPr>
              <w:spacing w:after="0"/>
              <w:rPr>
                <w:sz w:val="20"/>
                <w:szCs w:val="20"/>
                <w:color w:val="auto"/>
              </w:rPr>
            </w:pPr>
            <w:r>
              <w:rPr>
                <w:rFonts w:ascii="Arial" w:cs="Arial" w:eastAsia="Arial" w:hAnsi="Arial"/>
                <w:sz w:val="20"/>
                <w:szCs w:val="20"/>
                <w:b w:val="1"/>
                <w:bCs w:val="1"/>
                <w:color w:val="auto"/>
              </w:rPr>
              <w:t>Year Ended December 31, 2016</w:t>
            </w: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9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Net increase in net assets available for benefits, as reported in</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20" w:type="dxa"/>
            <w:vAlign w:val="bottom"/>
          </w:tcPr>
          <w:p>
            <w:pPr>
              <w:ind w:left="140"/>
              <w:spacing w:after="0"/>
              <w:rPr>
                <w:sz w:val="20"/>
                <w:szCs w:val="20"/>
                <w:color w:val="auto"/>
              </w:rPr>
            </w:pPr>
            <w:r>
              <w:rPr>
                <w:rFonts w:ascii="Arial" w:cs="Arial" w:eastAsia="Arial" w:hAnsi="Arial"/>
                <w:sz w:val="20"/>
                <w:szCs w:val="20"/>
                <w:color w:val="auto"/>
              </w:rPr>
              <w:t>the accompanying financial statements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398,686,653</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6,554,056</w:t>
            </w: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2016</w:t>
            </w:r>
          </w:p>
        </w:tc>
        <w:tc>
          <w:tcPr>
            <w:tcW w:w="3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(1,641,569)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(10,208)</w:t>
            </w: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2015</w:t>
            </w:r>
          </w:p>
        </w:tc>
        <w:tc>
          <w:tcPr>
            <w:tcW w:w="360" w:type="dxa"/>
            <w:vAlign w:val="bottom"/>
          </w:tcPr>
          <w:p>
            <w:pPr>
              <w:spacing w:after="0"/>
              <w:rPr>
                <w:sz w:val="24"/>
                <w:szCs w:val="24"/>
                <w:color w:val="auto"/>
              </w:rPr>
            </w:pP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1,414,949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44,715</w:t>
            </w:r>
          </w:p>
        </w:tc>
        <w:tc>
          <w:tcPr>
            <w:tcW w:w="0" w:type="dxa"/>
            <w:vAlign w:val="bottom"/>
          </w:tcPr>
          <w:p>
            <w:pPr>
              <w:spacing w:after="0"/>
              <w:rPr>
                <w:sz w:val="1"/>
                <w:szCs w:val="1"/>
                <w:color w:val="auto"/>
              </w:rPr>
            </w:pPr>
          </w:p>
        </w:tc>
      </w:tr>
      <w:tr>
        <w:trPr>
          <w:trHeight w:val="23"/>
        </w:trPr>
        <w:tc>
          <w:tcPr>
            <w:tcW w:w="6920" w:type="dxa"/>
            <w:vAlign w:val="bottom"/>
            <w:vMerge w:val="restart"/>
          </w:tcPr>
          <w:p>
            <w:pPr>
              <w:spacing w:after="0"/>
              <w:rPr>
                <w:sz w:val="20"/>
                <w:szCs w:val="20"/>
                <w:color w:val="auto"/>
              </w:rPr>
            </w:pPr>
            <w:r>
              <w:rPr>
                <w:rFonts w:ascii="Arial" w:cs="Arial" w:eastAsia="Arial" w:hAnsi="Arial"/>
                <w:sz w:val="20"/>
                <w:szCs w:val="20"/>
                <w:color w:val="auto"/>
              </w:rPr>
              <w:t>Net increase in net assets available for benefits, as reported on</w:t>
            </w: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920" w:type="dxa"/>
            <w:vAlign w:val="bottom"/>
            <w:vMerge w:val="continue"/>
          </w:tcPr>
          <w:p>
            <w:pPr>
              <w:spacing w:after="0"/>
              <w:rPr>
                <w:sz w:val="19"/>
                <w:szCs w:val="19"/>
                <w:color w:val="auto"/>
              </w:rPr>
            </w:pPr>
          </w:p>
        </w:tc>
        <w:tc>
          <w:tcPr>
            <w:tcW w:w="360" w:type="dxa"/>
            <w:vAlign w:val="bottom"/>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820" w:type="dxa"/>
            <w:vAlign w:val="bottom"/>
            <w:vMerge w:val="restart"/>
          </w:tcPr>
          <w:p>
            <w:pPr>
              <w:jc w:val="right"/>
              <w:ind w:right="21"/>
              <w:spacing w:after="0"/>
              <w:rPr>
                <w:sz w:val="20"/>
                <w:szCs w:val="20"/>
                <w:color w:val="auto"/>
              </w:rPr>
            </w:pPr>
            <w:r>
              <w:rPr>
                <w:rFonts w:ascii="Arial" w:cs="Arial" w:eastAsia="Arial" w:hAnsi="Arial"/>
                <w:sz w:val="20"/>
                <w:szCs w:val="20"/>
                <w:color w:val="auto"/>
              </w:rPr>
              <w:t>398,460,033</w:t>
            </w:r>
          </w:p>
        </w:tc>
        <w:tc>
          <w:tcPr>
            <w:tcW w:w="3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vMerge w:val="restart"/>
          </w:tcPr>
          <w:p>
            <w:pPr>
              <w:jc w:val="right"/>
              <w:ind w:right="1"/>
              <w:spacing w:after="0"/>
              <w:rPr>
                <w:sz w:val="20"/>
                <w:szCs w:val="20"/>
                <w:color w:val="auto"/>
              </w:rPr>
            </w:pPr>
            <w:r>
              <w:rPr>
                <w:rFonts w:ascii="Arial" w:cs="Arial" w:eastAsia="Arial" w:hAnsi="Arial"/>
                <w:sz w:val="20"/>
                <w:szCs w:val="20"/>
                <w:color w:val="auto"/>
              </w:rPr>
              <w:t>6,588,563</w:t>
            </w:r>
          </w:p>
        </w:tc>
        <w:tc>
          <w:tcPr>
            <w:tcW w:w="0" w:type="dxa"/>
            <w:vAlign w:val="bottom"/>
          </w:tcPr>
          <w:p>
            <w:pPr>
              <w:spacing w:after="0"/>
              <w:rPr>
                <w:sz w:val="1"/>
                <w:szCs w:val="1"/>
                <w:color w:val="auto"/>
              </w:rPr>
            </w:pPr>
          </w:p>
        </w:tc>
      </w:tr>
      <w:tr>
        <w:trPr>
          <w:trHeight w:val="260"/>
        </w:trPr>
        <w:tc>
          <w:tcPr>
            <w:tcW w:w="6920" w:type="dxa"/>
            <w:vAlign w:val="bottom"/>
          </w:tcPr>
          <w:p>
            <w:pPr>
              <w:ind w:left="140"/>
              <w:spacing w:after="0"/>
              <w:rPr>
                <w:sz w:val="20"/>
                <w:szCs w:val="20"/>
                <w:color w:val="auto"/>
              </w:rPr>
            </w:pPr>
            <w:r>
              <w:rPr>
                <w:rFonts w:ascii="Arial" w:cs="Arial" w:eastAsia="Arial" w:hAnsi="Arial"/>
                <w:sz w:val="20"/>
                <w:szCs w:val="20"/>
                <w:color w:val="auto"/>
              </w:rPr>
              <w:t>the Form 5500</w:t>
            </w:r>
          </w:p>
        </w:tc>
        <w:tc>
          <w:tcPr>
            <w:tcW w:w="360" w:type="dxa"/>
            <w:vAlign w:val="bottom"/>
            <w:tcBorders>
              <w:bottom w:val="single" w:sz="8" w:color="auto"/>
            </w:tcBorders>
            <w:vMerge w:val="continue"/>
          </w:tcPr>
          <w:p>
            <w:pPr>
              <w:spacing w:after="0"/>
              <w:rPr>
                <w:sz w:val="22"/>
                <w:szCs w:val="22"/>
                <w:color w:val="auto"/>
              </w:rPr>
            </w:pPr>
          </w:p>
        </w:tc>
        <w:tc>
          <w:tcPr>
            <w:tcW w:w="1820" w:type="dxa"/>
            <w:vAlign w:val="bottom"/>
            <w:tcBorders>
              <w:bottom w:val="single" w:sz="8" w:color="auto"/>
            </w:tcBorders>
            <w:vMerge w:val="continue"/>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Transfers In</w:t>
      </w:r>
    </w:p>
    <w:p>
      <w:pPr>
        <w:spacing w:after="0" w:line="253" w:lineRule="exact"/>
        <w:rPr>
          <w:sz w:val="20"/>
          <w:szCs w:val="20"/>
          <w:color w:val="auto"/>
        </w:rPr>
      </w:pPr>
    </w:p>
    <w:p>
      <w:pPr>
        <w:jc w:val="both"/>
        <w:spacing w:after="0" w:line="263" w:lineRule="exact"/>
        <w:rPr>
          <w:sz w:val="20"/>
          <w:szCs w:val="20"/>
          <w:color w:val="auto"/>
        </w:rPr>
      </w:pPr>
      <w:r>
        <w:rPr>
          <w:rFonts w:ascii="Arial" w:cs="Arial" w:eastAsia="Arial" w:hAnsi="Arial"/>
          <w:sz w:val="22"/>
          <w:szCs w:val="22"/>
          <w:color w:val="auto"/>
        </w:rPr>
        <w:t>Effective April 1, 2016, the Avid Radiopharmaceuticals, Inc. 401(k) Plan, a plan sponsored by a wholly</w:t>
      </w:r>
      <w:r>
        <w:rPr>
          <w:rFonts w:ascii="MS PGothic" w:cs="MS PGothic" w:eastAsia="MS PGothic" w:hAnsi="MS PGothic"/>
          <w:sz w:val="22"/>
          <w:szCs w:val="22"/>
          <w:color w:val="auto"/>
        </w:rPr>
        <w:t>‑</w:t>
      </w:r>
      <w:r>
        <w:rPr>
          <w:rFonts w:ascii="Arial" w:cs="Arial" w:eastAsia="Arial" w:hAnsi="Arial"/>
          <w:sz w:val="22"/>
          <w:szCs w:val="22"/>
          <w:color w:val="auto"/>
        </w:rPr>
        <w:t>owned subsidiary of Eli Lilly and Company, merged into the 401(k) Plan. As a result, assets of approximately $7.9 million were transferred into the 401(k) Plan.</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color w:val="auto"/>
        </w:rPr>
        <w:t>Effective December 31, 2016, the Lohmann Animal Health 401(k) Retirement and Savings Plan, a plan sponsored by a</w:t>
      </w:r>
    </w:p>
    <w:p>
      <w:pPr>
        <w:spacing w:after="0" w:line="33" w:lineRule="exact"/>
        <w:rPr>
          <w:sz w:val="20"/>
          <w:szCs w:val="20"/>
          <w:color w:val="auto"/>
        </w:rPr>
      </w:pPr>
    </w:p>
    <w:p>
      <w:pPr>
        <w:ind w:right="360"/>
        <w:spacing w:after="0" w:line="257" w:lineRule="exact"/>
        <w:rPr>
          <w:sz w:val="20"/>
          <w:szCs w:val="20"/>
          <w:color w:val="auto"/>
        </w:rPr>
      </w:pPr>
      <w:r>
        <w:rPr>
          <w:rFonts w:ascii="Arial" w:cs="Arial" w:eastAsia="Arial" w:hAnsi="Arial"/>
          <w:sz w:val="21"/>
          <w:szCs w:val="21"/>
          <w:color w:val="auto"/>
        </w:rPr>
        <w:t>wholly</w:t>
      </w:r>
      <w:r>
        <w:rPr>
          <w:rFonts w:ascii="MS PGothic" w:cs="MS PGothic" w:eastAsia="MS PGothic" w:hAnsi="MS PGothic"/>
          <w:sz w:val="21"/>
          <w:szCs w:val="21"/>
          <w:color w:val="auto"/>
        </w:rPr>
        <w:t>‑</w:t>
      </w:r>
      <w:r>
        <w:rPr>
          <w:rFonts w:ascii="Arial" w:cs="Arial" w:eastAsia="Arial" w:hAnsi="Arial"/>
          <w:sz w:val="21"/>
          <w:szCs w:val="21"/>
          <w:color w:val="auto"/>
        </w:rPr>
        <w:t>owned subsidiary of Eli Lilly and Company, merged into the 401(k) Plan. Cash of approximately $4.3 million and notes receivable from participants of approximately $100 thousand were transferred into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90" w:right="2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1440" w:right="1440" w:bottom="144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25"/>
          <w:szCs w:val="25"/>
          <w:color w:val="auto"/>
        </w:rPr>
        <w:t>The Lilly Employee 401(k) Plan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35-0470950 Plan No. 002</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4260" w:type="dxa"/>
            <w:vAlign w:val="bottom"/>
          </w:tcPr>
          <w:p>
            <w:pPr>
              <w:jc w:val="center"/>
              <w:ind w:right="2082"/>
              <w:spacing w:after="0"/>
              <w:rPr>
                <w:sz w:val="20"/>
                <w:szCs w:val="20"/>
                <w:color w:val="auto"/>
              </w:rPr>
            </w:pPr>
            <w:r>
              <w:rPr>
                <w:rFonts w:ascii="Arial" w:cs="Arial" w:eastAsia="Arial" w:hAnsi="Arial"/>
                <w:sz w:val="20"/>
                <w:szCs w:val="20"/>
                <w:color w:val="auto"/>
                <w:w w:val="88"/>
              </w:rPr>
              <w:t>December 31, 2016</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8"/>
        </w:trPr>
        <w:tc>
          <w:tcPr>
            <w:tcW w:w="4040" w:type="dxa"/>
            <w:vAlign w:val="bottom"/>
          </w:tcPr>
          <w:p>
            <w:pPr>
              <w:spacing w:after="0"/>
              <w:rPr>
                <w:sz w:val="24"/>
                <w:szCs w:val="24"/>
                <w:color w:val="auto"/>
              </w:rPr>
            </w:pP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89"/>
              </w:rPr>
              <w:t>Description of</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260" w:type="dxa"/>
            <w:vAlign w:val="bottom"/>
          </w:tcPr>
          <w:p>
            <w:pPr>
              <w:jc w:val="center"/>
              <w:ind w:left="1142"/>
              <w:spacing w:after="0"/>
              <w:rPr>
                <w:sz w:val="20"/>
                <w:szCs w:val="20"/>
                <w:color w:val="auto"/>
              </w:rPr>
            </w:pPr>
            <w:r>
              <w:rPr>
                <w:rFonts w:ascii="Arial" w:cs="Arial" w:eastAsia="Arial" w:hAnsi="Arial"/>
                <w:sz w:val="20"/>
                <w:szCs w:val="20"/>
                <w:b w:val="1"/>
                <w:bCs w:val="1"/>
                <w:color w:val="auto"/>
                <w:w w:val="89"/>
              </w:rPr>
              <w:t>Investments, Including</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93"/>
              </w:rPr>
              <w:t>Maturity Date, Rate of</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Identity of Issue, Borrower,</w:t>
            </w: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89"/>
              </w:rPr>
              <w:t>Interest, Par, or</w:t>
            </w:r>
          </w:p>
        </w:tc>
        <w:tc>
          <w:tcPr>
            <w:tcW w:w="360" w:type="dxa"/>
            <w:vAlign w:val="bottom"/>
          </w:tcPr>
          <w:p>
            <w:pPr>
              <w:spacing w:after="0"/>
              <w:rPr>
                <w:sz w:val="24"/>
                <w:szCs w:val="24"/>
                <w:color w:val="auto"/>
              </w:rPr>
            </w:pPr>
          </w:p>
        </w:tc>
        <w:tc>
          <w:tcPr>
            <w:tcW w:w="1500" w:type="dxa"/>
            <w:vAlign w:val="bottom"/>
          </w:tcPr>
          <w:p>
            <w:pPr>
              <w:jc w:val="center"/>
              <w:ind w:right="261"/>
              <w:spacing w:after="0"/>
              <w:rPr>
                <w:sz w:val="20"/>
                <w:szCs w:val="20"/>
                <w:color w:val="auto"/>
              </w:rPr>
            </w:pPr>
            <w:r>
              <w:rPr>
                <w:rFonts w:ascii="Arial" w:cs="Arial" w:eastAsia="Arial" w:hAnsi="Arial"/>
                <w:sz w:val="20"/>
                <w:szCs w:val="20"/>
                <w:b w:val="1"/>
                <w:bCs w:val="1"/>
                <w:color w:val="auto"/>
                <w:w w:val="96"/>
              </w:rPr>
              <w:t>Current</w:t>
            </w:r>
          </w:p>
        </w:tc>
        <w:tc>
          <w:tcPr>
            <w:tcW w:w="0" w:type="dxa"/>
            <w:vAlign w:val="bottom"/>
          </w:tcPr>
          <w:p>
            <w:pPr>
              <w:spacing w:after="0"/>
              <w:rPr>
                <w:sz w:val="1"/>
                <w:szCs w:val="1"/>
                <w:color w:val="auto"/>
              </w:rPr>
            </w:pP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Lessor, or Similar Party</w:t>
            </w:r>
          </w:p>
        </w:tc>
        <w:tc>
          <w:tcPr>
            <w:tcW w:w="4260" w:type="dxa"/>
            <w:vAlign w:val="bottom"/>
          </w:tcPr>
          <w:p>
            <w:pPr>
              <w:jc w:val="center"/>
              <w:ind w:left="1142"/>
              <w:spacing w:after="0"/>
              <w:rPr>
                <w:sz w:val="20"/>
                <w:szCs w:val="20"/>
                <w:color w:val="auto"/>
              </w:rPr>
            </w:pPr>
            <w:r>
              <w:rPr>
                <w:rFonts w:ascii="Arial" w:cs="Arial" w:eastAsia="Arial" w:hAnsi="Arial"/>
                <w:sz w:val="20"/>
                <w:szCs w:val="20"/>
                <w:b w:val="1"/>
                <w:bCs w:val="1"/>
                <w:color w:val="auto"/>
                <w:w w:val="95"/>
              </w:rPr>
              <w:t>Maturity Value</w:t>
            </w:r>
          </w:p>
        </w:tc>
        <w:tc>
          <w:tcPr>
            <w:tcW w:w="360" w:type="dxa"/>
            <w:vAlign w:val="bottom"/>
          </w:tcPr>
          <w:p>
            <w:pPr>
              <w:spacing w:after="0"/>
              <w:rPr>
                <w:sz w:val="24"/>
                <w:szCs w:val="24"/>
                <w:color w:val="auto"/>
              </w:rPr>
            </w:pPr>
          </w:p>
        </w:tc>
        <w:tc>
          <w:tcPr>
            <w:tcW w:w="1500" w:type="dxa"/>
            <w:vAlign w:val="bottom"/>
          </w:tcPr>
          <w:p>
            <w:pPr>
              <w:jc w:val="center"/>
              <w:ind w:right="281"/>
              <w:spacing w:after="0"/>
              <w:rPr>
                <w:sz w:val="20"/>
                <w:szCs w:val="20"/>
                <w:color w:val="auto"/>
              </w:rPr>
            </w:pPr>
            <w:r>
              <w:rPr>
                <w:rFonts w:ascii="Arial" w:cs="Arial" w:eastAsia="Arial" w:hAnsi="Arial"/>
                <w:sz w:val="20"/>
                <w:szCs w:val="20"/>
                <w:b w:val="1"/>
                <w:bCs w:val="1"/>
                <w:color w:val="auto"/>
                <w:w w:val="89"/>
              </w:rPr>
              <w:t>Value</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1"/>
        </w:trPr>
        <w:tc>
          <w:tcPr>
            <w:tcW w:w="404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4260" w:type="dxa"/>
            <w:vAlign w:val="bottom"/>
          </w:tcPr>
          <w:p>
            <w:pPr>
              <w:ind w:left="1260"/>
              <w:spacing w:after="0"/>
              <w:rPr>
                <w:sz w:val="20"/>
                <w:szCs w:val="20"/>
                <w:color w:val="auto"/>
              </w:rPr>
            </w:pPr>
            <w:r>
              <w:rPr>
                <w:rFonts w:ascii="Arial" w:cs="Arial" w:eastAsia="Arial" w:hAnsi="Arial"/>
                <w:sz w:val="20"/>
                <w:szCs w:val="20"/>
                <w:color w:val="auto"/>
              </w:rPr>
              <w:t>Interest rates ranging</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40" w:type="dxa"/>
            <w:vAlign w:val="bottom"/>
          </w:tcPr>
          <w:p>
            <w:pPr>
              <w:spacing w:after="0"/>
              <w:rPr>
                <w:sz w:val="24"/>
                <w:szCs w:val="24"/>
                <w:color w:val="auto"/>
              </w:rPr>
            </w:pPr>
          </w:p>
        </w:tc>
        <w:tc>
          <w:tcPr>
            <w:tcW w:w="4260" w:type="dxa"/>
            <w:vAlign w:val="bottom"/>
          </w:tcPr>
          <w:p>
            <w:pPr>
              <w:ind w:left="1400"/>
              <w:spacing w:after="0"/>
              <w:rPr>
                <w:sz w:val="20"/>
                <w:szCs w:val="20"/>
                <w:color w:val="auto"/>
              </w:rPr>
            </w:pPr>
            <w:r>
              <w:rPr>
                <w:rFonts w:ascii="Arial" w:cs="Arial" w:eastAsia="Arial" w:hAnsi="Arial"/>
                <w:sz w:val="20"/>
                <w:szCs w:val="20"/>
                <w:color w:val="auto"/>
              </w:rPr>
              <w:t>from 3.25% to 10.00%</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35,324,052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20"/>
                <w:szCs w:val="20"/>
                <w:color w:val="auto"/>
              </w:rPr>
              <w:t>*Parties in interest.</w:t>
            </w:r>
          </w:p>
        </w:tc>
        <w:tc>
          <w:tcPr>
            <w:tcW w:w="4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4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4040" w:type="dxa"/>
            <w:vAlign w:val="bottom"/>
          </w:tcPr>
          <w:p>
            <w:pPr>
              <w:spacing w:after="0"/>
              <w:rPr>
                <w:sz w:val="24"/>
                <w:szCs w:val="24"/>
                <w:color w:val="auto"/>
              </w:rPr>
            </w:pPr>
          </w:p>
        </w:tc>
        <w:tc>
          <w:tcPr>
            <w:tcW w:w="4260" w:type="dxa"/>
            <w:vAlign w:val="bottom"/>
          </w:tcPr>
          <w:p>
            <w:pPr>
              <w:jc w:val="right"/>
              <w:ind w:right="3042"/>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880" w:top="528" w:right="85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98-0167031 Plan No. 004</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4260" w:type="dxa"/>
            <w:vAlign w:val="bottom"/>
          </w:tcPr>
          <w:p>
            <w:pPr>
              <w:jc w:val="center"/>
              <w:ind w:right="2082"/>
              <w:spacing w:after="0"/>
              <w:rPr>
                <w:sz w:val="20"/>
                <w:szCs w:val="20"/>
                <w:color w:val="auto"/>
              </w:rPr>
            </w:pPr>
            <w:r>
              <w:rPr>
                <w:rFonts w:ascii="Arial" w:cs="Arial" w:eastAsia="Arial" w:hAnsi="Arial"/>
                <w:sz w:val="20"/>
                <w:szCs w:val="20"/>
                <w:color w:val="auto"/>
                <w:w w:val="88"/>
              </w:rPr>
              <w:t>December 31, 2016</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8"/>
        </w:trPr>
        <w:tc>
          <w:tcPr>
            <w:tcW w:w="4040" w:type="dxa"/>
            <w:vAlign w:val="bottom"/>
          </w:tcPr>
          <w:p>
            <w:pPr>
              <w:spacing w:after="0"/>
              <w:rPr>
                <w:sz w:val="24"/>
                <w:szCs w:val="24"/>
                <w:color w:val="auto"/>
              </w:rPr>
            </w:pP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89"/>
              </w:rPr>
              <w:t>Description of</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260" w:type="dxa"/>
            <w:vAlign w:val="bottom"/>
          </w:tcPr>
          <w:p>
            <w:pPr>
              <w:jc w:val="center"/>
              <w:ind w:left="1142"/>
              <w:spacing w:after="0"/>
              <w:rPr>
                <w:sz w:val="20"/>
                <w:szCs w:val="20"/>
                <w:color w:val="auto"/>
              </w:rPr>
            </w:pPr>
            <w:r>
              <w:rPr>
                <w:rFonts w:ascii="Arial" w:cs="Arial" w:eastAsia="Arial" w:hAnsi="Arial"/>
                <w:sz w:val="20"/>
                <w:szCs w:val="20"/>
                <w:b w:val="1"/>
                <w:bCs w:val="1"/>
                <w:color w:val="auto"/>
                <w:w w:val="89"/>
              </w:rPr>
              <w:t>Investments, Including</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93"/>
              </w:rPr>
              <w:t>Maturity Date, Rate of</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Identity of Issue, Borrower,</w:t>
            </w: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89"/>
              </w:rPr>
              <w:t>Interest, Par, or</w:t>
            </w:r>
          </w:p>
        </w:tc>
        <w:tc>
          <w:tcPr>
            <w:tcW w:w="360" w:type="dxa"/>
            <w:vAlign w:val="bottom"/>
          </w:tcPr>
          <w:p>
            <w:pPr>
              <w:spacing w:after="0"/>
              <w:rPr>
                <w:sz w:val="24"/>
                <w:szCs w:val="24"/>
                <w:color w:val="auto"/>
              </w:rPr>
            </w:pPr>
          </w:p>
        </w:tc>
        <w:tc>
          <w:tcPr>
            <w:tcW w:w="1500" w:type="dxa"/>
            <w:vAlign w:val="bottom"/>
          </w:tcPr>
          <w:p>
            <w:pPr>
              <w:jc w:val="center"/>
              <w:ind w:right="261"/>
              <w:spacing w:after="0"/>
              <w:rPr>
                <w:sz w:val="20"/>
                <w:szCs w:val="20"/>
                <w:color w:val="auto"/>
              </w:rPr>
            </w:pPr>
            <w:r>
              <w:rPr>
                <w:rFonts w:ascii="Arial" w:cs="Arial" w:eastAsia="Arial" w:hAnsi="Arial"/>
                <w:sz w:val="20"/>
                <w:szCs w:val="20"/>
                <w:b w:val="1"/>
                <w:bCs w:val="1"/>
                <w:color w:val="auto"/>
                <w:w w:val="96"/>
              </w:rPr>
              <w:t>Current</w:t>
            </w:r>
          </w:p>
        </w:tc>
        <w:tc>
          <w:tcPr>
            <w:tcW w:w="0" w:type="dxa"/>
            <w:vAlign w:val="bottom"/>
          </w:tcPr>
          <w:p>
            <w:pPr>
              <w:spacing w:after="0"/>
              <w:rPr>
                <w:sz w:val="1"/>
                <w:szCs w:val="1"/>
                <w:color w:val="auto"/>
              </w:rPr>
            </w:pP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Lessor, or Similar Party</w:t>
            </w:r>
          </w:p>
        </w:tc>
        <w:tc>
          <w:tcPr>
            <w:tcW w:w="4260" w:type="dxa"/>
            <w:vAlign w:val="bottom"/>
          </w:tcPr>
          <w:p>
            <w:pPr>
              <w:jc w:val="center"/>
              <w:ind w:left="1142"/>
              <w:spacing w:after="0"/>
              <w:rPr>
                <w:sz w:val="20"/>
                <w:szCs w:val="20"/>
                <w:color w:val="auto"/>
              </w:rPr>
            </w:pPr>
            <w:r>
              <w:rPr>
                <w:rFonts w:ascii="Arial" w:cs="Arial" w:eastAsia="Arial" w:hAnsi="Arial"/>
                <w:sz w:val="20"/>
                <w:szCs w:val="20"/>
                <w:b w:val="1"/>
                <w:bCs w:val="1"/>
                <w:color w:val="auto"/>
                <w:w w:val="95"/>
              </w:rPr>
              <w:t>Maturity Value</w:t>
            </w:r>
          </w:p>
        </w:tc>
        <w:tc>
          <w:tcPr>
            <w:tcW w:w="360" w:type="dxa"/>
            <w:vAlign w:val="bottom"/>
          </w:tcPr>
          <w:p>
            <w:pPr>
              <w:spacing w:after="0"/>
              <w:rPr>
                <w:sz w:val="24"/>
                <w:szCs w:val="24"/>
                <w:color w:val="auto"/>
              </w:rPr>
            </w:pPr>
          </w:p>
        </w:tc>
        <w:tc>
          <w:tcPr>
            <w:tcW w:w="1500" w:type="dxa"/>
            <w:vAlign w:val="bottom"/>
          </w:tcPr>
          <w:p>
            <w:pPr>
              <w:jc w:val="center"/>
              <w:ind w:right="281"/>
              <w:spacing w:after="0"/>
              <w:rPr>
                <w:sz w:val="20"/>
                <w:szCs w:val="20"/>
                <w:color w:val="auto"/>
              </w:rPr>
            </w:pPr>
            <w:r>
              <w:rPr>
                <w:rFonts w:ascii="Arial" w:cs="Arial" w:eastAsia="Arial" w:hAnsi="Arial"/>
                <w:sz w:val="20"/>
                <w:szCs w:val="20"/>
                <w:b w:val="1"/>
                <w:bCs w:val="1"/>
                <w:color w:val="auto"/>
                <w:w w:val="89"/>
              </w:rPr>
              <w:t>Value</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1"/>
        </w:trPr>
        <w:tc>
          <w:tcPr>
            <w:tcW w:w="404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4260" w:type="dxa"/>
            <w:vAlign w:val="bottom"/>
          </w:tcPr>
          <w:p>
            <w:pPr>
              <w:ind w:left="1260"/>
              <w:spacing w:after="0"/>
              <w:rPr>
                <w:sz w:val="20"/>
                <w:szCs w:val="20"/>
                <w:color w:val="auto"/>
              </w:rPr>
            </w:pPr>
            <w:r>
              <w:rPr>
                <w:rFonts w:ascii="Arial" w:cs="Arial" w:eastAsia="Arial" w:hAnsi="Arial"/>
                <w:sz w:val="20"/>
                <w:szCs w:val="20"/>
                <w:color w:val="auto"/>
              </w:rPr>
              <w:t>Interest rates ranging</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40" w:type="dxa"/>
            <w:vAlign w:val="bottom"/>
          </w:tcPr>
          <w:p>
            <w:pPr>
              <w:spacing w:after="0"/>
              <w:rPr>
                <w:sz w:val="24"/>
                <w:szCs w:val="24"/>
                <w:color w:val="auto"/>
              </w:rPr>
            </w:pPr>
          </w:p>
        </w:tc>
        <w:tc>
          <w:tcPr>
            <w:tcW w:w="4260" w:type="dxa"/>
            <w:vAlign w:val="bottom"/>
          </w:tcPr>
          <w:p>
            <w:pPr>
              <w:ind w:left="1400"/>
              <w:spacing w:after="0"/>
              <w:rPr>
                <w:sz w:val="20"/>
                <w:szCs w:val="20"/>
                <w:color w:val="auto"/>
              </w:rPr>
            </w:pPr>
            <w:r>
              <w:rPr>
                <w:rFonts w:ascii="Arial" w:cs="Arial" w:eastAsia="Arial" w:hAnsi="Arial"/>
                <w:sz w:val="20"/>
                <w:szCs w:val="20"/>
                <w:color w:val="auto"/>
              </w:rPr>
              <w:t>from 4.25% to 9.50%</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3,041,475</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20"/>
                <w:szCs w:val="20"/>
                <w:color w:val="auto"/>
              </w:rPr>
              <w:t>*Parties in interest.</w:t>
            </w:r>
          </w:p>
        </w:tc>
        <w:tc>
          <w:tcPr>
            <w:tcW w:w="4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4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4040" w:type="dxa"/>
            <w:vAlign w:val="bottom"/>
          </w:tcPr>
          <w:p>
            <w:pPr>
              <w:spacing w:after="0"/>
              <w:rPr>
                <w:sz w:val="24"/>
                <w:szCs w:val="24"/>
                <w:color w:val="auto"/>
              </w:rPr>
            </w:pPr>
          </w:p>
        </w:tc>
        <w:tc>
          <w:tcPr>
            <w:tcW w:w="4260" w:type="dxa"/>
            <w:vAlign w:val="bottom"/>
          </w:tcPr>
          <w:p>
            <w:pPr>
              <w:jc w:val="right"/>
              <w:ind w:right="3042"/>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880" w:top="528" w:right="859" w:bottom="1440" w:gutter="0" w:footer="0" w:header="0"/>
        </w:sectPr>
      </w:pPr>
    </w:p>
    <w:bookmarkStart w:id="20" w:name="page21"/>
    <w:bookmarkEnd w:id="20"/>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395" w:lineRule="auto"/>
        <w:rPr>
          <w:sz w:val="20"/>
          <w:szCs w:val="20"/>
          <w:color w:val="auto"/>
        </w:rPr>
      </w:pPr>
      <w:r>
        <w:rPr>
          <w:rFonts w:ascii="Arial" w:cs="Arial" w:eastAsia="Arial" w:hAnsi="Arial"/>
          <w:sz w:val="21"/>
          <w:szCs w:val="21"/>
          <w:color w:val="auto"/>
        </w:rPr>
        <w:t>Pursuant to the requirements of the Securities Exchange Act of 1934, the trustees (or other persons who administer the Plans) have duly caused this annual report to be signed on its behalf by the undersigned hereunto duly authorized.</w:t>
      </w:r>
    </w:p>
    <w:p>
      <w:pPr>
        <w:spacing w:after="0" w:line="24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The Lilly Employee 401(k) Plan</w:t>
      </w:r>
    </w:p>
    <w:p>
      <w:pPr>
        <w:spacing w:after="0" w:line="200" w:lineRule="exact"/>
        <w:rPr>
          <w:sz w:val="20"/>
          <w:szCs w:val="20"/>
          <w:color w:val="auto"/>
        </w:rPr>
      </w:pPr>
    </w:p>
    <w:p>
      <w:pPr>
        <w:spacing w:after="0" w:line="222"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Date: June 26, 2017</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Stacey M. Roberson</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Stacey M. Roberson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 Benefits Committee</w:t>
      </w:r>
    </w:p>
    <w:p>
      <w:pPr>
        <w:spacing w:after="0" w:line="29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The Savings Plan for Lilly Affiliate Employees</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in Puerto Rico</w:t>
      </w:r>
    </w:p>
    <w:p>
      <w:pPr>
        <w:spacing w:after="0" w:line="200" w:lineRule="exact"/>
        <w:rPr>
          <w:sz w:val="20"/>
          <w:szCs w:val="20"/>
          <w:color w:val="auto"/>
        </w:rPr>
      </w:pPr>
    </w:p>
    <w:p>
      <w:pPr>
        <w:spacing w:after="0" w:line="272"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Date: June 26, 2017</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Stacey M. Roberson</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Stacey M. Roberson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 Benefits Committee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23" w:right="359" w:bottom="1440" w:gutter="0" w:footer="0" w:header="0"/>
        </w:sectPr>
      </w:pPr>
    </w:p>
    <w:bookmarkStart w:id="21" w:name="page22"/>
    <w:bookmarkEnd w:id="21"/>
    <w:p>
      <w:pPr>
        <w:jc w:val="right"/>
        <w:ind w:right="387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00" w:lineRule="exact"/>
        <w:rPr>
          <w:sz w:val="20"/>
          <w:szCs w:val="20"/>
          <w:color w:val="auto"/>
        </w:rPr>
      </w:pPr>
    </w:p>
    <w:p>
      <w:pPr>
        <w:spacing w:after="0" w:line="236" w:lineRule="exact"/>
        <w:rPr>
          <w:sz w:val="20"/>
          <w:szCs w:val="20"/>
          <w:color w:val="auto"/>
        </w:rPr>
      </w:pPr>
    </w:p>
    <w:p>
      <w:pPr>
        <w:spacing w:after="0"/>
        <w:tabs>
          <w:tab w:leader="none" w:pos="74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21"/>
          <w:szCs w:val="2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23"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the Registration Statement (Form S-8 No. 333-172422) pertaining to The Lilly Employee 401(k) Plan and The Savings Plan for Lilly Affiliate Employees in Puerto Rico of our report dated June 26, 2017, with respect to the financial statements and schedules of The Lilly Employee 401(k) Plan and The Savings Plan for Lilly Affiliate Employees in Puerto Rico included in this Annual Report (Form 11-K)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Indianapolis, Indiana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June 26, 2017</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1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the Registration Statement (Form S-8 No. 333-172422) pertaining to The Lilly Employee 401(k) Plan and The Savings Plan for Lilly Affiliate Employees in Puerto Rico of our report dated June 26, 2017, with respect to the financial statements and schedules of The Lilly Employee 401(k) Plan and The Savings Plan for Lilly Affiliate Employees in Puerto Rico included in this Annual Report (Form 11-K)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Indianapolis, Indiana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June 26, 2017</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2019-12-05T05:00:00Z</dcterms:created>
  <dcterms:modified xsi:type="dcterms:W3CDTF">2019-12-05T05:00:00Z</dcterms:modified>
</cp:coreProperties>
</file>