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417" w:before="0" w:after="0"/>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417"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417"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Washington, D.C. 20549</w:t>
      </w:r>
    </w:p>
    <w:p>
      <w:pPr>
        <w:pStyle w:val="TextBody"/>
        <w:bidi w:val="0"/>
        <w:spacing w:before="0" w:after="0"/>
        <w:jc w:val="center"/>
        <w:rPr/>
      </w:pPr>
      <w:r>
        <w:rPr/>
      </w:r>
    </w:p>
    <w:p>
      <w:pPr>
        <w:pStyle w:val="TextBody"/>
        <w:bidi w:val="0"/>
        <w:spacing w:lineRule="auto" w:line="417" w:before="0" w:after="325"/>
        <w:jc w:val="center"/>
        <w:rPr>
          <w:rFonts w:ascii="Times New Roman;sans-serif" w:hAnsi="Times New Roman;sans-serif"/>
          <w:b/>
          <w:color w:val="000000"/>
          <w:sz w:val="32"/>
        </w:rPr>
      </w:pPr>
      <w:r>
        <w:rPr>
          <w:rFonts w:ascii="Times New Roman;sans-serif" w:hAnsi="Times New Roman;sans-serif"/>
          <w:b/>
          <w:color w:val="000000"/>
          <w:sz w:val="32"/>
        </w:rPr>
        <w:t>FORM 11-K</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pPr>
      <w:r>
        <w:rPr>
          <w:color w:val="000000"/>
        </w:rPr>
        <w:t xml:space="preserve">☒ </w:t>
      </w:r>
      <w:r>
        <w:rPr>
          <w:rFonts w:ascii="Times New Roman;sans-serif" w:hAnsi="Times New Roman;sans-serif"/>
          <w:b/>
          <w:color w:val="000000"/>
          <w:sz w:val="20"/>
        </w:rPr>
        <w:t>ANNUAL REPORT PURSUANT TO SECTION 15(d) OF THE SECURITIES EXCHANGE ACT OF 1934</w:t>
      </w:r>
    </w:p>
    <w:p>
      <w:pPr>
        <w:pStyle w:val="TextBody"/>
        <w:bidi w:val="0"/>
        <w:spacing w:lineRule="auto" w:line="288" w:before="0" w:after="0"/>
        <w:ind w:left="0" w:right="0" w:hanging="360"/>
        <w:jc w:val="left"/>
        <w:rPr/>
      </w:pPr>
      <w:r>
        <w:rPr>
          <w:rFonts w:ascii="Times New Roman;sans-serif" w:hAnsi="Times New Roman;sans-serif"/>
          <w:b/>
          <w:color w:val="000000"/>
          <w:sz w:val="20"/>
        </w:rPr>
        <w:t>For the fiscal year ended December 31, 2024</w:t>
      </w:r>
      <w:r>
        <w:rPr>
          <w:rFonts w:ascii="Times New Roman;sans-serif" w:hAnsi="Times New Roman;sans-serif"/>
          <w:b w:val="false"/>
          <w:color w:val="000000"/>
          <w:sz w:val="20"/>
        </w:rPr>
        <w:t>.</w:t>
      </w:r>
    </w:p>
    <w:p>
      <w:pPr>
        <w:pStyle w:val="TextBody"/>
        <w:bidi w:val="0"/>
        <w:spacing w:lineRule="auto" w:line="288" w:before="0" w:after="0"/>
        <w:ind w:left="0" w:right="0" w:hanging="360"/>
        <w:jc w:val="center"/>
        <w:rPr>
          <w:rFonts w:ascii="Times New Roman;sans-serif" w:hAnsi="Times New Roman;sans-serif"/>
          <w:b w:val="false"/>
          <w:color w:val="000000"/>
          <w:sz w:val="20"/>
        </w:rPr>
      </w:pPr>
      <w:r>
        <w:rPr>
          <w:rFonts w:ascii="Times New Roman;sans-serif" w:hAnsi="Times New Roman;sans-serif"/>
          <w:b w:val="false"/>
          <w:color w:val="000000"/>
          <w:sz w:val="20"/>
        </w:rPr>
        <w:t>OR</w:t>
      </w:r>
    </w:p>
    <w:p>
      <w:pPr>
        <w:pStyle w:val="TextBody"/>
        <w:bidi w:val="0"/>
        <w:spacing w:lineRule="auto" w:line="288" w:before="0" w:after="0"/>
        <w:jc w:val="both"/>
        <w:rPr/>
      </w:pPr>
      <w:r>
        <w:rPr>
          <w:rFonts w:ascii="Wingdings;sans-serif" w:hAnsi="Wingdings;sans-serif"/>
          <w:b w:val="false"/>
          <w:color w:val="000000"/>
          <w:sz w:val="20"/>
        </w:rPr>
        <w:t xml:space="preserve">o </w:t>
      </w:r>
      <w:r>
        <w:rPr>
          <w:rFonts w:ascii="Times New Roman;sans-serif" w:hAnsi="Times New Roman;sans-serif"/>
          <w:b/>
          <w:color w:val="000000"/>
          <w:sz w:val="20"/>
        </w:rPr>
        <w:t>TRANSITION REPORT PURSUANT TO SECTION 15(d) OF THE SECURITIES EXCHANGE ACT OF 1934</w:t>
      </w:r>
    </w:p>
    <w:p>
      <w:pPr>
        <w:pStyle w:val="TextBody"/>
        <w:bidi w:val="0"/>
        <w:spacing w:lineRule="auto" w:line="288" w:before="0" w:after="215"/>
        <w:ind w:left="0" w:right="0" w:hanging="360"/>
        <w:jc w:val="left"/>
        <w:rPr>
          <w:color w:val="000000"/>
        </w:rPr>
      </w:pPr>
      <w:r>
        <w:rPr>
          <w:color w:val="000000"/>
        </w:rPr>
        <w:t>    </w:t>
      </w:r>
      <w:r>
        <w:rPr>
          <w:rFonts w:ascii="Times New Roman;sans-serif" w:hAnsi="Times New Roman;sans-serif"/>
          <w:b w:val="false"/>
          <w:color w:val="000000"/>
          <w:sz w:val="20"/>
        </w:rPr>
        <w:t>For the transition period from __________________________to __________________________</w:t>
      </w:r>
    </w:p>
    <w:p>
      <w:pPr>
        <w:pStyle w:val="TextBody"/>
        <w:bidi w:val="0"/>
        <w:spacing w:lineRule="auto" w:line="417" w:before="0" w:after="215"/>
        <w:ind w:left="0" w:right="0" w:hanging="360"/>
        <w:jc w:val="center"/>
        <w:rPr>
          <w:rFonts w:ascii="Times New Roman;sans-serif" w:hAnsi="Times New Roman;sans-serif"/>
          <w:b/>
          <w:color w:val="000000"/>
          <w:sz w:val="20"/>
        </w:rPr>
      </w:pPr>
      <w:r>
        <w:rPr>
          <w:rFonts w:ascii="Times New Roman;sans-serif" w:hAnsi="Times New Roman;sans-serif"/>
          <w:b/>
          <w:color w:val="000000"/>
          <w:sz w:val="20"/>
        </w:rPr>
        <w:t>Commission file number 001-06351</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w:t>
      </w:r>
    </w:p>
    <w:p>
      <w:pPr>
        <w:pStyle w:val="TextBody"/>
        <w:bidi w:val="0"/>
        <w:spacing w:lineRule="auto" w:line="417"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A.Full title of the plan and the address of the plan, if different from that of the issuer named below: </w:t>
      </w:r>
    </w:p>
    <w:p>
      <w:pPr>
        <w:pStyle w:val="TextBody"/>
        <w:bidi w:val="0"/>
        <w:spacing w:before="0" w:after="0"/>
        <w:jc w:val="left"/>
        <w:rPr/>
      </w:pPr>
      <w:r>
        <w:rPr/>
      </w:r>
    </w:p>
    <w:p>
      <w:pPr>
        <w:pStyle w:val="TextBody"/>
        <w:bidi w:val="0"/>
        <w:spacing w:lineRule="auto" w:line="417" w:before="0" w:after="0"/>
        <w:jc w:val="center"/>
        <w:rPr>
          <w:rFonts w:ascii="Times New Roman;sans-serif" w:hAnsi="Times New Roman;sans-serif"/>
          <w:b/>
          <w:color w:val="000000"/>
          <w:sz w:val="24"/>
        </w:rPr>
      </w:pPr>
      <w:r>
        <w:rPr>
          <w:rFonts w:ascii="Times New Roman;sans-serif" w:hAnsi="Times New Roman;sans-serif"/>
          <w:b/>
          <w:color w:val="000000"/>
          <w:sz w:val="24"/>
        </w:rPr>
        <w:t>The Lilly Employee 401(k) Plan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The Savings Plan for Lilly Affiliate Employees in Puerto Rico</w:t>
      </w:r>
    </w:p>
    <w:p>
      <w:pPr>
        <w:pStyle w:val="TextBody"/>
        <w:bidi w:val="0"/>
        <w:spacing w:lineRule="auto" w:line="417"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B.Name of issuer of the securities held pursuant to the plan and the address of its principal executive office: </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Eli Lilly and Company</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Lilly Corporate Center</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Indianapolis, Indiana 46285</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REQUIRED INFORMATION</w:t>
      </w:r>
    </w:p>
    <w:p>
      <w:pPr>
        <w:pStyle w:val="TextBody"/>
        <w:bidi w:val="0"/>
        <w:spacing w:lineRule="auto" w:line="417" w:before="0" w:after="215"/>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financial statements shall be furnished for the plan:</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1.Not applicable. </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2.Not applicable. </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3.Not applicable. </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Lilly Employee 401(k) Plan and The Savings Plan for Lilly Affiliate Employees in Puerto Rico (the Plans) are subject to the requirements of the Employee Retirement Income Security Act of 1974 (ERISA). Attached hereto are copies of the most recent financial statements and schedule of the Plans prepared in accordance with the financial reporting requirements of ERISA.</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46685"/>
                <wp:effectExtent l="0" t="0" r="0" b="0"/>
                <wp:wrapNone/>
                <wp:docPr id="1" name="Frame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417" w:before="0" w:after="0"/>
        <w:jc w:val="center"/>
        <w:rPr>
          <w:rFonts w:ascii="Times New Roman;sans-serif" w:hAnsi="Times New Roman;sans-serif"/>
          <w:b/>
          <w:color w:val="000000"/>
          <w:sz w:val="28"/>
        </w:rPr>
      </w:pPr>
      <w:r>
        <w:rPr>
          <w:rFonts w:ascii="Times New Roman;sans-serif" w:hAnsi="Times New Roman;sans-serif"/>
          <w:b/>
          <w:color w:val="000000"/>
          <w:sz w:val="28"/>
        </w:rPr>
        <w:t>The Lilly Employee 401(k) Plan and</w:t>
      </w:r>
    </w:p>
    <w:p>
      <w:pPr>
        <w:pStyle w:val="TextBody"/>
        <w:bidi w:val="0"/>
        <w:spacing w:lineRule="auto" w:line="417" w:before="0" w:after="240"/>
        <w:jc w:val="center"/>
        <w:rPr>
          <w:rFonts w:ascii="Times New Roman;sans-serif" w:hAnsi="Times New Roman;sans-serif"/>
          <w:b/>
          <w:color w:val="000000"/>
          <w:sz w:val="28"/>
        </w:rPr>
      </w:pPr>
      <w:r>
        <w:rPr>
          <w:rFonts w:ascii="Times New Roman;sans-serif" w:hAnsi="Times New Roman;sans-serif"/>
          <w:b/>
          <w:color w:val="000000"/>
          <w:sz w:val="28"/>
        </w:rPr>
        <w:t>The Savings Plan for Lilly Affiliate Employees in Puerto Rico</w:t>
      </w:r>
    </w:p>
    <w:p>
      <w:pPr>
        <w:pStyle w:val="TextBody"/>
        <w:bidi w:val="0"/>
        <w:spacing w:lineRule="auto" w:line="417" w:before="0" w:after="240"/>
        <w:jc w:val="center"/>
        <w:rPr>
          <w:rFonts w:ascii="Times New Roman;sans-serif" w:hAnsi="Times New Roman;sans-serif"/>
          <w:b/>
          <w:color w:val="000000"/>
          <w:sz w:val="28"/>
        </w:rPr>
      </w:pPr>
      <w:r>
        <w:rPr>
          <w:rFonts w:ascii="Times New Roman;sans-serif" w:hAnsi="Times New Roman;sans-serif"/>
          <w:b/>
          <w:color w:val="000000"/>
          <w:sz w:val="28"/>
        </w:rPr>
        <w:t>Financial Statements and Supplemental Schedules</w:t>
      </w:r>
    </w:p>
    <w:p>
      <w:pPr>
        <w:pStyle w:val="TextBody"/>
        <w:bidi w:val="0"/>
        <w:spacing w:lineRule="auto" w:line="360" w:before="0" w:after="0"/>
        <w:jc w:val="center"/>
        <w:rPr>
          <w:rFonts w:ascii="Times New Roman;sans-serif" w:hAnsi="Times New Roman;sans-serif"/>
          <w:b w:val="false"/>
          <w:color w:val="000000"/>
          <w:sz w:val="28"/>
        </w:rPr>
      </w:pPr>
      <w:r>
        <w:rPr>
          <w:rFonts w:ascii="Times New Roman;sans-serif" w:hAnsi="Times New Roman;sans-serif"/>
          <w:b w:val="false"/>
          <w:color w:val="000000"/>
          <w:sz w:val="28"/>
        </w:rPr>
        <w:t>December 31, 2024 and 2023 and for the Year Ended December 31, 2024</w:t>
      </w:r>
    </w:p>
    <w:p>
      <w:pPr>
        <w:pStyle w:val="TextBody"/>
        <w:bidi w:val="0"/>
        <w:spacing w:before="0" w:after="240"/>
        <w:jc w:val="center"/>
        <w:rPr/>
      </w:pPr>
      <w:r>
        <w:rPr/>
      </w:r>
    </w:p>
    <w:p>
      <w:pPr>
        <w:pStyle w:val="TextBody"/>
        <w:bidi w:val="0"/>
        <w:spacing w:lineRule="auto" w:line="417" w:before="0" w:after="240"/>
        <w:jc w:val="center"/>
        <w:rPr>
          <w:rFonts w:ascii="Times New Roman;sans-serif" w:hAnsi="Times New Roman;sans-serif"/>
          <w:b/>
          <w:color w:val="000000"/>
          <w:sz w:val="28"/>
        </w:rPr>
      </w:pPr>
      <w:r>
        <w:rPr>
          <w:rFonts w:ascii="Times New Roman;sans-serif" w:hAnsi="Times New Roman;sans-serif"/>
          <w:b/>
          <w:color w:val="000000"/>
          <w:sz w:val="28"/>
        </w:rPr>
        <w:t>Table of Contents</w:t>
      </w:r>
    </w:p>
    <w:tbl>
      <w:tblPr>
        <w:tblW w:w="6267" w:type="dxa"/>
        <w:jc w:val="center"/>
        <w:tblInd w:w="0" w:type="dxa"/>
        <w:tblLayout w:type="fixed"/>
        <w:tblCellMar>
          <w:top w:w="28" w:type="dxa"/>
          <w:left w:w="28" w:type="dxa"/>
          <w:bottom w:w="28" w:type="dxa"/>
          <w:right w:w="28" w:type="dxa"/>
        </w:tblCellMar>
      </w:tblPr>
      <w:tblGrid>
        <w:gridCol w:w="2134"/>
        <w:gridCol w:w="1875"/>
        <w:gridCol w:w="1886"/>
        <w:gridCol w:w="109"/>
        <w:gridCol w:w="109"/>
        <w:gridCol w:w="154"/>
      </w:tblGrid>
      <w:tr>
        <w:trPr/>
        <w:tc>
          <w:tcPr>
            <w:tcW w:w="2134" w:type="dxa"/>
            <w:tcBorders/>
            <w:vAlign w:val="center"/>
          </w:tcPr>
          <w:p>
            <w:pPr>
              <w:pStyle w:val="TableContents"/>
              <w:bidi w:val="0"/>
              <w:spacing w:before="0" w:after="283"/>
              <w:jc w:val="left"/>
              <w:rPr>
                <w:sz w:val="4"/>
                <w:szCs w:val="4"/>
              </w:rPr>
            </w:pPr>
            <w:r>
              <w:rPr>
                <w:sz w:val="4"/>
                <w:szCs w:val="4"/>
              </w:rPr>
            </w:r>
          </w:p>
        </w:tc>
        <w:tc>
          <w:tcPr>
            <w:tcW w:w="1875" w:type="dxa"/>
            <w:tcBorders/>
            <w:vAlign w:val="center"/>
          </w:tcPr>
          <w:p>
            <w:pPr>
              <w:pStyle w:val="TableContents"/>
              <w:bidi w:val="0"/>
              <w:spacing w:before="0" w:after="283"/>
              <w:jc w:val="left"/>
              <w:rPr>
                <w:sz w:val="4"/>
                <w:szCs w:val="4"/>
              </w:rPr>
            </w:pPr>
            <w:r>
              <w:rPr>
                <w:sz w:val="4"/>
                <w:szCs w:val="4"/>
              </w:rPr>
            </w:r>
          </w:p>
        </w:tc>
        <w:tc>
          <w:tcPr>
            <w:tcW w:w="1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Report of Independent Registered Public Accounting Firm</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r>
      <w:tr>
        <w:trPr/>
        <w:tc>
          <w:tcPr>
            <w:tcW w:w="5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B3B3B3"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Statements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Statements of Net Assets Available for Benefits - 2024</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r>
      <w:tr>
        <w:trPr/>
        <w:tc>
          <w:tcPr>
            <w:tcW w:w="5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Statements of Net Assets Available for Benefits - 2023</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r>
      <w:tr>
        <w:trPr/>
        <w:tc>
          <w:tcPr>
            <w:tcW w:w="5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Statements of Changes in Net Assets Available for Benefits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r>
      <w:tr>
        <w:trPr/>
        <w:tc>
          <w:tcPr>
            <w:tcW w:w="5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to Financial Statements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r>
      <w:tr>
        <w:trPr/>
        <w:tc>
          <w:tcPr>
            <w:tcW w:w="5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B3B3B3"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Supplemental Schedules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Schedule of Assets (Held at End of Year) -</w:t>
              <w:br/>
              <w:t>     The Lilly Employee 401(k) Plan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r>
      <w:tr>
        <w:trPr/>
        <w:tc>
          <w:tcPr>
            <w:tcW w:w="5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Schedule of Assets (Held at End of Year) -</w:t>
              <w:br/>
              <w:t>     The Savings Plan for Lilly Affiliate Employees in Puerto Rico</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r>
      <w:tr>
        <w:trPr/>
        <w:tc>
          <w:tcPr>
            <w:tcW w:w="5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Signatures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r>
      <w:tr>
        <w:trPr/>
        <w:tc>
          <w:tcPr>
            <w:tcW w:w="5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23 Consent of Independent Registered Public Accounting Firm</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Report of Independent Registered Public Accounting Firm</w:t>
      </w:r>
    </w:p>
    <w:p>
      <w:pPr>
        <w:pStyle w:val="TextBody"/>
        <w:bidi w:val="0"/>
        <w:spacing w:before="0" w:after="0"/>
        <w:jc w:val="center"/>
        <w:rPr/>
      </w:pPr>
      <w:r>
        <w:rPr/>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To the Plan Participants and the Plan Administrator of The Lilly Employee 401(k) Plan and The Savings Plan for Lilly Affiliate Employees in Puerto Rico</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color w:val="000000"/>
          <w:sz w:val="24"/>
        </w:rPr>
      </w:pPr>
      <w:r>
        <w:rPr>
          <w:rFonts w:ascii="Times New Roman;sans-serif" w:hAnsi="Times New Roman;sans-serif"/>
          <w:b/>
          <w:color w:val="000000"/>
          <w:sz w:val="24"/>
        </w:rPr>
        <w:t>Opinion on the Financial Statements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We have audited the accompanying statements of net assets available for benefits of The Lilly Employee 401(k) Plan and The Savings Plan for Lilly Affiliate Employees in Puerto Rico (the Plans) as of December 31, 2024 and 2023, and the related statements of changes in net assets available for benefits for the year ended December 31, 2024, and the related notes (collectively referred to as the “financial statements”). In our opinion, the financial statements present fairly, in all material respects, the net assets available for benefits of the Plans at December 31, 2024 and 2023, and the changes in their net assets available for benefits for the year ended December 31, 2024, in conformity with U.S. generally accepted accounting principles.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color w:val="000000"/>
          <w:sz w:val="24"/>
        </w:rPr>
      </w:pPr>
      <w:r>
        <w:rPr>
          <w:rFonts w:ascii="Times New Roman;sans-serif" w:hAnsi="Times New Roman;sans-serif"/>
          <w:b/>
          <w:color w:val="000000"/>
          <w:sz w:val="24"/>
        </w:rPr>
        <w:t>Basis for Opinion</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These financial statements are the responsibility of the Plans’ management. Our responsibility is to express an opinion on the Plans’ financial statements based on our audits. We are a public accounting firm registered with the Public Company Accounting Oversight Board (United States) (PCAOB) and are required to be independent with respect to the Plans in accordance with the U.S. federal securities laws and the applicable rules and regulations of the Securities and Exchange Commission and the PCAOB.</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We conducted our audits in accordance with the standards of the PCAOB. Those standards require that we plan and perform the audit to obtain reasonable assurance about whether the financial statements are free of material misstatement, whether due to error or fraud. The Plans are not required to have, nor were we engaged to perform, an audit of their internal control over financial reporting. As part of our audits we are required to obtain an understanding of internal control over financial reporting but not for the purpose of expressing an opinion on the effectiveness of the Plans’ internal control over financial reporting. Accordingly, we express no such opinion.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4"/>
        </w:rPr>
      </w:pPr>
      <w:r>
        <w:rPr>
          <w:rFonts w:ascii="Times New Roman;sans-serif" w:hAnsi="Times New Roman;sans-serif"/>
          <w:b/>
          <w:color w:val="000000"/>
          <w:sz w:val="24"/>
        </w:rPr>
        <w:t>Supplemental Schedules Required by ERISA</w:t>
      </w:r>
    </w:p>
    <w:p>
      <w:pPr>
        <w:pStyle w:val="TextBody"/>
        <w:bidi w:val="0"/>
        <w:spacing w:before="0" w:after="0"/>
        <w:jc w:val="left"/>
        <w:rPr/>
      </w:pPr>
      <w:r>
        <w:rPr/>
      </w:r>
    </w:p>
    <w:p>
      <w:pPr>
        <w:pStyle w:val="TextBody"/>
        <w:bidi w:val="0"/>
        <w:spacing w:lineRule="auto" w:line="276"/>
        <w:jc w:val="left"/>
        <w:rPr/>
      </w:pPr>
      <w:r>
        <w:rPr>
          <w:rFonts w:ascii="Times New Roman;sans-serif" w:hAnsi="Times New Roman;sans-serif"/>
          <w:b w:val="false"/>
          <w:color w:val="000000"/>
          <w:sz w:val="24"/>
        </w:rPr>
        <w:t>The accompanying supplemental schedules of</w:t>
      </w:r>
      <w:r>
        <w:rPr>
          <w:color w:val="000000"/>
        </w:rPr>
        <w:t xml:space="preserve"> </w:t>
      </w:r>
      <w:r>
        <w:rPr>
          <w:rFonts w:ascii="Times New Roman;sans-serif" w:hAnsi="Times New Roman;sans-serif"/>
          <w:b w:val="false"/>
          <w:color w:val="000000"/>
          <w:sz w:val="24"/>
        </w:rPr>
        <w:t>assets (held at end of year) as of December 31, 2024 (referred to as the “supplemental schedules”), have been subjected to audit procedures performed in conjunction with the audits of the Plans’ financial statements. The information in the supplemental schedules is the responsibility of the Plans’ management. Our audit procedures included determining whether the information reconciles to the financial statements or the underlying accounting and other records, as applicable, and performing procedures to test the completeness and accuracy of the information presented in the supplemental schedules. In forming our opinion on the information, we evaluated whether such information, including its form and content, is presented in conformity with the Department of Labor’s Rules and Regulations for Reporting and Disclosure under the Employee Retirement Income Security Act of 1974. In our opinion, the information is fairly stated, in all material respects, in relation to the financial statements as a whole.</w:t>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 Ernst &amp; Young LLP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We have served as the Plans’ auditor since at least 1990, but we are unable to determine the specific year.</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Indianapolis, Indiana</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June 20, 2025</w:t>
      </w:r>
    </w:p>
    <w:p>
      <w:pPr>
        <w:pStyle w:val="TextBody"/>
        <w:bidi w:val="0"/>
        <w:spacing w:before="0" w:after="2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009"/>
        <w:gridCol w:w="1596"/>
        <w:gridCol w:w="1605"/>
        <w:gridCol w:w="266"/>
        <w:gridCol w:w="1822"/>
        <w:gridCol w:w="137"/>
        <w:gridCol w:w="137"/>
        <w:gridCol w:w="137"/>
        <w:gridCol w:w="137"/>
        <w:gridCol w:w="319"/>
        <w:gridCol w:w="1800"/>
        <w:gridCol w:w="240"/>
      </w:tblGrid>
      <w:tr>
        <w:trPr/>
        <w:tc>
          <w:tcPr>
            <w:tcW w:w="2009" w:type="dxa"/>
            <w:tcBorders/>
            <w:vAlign w:val="center"/>
          </w:tcPr>
          <w:p>
            <w:pPr>
              <w:pStyle w:val="TableContents"/>
              <w:bidi w:val="0"/>
              <w:spacing w:before="0" w:after="283"/>
              <w:jc w:val="left"/>
              <w:rPr>
                <w:sz w:val="4"/>
                <w:szCs w:val="4"/>
              </w:rPr>
            </w:pPr>
            <w:r>
              <w:rPr>
                <w:sz w:val="4"/>
                <w:szCs w:val="4"/>
              </w:rPr>
            </w:r>
          </w:p>
        </w:tc>
        <w:tc>
          <w:tcPr>
            <w:tcW w:w="1596" w:type="dxa"/>
            <w:tcBorders/>
            <w:vAlign w:val="center"/>
          </w:tcPr>
          <w:p>
            <w:pPr>
              <w:pStyle w:val="TableContents"/>
              <w:bidi w:val="0"/>
              <w:spacing w:before="0" w:after="283"/>
              <w:jc w:val="left"/>
              <w:rPr>
                <w:sz w:val="4"/>
                <w:szCs w:val="4"/>
              </w:rPr>
            </w:pPr>
            <w:r>
              <w:rPr>
                <w:sz w:val="4"/>
                <w:szCs w:val="4"/>
              </w:rPr>
            </w:r>
          </w:p>
        </w:tc>
        <w:tc>
          <w:tcPr>
            <w:tcW w:w="160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822"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80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The Lilly Employee 401(k) Plan and</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The Savings Plan for Lilly Affiliate Employees in Puerto Rico</w:t>
            </w:r>
          </w:p>
        </w:tc>
      </w:tr>
      <w:tr>
        <w:trPr/>
        <w:tc>
          <w:tcPr>
            <w:tcW w:w="5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Statements of Net Assets Available for Benefits</w:t>
            </w:r>
          </w:p>
        </w:tc>
      </w:tr>
      <w:tr>
        <w:trPr/>
        <w:tc>
          <w:tcPr>
            <w:tcW w:w="5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December 31, 2024</w:t>
            </w:r>
          </w:p>
        </w:tc>
      </w:tr>
      <w:tr>
        <w:trPr/>
        <w:tc>
          <w:tcPr>
            <w:tcW w:w="5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The Savings </w:t>
              <w:br/>
              <w:t xml:space="preserve">Plan for Lilly </w:t>
              <w:br/>
              <w:t xml:space="preserve">Affiliate Employees in Puerto Rico </w:t>
            </w:r>
          </w:p>
        </w:tc>
      </w:tr>
      <w:tr>
        <w:trPr/>
        <w:tc>
          <w:tcPr>
            <w:tcW w:w="5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 Lilly Employee</w:t>
              <w:br/>
              <w:t xml:space="preserve"> 401(k) Plan </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5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3"/>
            <w:vMerge w:val="continue"/>
            <w:tcBorders/>
            <w:tcMar>
              <w:top w:w="0" w:type="dxa"/>
              <w:left w:w="0" w:type="dxa"/>
              <w:bottom w:w="0" w:type="dxa"/>
              <w:right w:w="0" w:type="dxa"/>
            </w:tcMar>
            <w:vAlign w:val="center"/>
          </w:tcPr>
          <w:p>
            <w:pPr>
              <w:pStyle w:val="Normal"/>
              <w:bidi w:val="0"/>
              <w:jc w:val="left"/>
              <w:rPr/>
            </w:pPr>
            <w:r>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5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3"/>
            <w:vMerge w:val="continue"/>
            <w:tcBorders/>
            <w:tcMar>
              <w:top w:w="0" w:type="dxa"/>
              <w:left w:w="0" w:type="dxa"/>
              <w:bottom w:w="0" w:type="dxa"/>
              <w:right w:w="0" w:type="dxa"/>
            </w:tcMar>
            <w:vAlign w:val="center"/>
          </w:tcPr>
          <w:p>
            <w:pPr>
              <w:pStyle w:val="Normal"/>
              <w:bidi w:val="0"/>
              <w:jc w:val="left"/>
              <w:rPr/>
            </w:pPr>
            <w:r>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5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3"/>
            <w:vMerge w:val="continue"/>
            <w:tcBorders/>
            <w:tcMar>
              <w:top w:w="0" w:type="dxa"/>
              <w:left w:w="0" w:type="dxa"/>
              <w:bottom w:w="0" w:type="dxa"/>
              <w:right w:w="0" w:type="dxa"/>
            </w:tcMar>
            <w:vAlign w:val="center"/>
          </w:tcPr>
          <w:p>
            <w:pPr>
              <w:pStyle w:val="Normal"/>
              <w:bidi w:val="0"/>
              <w:jc w:val="left"/>
              <w:rPr/>
            </w:pPr>
            <w:r>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5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22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 Plan's interest in net assets of The Lilly Employee Savings Plan Master Trust: (Notes 3 and 4)</w:t>
            </w:r>
          </w:p>
        </w:tc>
        <w:tc>
          <w:tcPr>
            <w:tcW w:w="2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0"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Registered investment companies</w:t>
            </w:r>
          </w:p>
        </w:tc>
        <w:tc>
          <w:tcPr>
            <w:tcW w:w="26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2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347,721,232 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0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5,326,606 </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Self-directed brokerage accounts</w:t>
            </w:r>
          </w:p>
        </w:tc>
        <w:tc>
          <w:tcPr>
            <w:tcW w:w="20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344,736,270 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3,211,718 </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Eli Lilly and Company common stock</w:t>
            </w:r>
          </w:p>
        </w:tc>
        <w:tc>
          <w:tcPr>
            <w:tcW w:w="20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3,353,674,076 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232,361,652 </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 common/collective trusts</w:t>
            </w:r>
          </w:p>
        </w:tc>
        <w:tc>
          <w:tcPr>
            <w:tcW w:w="20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8,054,250,219 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230,042,270 </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Synthetic GICs, at contract value</w:t>
            </w:r>
          </w:p>
        </w:tc>
        <w:tc>
          <w:tcPr>
            <w:tcW w:w="20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919,487,968 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45,389,271 </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income and pending trades - Sales</w:t>
            </w:r>
          </w:p>
        </w:tc>
        <w:tc>
          <w:tcPr>
            <w:tcW w:w="20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1,351,922 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27,209 </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pending trades - Purchases</w:t>
            </w:r>
          </w:p>
        </w:tc>
        <w:tc>
          <w:tcPr>
            <w:tcW w:w="20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(6,802,527)</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(178,934)</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Plan's total interest in The Lilly Employee</w:t>
              <w:br/>
              <w:t>Savings Plan Master Trust</w:t>
            </w:r>
          </w:p>
        </w:tc>
        <w:tc>
          <w:tcPr>
            <w:tcW w:w="20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13,014,419,160 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516,179,792 </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Receivables:</w:t>
            </w:r>
          </w:p>
        </w:tc>
        <w:tc>
          <w:tcPr>
            <w:tcW w:w="2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0"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Employer contribution</w:t>
            </w:r>
          </w:p>
        </w:tc>
        <w:tc>
          <w:tcPr>
            <w:tcW w:w="20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13,424,806 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436,956 </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receivable from participants</w:t>
            </w:r>
          </w:p>
        </w:tc>
        <w:tc>
          <w:tcPr>
            <w:tcW w:w="20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28,765,989 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2,636,336 </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Receivables</w:t>
            </w:r>
          </w:p>
        </w:tc>
        <w:tc>
          <w:tcPr>
            <w:tcW w:w="208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42,190,795 </w:t>
            </w:r>
          </w:p>
        </w:tc>
        <w:tc>
          <w:tcPr>
            <w:tcW w:w="13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3,073,292 </w:t>
            </w:r>
          </w:p>
        </w:tc>
        <w:tc>
          <w:tcPr>
            <w:tcW w:w="24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Assets Available for Benefits</w:t>
            </w:r>
          </w:p>
        </w:tc>
        <w:tc>
          <w:tcPr>
            <w:tcW w:w="26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2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13,056,609,955 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0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519,253,084 </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See notes to financial statements. </w:t>
            </w:r>
          </w:p>
        </w:tc>
        <w:tc>
          <w:tcPr>
            <w:tcW w:w="2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2009"/>
        <w:gridCol w:w="1596"/>
        <w:gridCol w:w="1605"/>
        <w:gridCol w:w="266"/>
        <w:gridCol w:w="1822"/>
        <w:gridCol w:w="137"/>
        <w:gridCol w:w="137"/>
        <w:gridCol w:w="137"/>
        <w:gridCol w:w="137"/>
        <w:gridCol w:w="319"/>
        <w:gridCol w:w="1800"/>
        <w:gridCol w:w="240"/>
      </w:tblGrid>
      <w:tr>
        <w:trPr/>
        <w:tc>
          <w:tcPr>
            <w:tcW w:w="2009" w:type="dxa"/>
            <w:tcBorders/>
            <w:vAlign w:val="center"/>
          </w:tcPr>
          <w:p>
            <w:pPr>
              <w:pStyle w:val="TableContents"/>
              <w:bidi w:val="0"/>
              <w:spacing w:before="0" w:after="283"/>
              <w:jc w:val="left"/>
              <w:rPr>
                <w:sz w:val="4"/>
                <w:szCs w:val="4"/>
              </w:rPr>
            </w:pPr>
            <w:r>
              <w:rPr>
                <w:sz w:val="4"/>
                <w:szCs w:val="4"/>
              </w:rPr>
            </w:r>
          </w:p>
        </w:tc>
        <w:tc>
          <w:tcPr>
            <w:tcW w:w="1596" w:type="dxa"/>
            <w:tcBorders/>
            <w:vAlign w:val="center"/>
          </w:tcPr>
          <w:p>
            <w:pPr>
              <w:pStyle w:val="TableContents"/>
              <w:bidi w:val="0"/>
              <w:spacing w:before="0" w:after="283"/>
              <w:jc w:val="left"/>
              <w:rPr>
                <w:sz w:val="4"/>
                <w:szCs w:val="4"/>
              </w:rPr>
            </w:pPr>
            <w:r>
              <w:rPr>
                <w:sz w:val="4"/>
                <w:szCs w:val="4"/>
              </w:rPr>
            </w:r>
          </w:p>
        </w:tc>
        <w:tc>
          <w:tcPr>
            <w:tcW w:w="160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822"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80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The Lilly Employee 401(k) Plan and</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The Savings Plan for Lilly Affiliate Employees in Puerto Rico</w:t>
            </w:r>
          </w:p>
        </w:tc>
      </w:tr>
      <w:tr>
        <w:trPr/>
        <w:tc>
          <w:tcPr>
            <w:tcW w:w="5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Statements of Net Assets Available for Benefits</w:t>
            </w:r>
          </w:p>
        </w:tc>
      </w:tr>
      <w:tr>
        <w:trPr/>
        <w:tc>
          <w:tcPr>
            <w:tcW w:w="5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December 31, 2023</w:t>
            </w:r>
          </w:p>
        </w:tc>
      </w:tr>
      <w:tr>
        <w:trPr/>
        <w:tc>
          <w:tcPr>
            <w:tcW w:w="5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The Savings </w:t>
              <w:br/>
              <w:t xml:space="preserve">Plan for Lilly </w:t>
              <w:br/>
              <w:t xml:space="preserve">Affiliate Employees in Puerto Rico </w:t>
            </w:r>
          </w:p>
        </w:tc>
      </w:tr>
      <w:tr>
        <w:trPr/>
        <w:tc>
          <w:tcPr>
            <w:tcW w:w="5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 Lilly Employee</w:t>
              <w:br/>
              <w:t xml:space="preserve"> 401(k) Plan </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5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3"/>
            <w:vMerge w:val="continue"/>
            <w:tcBorders/>
            <w:tcMar>
              <w:top w:w="0" w:type="dxa"/>
              <w:left w:w="0" w:type="dxa"/>
              <w:bottom w:w="0" w:type="dxa"/>
              <w:right w:w="0" w:type="dxa"/>
            </w:tcMar>
            <w:vAlign w:val="center"/>
          </w:tcPr>
          <w:p>
            <w:pPr>
              <w:pStyle w:val="Normal"/>
              <w:bidi w:val="0"/>
              <w:jc w:val="left"/>
              <w:rPr/>
            </w:pPr>
            <w:r>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5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3"/>
            <w:vMerge w:val="continue"/>
            <w:tcBorders/>
            <w:tcMar>
              <w:top w:w="0" w:type="dxa"/>
              <w:left w:w="0" w:type="dxa"/>
              <w:bottom w:w="0" w:type="dxa"/>
              <w:right w:w="0" w:type="dxa"/>
            </w:tcMar>
            <w:vAlign w:val="center"/>
          </w:tcPr>
          <w:p>
            <w:pPr>
              <w:pStyle w:val="Normal"/>
              <w:bidi w:val="0"/>
              <w:jc w:val="left"/>
              <w:rPr/>
            </w:pPr>
            <w:r>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5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3"/>
            <w:vMerge w:val="continue"/>
            <w:tcBorders/>
            <w:tcMar>
              <w:top w:w="0" w:type="dxa"/>
              <w:left w:w="0" w:type="dxa"/>
              <w:bottom w:w="0" w:type="dxa"/>
              <w:right w:w="0" w:type="dxa"/>
            </w:tcMar>
            <w:vAlign w:val="center"/>
          </w:tcPr>
          <w:p>
            <w:pPr>
              <w:pStyle w:val="Normal"/>
              <w:bidi w:val="0"/>
              <w:jc w:val="left"/>
              <w:rPr/>
            </w:pPr>
            <w:r>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5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22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 Plan's interest in net assets of The Lilly Employee Savings Plan Master Trust: (Notes 3 and 4)</w:t>
            </w:r>
          </w:p>
        </w:tc>
        <w:tc>
          <w:tcPr>
            <w:tcW w:w="2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0"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Registered investment companies</w:t>
            </w:r>
          </w:p>
        </w:tc>
        <w:tc>
          <w:tcPr>
            <w:tcW w:w="26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2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336,555,962 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0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5,070,185 </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Self-directed brokerage accounts</w:t>
            </w:r>
          </w:p>
        </w:tc>
        <w:tc>
          <w:tcPr>
            <w:tcW w:w="20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293,536,365 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2,080,270 </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Eli Lilly and Company common stock</w:t>
            </w:r>
          </w:p>
        </w:tc>
        <w:tc>
          <w:tcPr>
            <w:tcW w:w="20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2,666,987,306 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173,154,575 </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 common/collective trusts</w:t>
            </w:r>
          </w:p>
        </w:tc>
        <w:tc>
          <w:tcPr>
            <w:tcW w:w="20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6,860,538,728 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208,645,433 </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Synthetic GICs, at contract value</w:t>
            </w:r>
          </w:p>
        </w:tc>
        <w:tc>
          <w:tcPr>
            <w:tcW w:w="20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932,994,905 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50,131,737 </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income and pending trades - Sales</w:t>
            </w:r>
          </w:p>
        </w:tc>
        <w:tc>
          <w:tcPr>
            <w:tcW w:w="20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3,340,013 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141,546 </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pending trades - Purchases</w:t>
            </w:r>
          </w:p>
        </w:tc>
        <w:tc>
          <w:tcPr>
            <w:tcW w:w="20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(4,926,436)</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(115,913)</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Plan's total interest in The Lilly Employee</w:t>
              <w:br/>
              <w:t>Savings Plan Master Trust</w:t>
            </w:r>
          </w:p>
        </w:tc>
        <w:tc>
          <w:tcPr>
            <w:tcW w:w="20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11,089,026,843 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439,107,833 </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Receivables:</w:t>
            </w:r>
          </w:p>
        </w:tc>
        <w:tc>
          <w:tcPr>
            <w:tcW w:w="2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0"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Employer contribution</w:t>
            </w:r>
          </w:p>
        </w:tc>
        <w:tc>
          <w:tcPr>
            <w:tcW w:w="20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18,106,166 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424,706 </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receivable from participants</w:t>
            </w:r>
          </w:p>
        </w:tc>
        <w:tc>
          <w:tcPr>
            <w:tcW w:w="20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26,081,722 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2,338,156 </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Receivables</w:t>
            </w:r>
          </w:p>
        </w:tc>
        <w:tc>
          <w:tcPr>
            <w:tcW w:w="208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44,187,888 </w:t>
            </w:r>
          </w:p>
        </w:tc>
        <w:tc>
          <w:tcPr>
            <w:tcW w:w="13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2,762,862 </w:t>
            </w:r>
          </w:p>
        </w:tc>
        <w:tc>
          <w:tcPr>
            <w:tcW w:w="24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Assets Available for Benefits</w:t>
            </w:r>
          </w:p>
        </w:tc>
        <w:tc>
          <w:tcPr>
            <w:tcW w:w="26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2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11,133,214,731 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0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441,870,695 </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See notes to financial statements. </w:t>
            </w:r>
          </w:p>
        </w:tc>
        <w:tc>
          <w:tcPr>
            <w:tcW w:w="2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930"/>
        <w:gridCol w:w="1662"/>
        <w:gridCol w:w="1678"/>
        <w:gridCol w:w="264"/>
        <w:gridCol w:w="1806"/>
        <w:gridCol w:w="136"/>
        <w:gridCol w:w="136"/>
        <w:gridCol w:w="136"/>
        <w:gridCol w:w="136"/>
        <w:gridCol w:w="315"/>
        <w:gridCol w:w="1773"/>
        <w:gridCol w:w="233"/>
      </w:tblGrid>
      <w:tr>
        <w:trPr/>
        <w:tc>
          <w:tcPr>
            <w:tcW w:w="1930" w:type="dxa"/>
            <w:tcBorders/>
            <w:vAlign w:val="center"/>
          </w:tcPr>
          <w:p>
            <w:pPr>
              <w:pStyle w:val="TableContents"/>
              <w:bidi w:val="0"/>
              <w:spacing w:before="0" w:after="283"/>
              <w:jc w:val="left"/>
              <w:rPr>
                <w:sz w:val="4"/>
                <w:szCs w:val="4"/>
              </w:rPr>
            </w:pPr>
            <w:r>
              <w:rPr>
                <w:sz w:val="4"/>
                <w:szCs w:val="4"/>
              </w:rPr>
            </w:r>
          </w:p>
        </w:tc>
        <w:tc>
          <w:tcPr>
            <w:tcW w:w="1662" w:type="dxa"/>
            <w:tcBorders/>
            <w:vAlign w:val="center"/>
          </w:tcPr>
          <w:p>
            <w:pPr>
              <w:pStyle w:val="TableContents"/>
              <w:bidi w:val="0"/>
              <w:spacing w:before="0" w:after="283"/>
              <w:jc w:val="left"/>
              <w:rPr>
                <w:sz w:val="4"/>
                <w:szCs w:val="4"/>
              </w:rPr>
            </w:pPr>
            <w:r>
              <w:rPr>
                <w:sz w:val="4"/>
                <w:szCs w:val="4"/>
              </w:rPr>
            </w:r>
          </w:p>
        </w:tc>
        <w:tc>
          <w:tcPr>
            <w:tcW w:w="1678"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80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r>
      <w:tr>
        <w:trPr/>
        <w:tc>
          <w:tcPr>
            <w:tcW w:w="5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The Lilly Employee 401(k) Plan and</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The Savings Plan for Lilly Affiliate Employees in Puerto Rico</w:t>
            </w:r>
          </w:p>
        </w:tc>
      </w:tr>
      <w:tr>
        <w:trPr/>
        <w:tc>
          <w:tcPr>
            <w:tcW w:w="5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Statements of Changes in Net Assets Available for Benefits</w:t>
            </w:r>
          </w:p>
        </w:tc>
      </w:tr>
      <w:tr>
        <w:trPr/>
        <w:tc>
          <w:tcPr>
            <w:tcW w:w="5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Year Ended December 31, 2024</w:t>
            </w:r>
          </w:p>
        </w:tc>
      </w:tr>
      <w:tr>
        <w:trPr/>
        <w:tc>
          <w:tcPr>
            <w:tcW w:w="5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The Savings </w:t>
              <w:br/>
              <w:t xml:space="preserve">Plan for Lilly </w:t>
              <w:br/>
              <w:t xml:space="preserve">Affiliate Employees in Puerto Rico </w:t>
            </w:r>
          </w:p>
        </w:tc>
      </w:tr>
      <w:tr>
        <w:trPr/>
        <w:tc>
          <w:tcPr>
            <w:tcW w:w="5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The Lilly Employee </w:t>
              <w:br/>
              <w:t xml:space="preserve">401(k) Plan </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5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6" w:type="dxa"/>
            <w:gridSpan w:val="3"/>
            <w:vMerge w:val="continue"/>
            <w:tcBorders/>
            <w:tcMar>
              <w:top w:w="0" w:type="dxa"/>
              <w:left w:w="0" w:type="dxa"/>
              <w:bottom w:w="0" w:type="dxa"/>
              <w:right w:w="0" w:type="dxa"/>
            </w:tcMar>
            <w:vAlign w:val="center"/>
          </w:tcPr>
          <w:p>
            <w:pPr>
              <w:pStyle w:val="Normal"/>
              <w:bidi w:val="0"/>
              <w:jc w:val="left"/>
              <w:rPr/>
            </w:pPr>
            <w:r>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5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6" w:type="dxa"/>
            <w:gridSpan w:val="3"/>
            <w:vMerge w:val="continue"/>
            <w:tcBorders/>
            <w:tcMar>
              <w:top w:w="0" w:type="dxa"/>
              <w:left w:w="0" w:type="dxa"/>
              <w:bottom w:w="0" w:type="dxa"/>
              <w:right w:w="0" w:type="dxa"/>
            </w:tcMar>
            <w:vAlign w:val="center"/>
          </w:tcPr>
          <w:p>
            <w:pPr>
              <w:pStyle w:val="Normal"/>
              <w:bidi w:val="0"/>
              <w:jc w:val="left"/>
              <w:rPr/>
            </w:pPr>
            <w:r>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5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6" w:type="dxa"/>
            <w:gridSpan w:val="3"/>
            <w:vMerge w:val="continue"/>
            <w:tcBorders/>
            <w:tcMar>
              <w:top w:w="0" w:type="dxa"/>
              <w:left w:w="0" w:type="dxa"/>
              <w:bottom w:w="0" w:type="dxa"/>
              <w:right w:w="0" w:type="dxa"/>
            </w:tcMar>
            <w:vAlign w:val="center"/>
          </w:tcPr>
          <w:p>
            <w:pPr>
              <w:pStyle w:val="Normal"/>
              <w:bidi w:val="0"/>
              <w:jc w:val="left"/>
              <w:rPr/>
            </w:pPr>
            <w:r>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5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w:t>
            </w:r>
          </w:p>
        </w:tc>
        <w:tc>
          <w:tcPr>
            <w:tcW w:w="2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0"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Contributions:</w:t>
            </w:r>
          </w:p>
        </w:tc>
        <w:tc>
          <w:tcPr>
            <w:tcW w:w="2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Participants</w:t>
            </w:r>
          </w:p>
        </w:tc>
        <w:tc>
          <w:tcPr>
            <w:tcW w:w="26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0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384,505,265 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7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9,566,515 </w:t>
            </w:r>
          </w:p>
        </w:tc>
        <w:tc>
          <w:tcPr>
            <w:tcW w:w="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Employer</w:t>
            </w:r>
          </w:p>
        </w:tc>
        <w:tc>
          <w:tcPr>
            <w:tcW w:w="20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172,858,045 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5,326,069 </w:t>
            </w:r>
          </w:p>
        </w:tc>
        <w:tc>
          <w:tcPr>
            <w:tcW w:w="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Contributions</w:t>
            </w:r>
          </w:p>
        </w:tc>
        <w:tc>
          <w:tcPr>
            <w:tcW w:w="20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557,363,310 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14,892,584 </w:t>
            </w:r>
          </w:p>
        </w:tc>
        <w:tc>
          <w:tcPr>
            <w:tcW w:w="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 The Lilly Employee Savings Plan Master Trust investment income, net of administrative fees (Note 3)</w:t>
            </w:r>
          </w:p>
        </w:tc>
        <w:tc>
          <w:tcPr>
            <w:tcW w:w="20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2,117,973,563 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93,128,938 </w:t>
            </w:r>
          </w:p>
        </w:tc>
        <w:tc>
          <w:tcPr>
            <w:tcW w:w="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on notes receivable from participants</w:t>
            </w:r>
          </w:p>
        </w:tc>
        <w:tc>
          <w:tcPr>
            <w:tcW w:w="20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2,036,936 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186,680 </w:t>
            </w:r>
          </w:p>
        </w:tc>
        <w:tc>
          <w:tcPr>
            <w:tcW w:w="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Additions</w:t>
            </w:r>
          </w:p>
        </w:tc>
        <w:tc>
          <w:tcPr>
            <w:tcW w:w="20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2,677,373,809 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108,208,202 </w:t>
            </w:r>
          </w:p>
        </w:tc>
        <w:tc>
          <w:tcPr>
            <w:tcW w:w="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Deductions:</w:t>
            </w:r>
          </w:p>
        </w:tc>
        <w:tc>
          <w:tcPr>
            <w:tcW w:w="2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Participant withdrawals</w:t>
            </w:r>
          </w:p>
        </w:tc>
        <w:tc>
          <w:tcPr>
            <w:tcW w:w="20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765,147,691 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30,598,303 </w:t>
            </w:r>
          </w:p>
        </w:tc>
        <w:tc>
          <w:tcPr>
            <w:tcW w:w="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Administrative expenses</w:t>
            </w:r>
          </w:p>
        </w:tc>
        <w:tc>
          <w:tcPr>
            <w:tcW w:w="20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1,856,531 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227,510 </w:t>
            </w:r>
          </w:p>
        </w:tc>
        <w:tc>
          <w:tcPr>
            <w:tcW w:w="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Deductions</w:t>
            </w:r>
          </w:p>
        </w:tc>
        <w:tc>
          <w:tcPr>
            <w:tcW w:w="207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767,004,222 </w:t>
            </w:r>
          </w:p>
        </w:tc>
        <w:tc>
          <w:tcPr>
            <w:tcW w:w="13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30,825,813 </w:t>
            </w:r>
          </w:p>
        </w:tc>
        <w:tc>
          <w:tcPr>
            <w:tcW w:w="23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Prior to Transfers</w:t>
            </w:r>
          </w:p>
        </w:tc>
        <w:tc>
          <w:tcPr>
            <w:tcW w:w="20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1,910,369,587 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77,382,389 </w:t>
            </w:r>
          </w:p>
        </w:tc>
        <w:tc>
          <w:tcPr>
            <w:tcW w:w="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Transfers from Other Plans</w:t>
            </w:r>
          </w:p>
        </w:tc>
        <w:tc>
          <w:tcPr>
            <w:tcW w:w="20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13,025,637 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w:t>
            </w:r>
          </w:p>
        </w:tc>
        <w:tc>
          <w:tcPr>
            <w:tcW w:w="20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1,923,395,224 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77,382,389 </w:t>
            </w:r>
          </w:p>
        </w:tc>
        <w:tc>
          <w:tcPr>
            <w:tcW w:w="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assets available for benefits at beginning of year</w:t>
            </w:r>
          </w:p>
        </w:tc>
        <w:tc>
          <w:tcPr>
            <w:tcW w:w="20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11,133,214,731 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441,870,695 </w:t>
            </w:r>
          </w:p>
        </w:tc>
        <w:tc>
          <w:tcPr>
            <w:tcW w:w="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assets available for benefits at end of year</w:t>
            </w:r>
          </w:p>
        </w:tc>
        <w:tc>
          <w:tcPr>
            <w:tcW w:w="26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13,056,609,955 </w:t>
            </w:r>
          </w:p>
        </w:tc>
        <w:tc>
          <w:tcPr>
            <w:tcW w:w="13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7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519,253,084 </w:t>
            </w:r>
          </w:p>
        </w:tc>
        <w:tc>
          <w:tcPr>
            <w:tcW w:w="23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See notes to financial statements. </w:t>
            </w:r>
          </w:p>
        </w:tc>
        <w:tc>
          <w:tcPr>
            <w:tcW w:w="2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0"/>
        <w:jc w:val="center"/>
        <w:rPr>
          <w:rFonts w:ascii="Times New Roman;sans-serif" w:hAnsi="Times New Roman;sans-serif"/>
          <w:b w:val="false"/>
          <w:color w:val="000000"/>
          <w:sz w:val="28"/>
        </w:rPr>
      </w:pPr>
      <w:r>
        <w:rPr>
          <w:rFonts w:ascii="Times New Roman;sans-serif" w:hAnsi="Times New Roman;sans-serif"/>
          <w:b w:val="false"/>
          <w:color w:val="000000"/>
          <w:sz w:val="28"/>
        </w:rPr>
        <w:t>The Lilly Employee 401(k) Plan and</w:t>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24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417" w:before="0" w:after="240"/>
        <w:jc w:val="center"/>
        <w:rPr>
          <w:rFonts w:ascii="Times New Roman;sans-serif" w:hAnsi="Times New Roman;sans-serif"/>
          <w:b w:val="false"/>
          <w:color w:val="000000"/>
          <w:sz w:val="28"/>
        </w:rPr>
      </w:pPr>
      <w:r>
        <w:rPr>
          <w:rFonts w:ascii="Times New Roman;sans-serif" w:hAnsi="Times New Roman;sans-serif"/>
          <w:b w:val="false"/>
          <w:color w:val="000000"/>
          <w:sz w:val="28"/>
        </w:rPr>
        <w:t>The Savings Plan for Lilly Affiliate Employees in Puerto Rico</w:t>
      </w:r>
    </w:p>
    <w:p>
      <w:pPr>
        <w:pStyle w:val="TextBody"/>
        <w:bidi w:val="0"/>
        <w:spacing w:lineRule="auto" w:line="417" w:before="0" w:after="240"/>
        <w:jc w:val="center"/>
        <w:rPr>
          <w:rFonts w:ascii="Times New Roman;sans-serif" w:hAnsi="Times New Roman;sans-serif"/>
          <w:b w:val="false"/>
          <w:color w:val="000000"/>
          <w:sz w:val="28"/>
        </w:rPr>
      </w:pPr>
      <w:r>
        <w:rPr>
          <w:rFonts w:ascii="Times New Roman;sans-serif" w:hAnsi="Times New Roman;sans-serif"/>
          <w:b w:val="false"/>
          <w:color w:val="000000"/>
          <w:sz w:val="28"/>
        </w:rPr>
        <w:t>Notes to Financial Statements</w:t>
      </w:r>
    </w:p>
    <w:p>
      <w:pPr>
        <w:pStyle w:val="TextBody"/>
        <w:bidi w:val="0"/>
        <w:spacing w:lineRule="auto" w:line="417" w:before="0" w:after="240"/>
        <w:jc w:val="center"/>
        <w:rPr>
          <w:rFonts w:ascii="Times New Roman;sans-serif" w:hAnsi="Times New Roman;sans-serif"/>
          <w:b w:val="false"/>
          <w:color w:val="000000"/>
          <w:sz w:val="28"/>
        </w:rPr>
      </w:pPr>
      <w:r>
        <w:rPr>
          <w:rFonts w:ascii="Times New Roman;sans-serif" w:hAnsi="Times New Roman;sans-serif"/>
          <w:b w:val="false"/>
          <w:color w:val="000000"/>
          <w:sz w:val="28"/>
        </w:rPr>
        <w:t xml:space="preserve">December 31, 2024 and 2023 </w:t>
      </w:r>
    </w:p>
    <w:p>
      <w:pPr>
        <w:pStyle w:val="TextBody"/>
        <w:bidi w:val="0"/>
        <w:spacing w:lineRule="auto" w:line="288" w:before="0" w:after="280"/>
        <w:ind w:left="0" w:right="0" w:hanging="225"/>
        <w:jc w:val="left"/>
        <w:rPr>
          <w:rFonts w:ascii="Times New Roman;sans-serif" w:hAnsi="Times New Roman;sans-serif"/>
          <w:b/>
          <w:color w:val="000000"/>
          <w:sz w:val="24"/>
        </w:rPr>
      </w:pPr>
      <w:r>
        <w:rPr>
          <w:rFonts w:ascii="Times New Roman;sans-serif" w:hAnsi="Times New Roman;sans-serif"/>
          <w:b/>
          <w:color w:val="000000"/>
          <w:sz w:val="24"/>
        </w:rPr>
        <w:t>Note 1 - Description of the Plans</w:t>
      </w:r>
    </w:p>
    <w:p>
      <w:pPr>
        <w:pStyle w:val="TextBody"/>
        <w:bidi w:val="0"/>
        <w:spacing w:lineRule="auto" w:line="288" w:before="0" w:after="28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accompanying financial statements comprise the employee savings plans of Eli Lilly and Company (the Company) and certain of the Company’s United States (U.S.) and Puerto Rico affiliates that participate in The Lilly Employee Savings Plan Master Trust (the Master Trust). </w:t>
      </w:r>
    </w:p>
    <w:p>
      <w:pPr>
        <w:pStyle w:val="TextBody"/>
        <w:bidi w:val="0"/>
        <w:spacing w:lineRule="auto" w:line="288" w:before="0" w:after="280"/>
        <w:ind w:left="0" w:right="0" w:hanging="135"/>
        <w:jc w:val="left"/>
        <w:rPr>
          <w:rFonts w:ascii="Times New Roman;sans-serif" w:hAnsi="Times New Roman;sans-serif"/>
          <w:b/>
          <w:color w:val="000000"/>
          <w:sz w:val="24"/>
        </w:rPr>
      </w:pPr>
      <w:r>
        <w:rPr>
          <w:rFonts w:ascii="Times New Roman;sans-serif" w:hAnsi="Times New Roman;sans-serif"/>
          <w:b/>
          <w:color w:val="000000"/>
          <w:sz w:val="24"/>
        </w:rPr>
        <w:t>General</w:t>
      </w:r>
    </w:p>
    <w:p>
      <w:pPr>
        <w:pStyle w:val="TextBody"/>
        <w:bidi w:val="0"/>
        <w:spacing w:lineRule="auto" w:line="288" w:before="0" w:after="280"/>
        <w:jc w:val="both"/>
        <w:rPr>
          <w:rFonts w:ascii="Times New Roman;sans-serif" w:hAnsi="Times New Roman;sans-serif"/>
          <w:b w:val="false"/>
          <w:color w:val="000000"/>
          <w:sz w:val="24"/>
        </w:rPr>
      </w:pPr>
      <w:r>
        <w:rPr>
          <w:rFonts w:ascii="Times New Roman;sans-serif" w:hAnsi="Times New Roman;sans-serif"/>
          <w:b w:val="false"/>
          <w:color w:val="000000"/>
          <w:sz w:val="24"/>
        </w:rPr>
        <w:t>The Lilly Employee 401(k) Plan (the 401(k) Plan) was established for the benefit of eligible employees of Eli Lilly and Company and participating subsidiaries and affiliated companies. The Savings Plan for Lilly Affiliate Employees in Puerto Rico (the Puerto Rico Plan) was established for the benefit of resident eligible employees of, and certain employees within, the Commonwealth of Puerto Rico. The accompanying financial statements include the net assets and related activity of the 401(k) Plan and the Puerto Rico Plan.</w:t>
      </w:r>
    </w:p>
    <w:p>
      <w:pPr>
        <w:pStyle w:val="TextBody"/>
        <w:bidi w:val="0"/>
        <w:spacing w:lineRule="auto" w:line="288" w:before="0" w:after="28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following description of the 401(k) Plan and the Puerto Rico Plan (collectively, the Plans) provides only general information. Participants should refer to the applicable plan documents and the Plans’ summary plan descriptions for more complete information. </w:t>
      </w:r>
    </w:p>
    <w:p>
      <w:pPr>
        <w:pStyle w:val="TextBody"/>
        <w:bidi w:val="0"/>
        <w:spacing w:lineRule="auto" w:line="288" w:before="0" w:after="280"/>
        <w:jc w:val="both"/>
        <w:rPr>
          <w:rFonts w:ascii="Times New Roman;sans-serif" w:hAnsi="Times New Roman;sans-serif"/>
          <w:b w:val="false"/>
          <w:color w:val="000000"/>
          <w:sz w:val="24"/>
        </w:rPr>
      </w:pPr>
      <w:r>
        <w:rPr>
          <w:rFonts w:ascii="Times New Roman;sans-serif" w:hAnsi="Times New Roman;sans-serif"/>
          <w:b w:val="false"/>
          <w:color w:val="000000"/>
          <w:sz w:val="24"/>
        </w:rPr>
        <w:t>The Northern Trust Company and Banco Popular de Puerto Rico are the trustees of the 401(k) Plan and the Puerto Rico Plan, respectively. Alight Solutions, LLC is the recordkeeper of the Plans. The Company is the plan sponsor for the 401(k) Plan, and Lilly del Caribe, Inc. is the plan sponsor for the Puerto Rico Plan. The Employee Benefits Committee of the Company is the plan administrator for the Plans.</w:t>
      </w:r>
    </w:p>
    <w:p>
      <w:pPr>
        <w:pStyle w:val="TextBody"/>
        <w:bidi w:val="0"/>
        <w:spacing w:lineRule="auto" w:line="288" w:before="0" w:after="280"/>
        <w:jc w:val="both"/>
        <w:rPr>
          <w:rFonts w:ascii="Times New Roman;sans-serif" w:hAnsi="Times New Roman;sans-serif"/>
          <w:b w:val="false"/>
          <w:color w:val="000000"/>
          <w:sz w:val="24"/>
        </w:rPr>
      </w:pPr>
      <w:r>
        <w:rPr>
          <w:rFonts w:ascii="Times New Roman;sans-serif" w:hAnsi="Times New Roman;sans-serif"/>
          <w:b w:val="false"/>
          <w:color w:val="000000"/>
          <w:sz w:val="24"/>
        </w:rPr>
        <w:t>Full-time employees become eligible for participation in the Plans on the first day of employment. Seasonal, part-time, or other special-status employees must generally complete 1,000 hours of service within a 12-consecutive-month period to be eligible. The Plans allow for participant contributions from 1% to 50% of base compensation up to applicable regulatory limits. Participants have the option of enrolling in a program to increase their contribution rates automatically each year. Matching contributions by the Company are currently 100% of participant contributions up to the 6% participant contribution level, subject to applicable regulatory limits.</w:t>
      </w:r>
    </w:p>
    <w:p>
      <w:pPr>
        <w:pStyle w:val="TextBody"/>
        <w:bidi w:val="0"/>
        <w:spacing w:lineRule="auto" w:line="276" w:before="0" w:after="240"/>
        <w:ind w:left="0" w:right="0" w:hanging="135"/>
        <w:jc w:val="left"/>
        <w:rPr>
          <w:rFonts w:ascii="Times New Roman;sans-serif" w:hAnsi="Times New Roman;sans-serif"/>
          <w:b/>
          <w:color w:val="000000"/>
          <w:sz w:val="24"/>
        </w:rPr>
      </w:pPr>
      <w:r>
        <w:rPr>
          <w:rFonts w:ascii="Times New Roman;sans-serif" w:hAnsi="Times New Roman;sans-serif"/>
          <w:b/>
          <w:color w:val="000000"/>
          <w:sz w:val="24"/>
        </w:rPr>
        <w:t>Contributions</w:t>
      </w:r>
    </w:p>
    <w:p>
      <w:pPr>
        <w:pStyle w:val="TextBody"/>
        <w:bidi w:val="0"/>
        <w:spacing w:lineRule="auto" w:line="288" w:before="0" w:after="280"/>
        <w:jc w:val="both"/>
        <w:rPr>
          <w:rFonts w:ascii="Times New Roman;sans-serif" w:hAnsi="Times New Roman;sans-serif"/>
          <w:b w:val="false"/>
          <w:color w:val="000000"/>
          <w:sz w:val="24"/>
        </w:rPr>
      </w:pPr>
      <w:r>
        <w:rPr>
          <w:rFonts w:ascii="Times New Roman;sans-serif" w:hAnsi="Times New Roman;sans-serif"/>
          <w:b w:val="false"/>
          <w:color w:val="000000"/>
          <w:sz w:val="24"/>
        </w:rPr>
        <w:t>Participants may designate that their contributions be invested in any of the investment options offered by the Plans. In addition, participants generally can buy and sell investments offered by the Plans, including the Eli Lilly and Company common stock fund (the Company Stock Fund), and transfer money from any of the investment options into and out of any of the other investment options. Company matching contributions are allocated based on a participant’s investment elections for their own contributions.</w:t>
      </w:r>
    </w:p>
    <w:p>
      <w:pPr>
        <w:pStyle w:val="TextBody"/>
        <w:bidi w:val="0"/>
        <w:spacing w:before="0" w:after="280"/>
        <w:jc w:val="both"/>
        <w:rPr/>
      </w:pPr>
      <w:r>
        <w:rPr/>
      </w:r>
    </w:p>
    <w:p>
      <w:pPr>
        <w:pStyle w:val="TextBody"/>
        <w:bidi w:val="0"/>
        <w:spacing w:lineRule="auto" w:line="417" w:before="0" w:after="0"/>
        <w:jc w:val="center"/>
        <w:rPr>
          <w:rFonts w:ascii="Times New Roman;sans-serif" w:hAnsi="Times New Roman;sans-serif"/>
          <w:b w:val="false"/>
          <w:color w:val="000000"/>
          <w:sz w:val="28"/>
        </w:rPr>
      </w:pPr>
      <w:r>
        <w:rPr>
          <w:rFonts w:ascii="Times New Roman;sans-serif" w:hAnsi="Times New Roman;sans-serif"/>
          <w:b w:val="false"/>
          <w:color w:val="000000"/>
          <w:sz w:val="28"/>
        </w:rPr>
        <w:t>The Lilly Employee 401(k) Plan and</w:t>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24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417" w:before="0" w:after="240"/>
        <w:jc w:val="center"/>
        <w:rPr>
          <w:rFonts w:ascii="Times New Roman;sans-serif" w:hAnsi="Times New Roman;sans-serif"/>
          <w:b w:val="false"/>
          <w:color w:val="000000"/>
          <w:sz w:val="28"/>
        </w:rPr>
      </w:pPr>
      <w:r>
        <w:rPr>
          <w:rFonts w:ascii="Times New Roman;sans-serif" w:hAnsi="Times New Roman;sans-serif"/>
          <w:b w:val="false"/>
          <w:color w:val="000000"/>
          <w:sz w:val="28"/>
        </w:rPr>
        <w:t>The Savings Plan for Lilly Affiliate Employees in Puerto Rico</w:t>
      </w:r>
    </w:p>
    <w:p>
      <w:pPr>
        <w:pStyle w:val="TextBody"/>
        <w:bidi w:val="0"/>
        <w:spacing w:lineRule="auto" w:line="417" w:before="0" w:after="240"/>
        <w:jc w:val="center"/>
        <w:rPr>
          <w:rFonts w:ascii="Times New Roman;sans-serif" w:hAnsi="Times New Roman;sans-serif"/>
          <w:b w:val="false"/>
          <w:color w:val="000000"/>
          <w:sz w:val="28"/>
        </w:rPr>
      </w:pPr>
      <w:r>
        <w:rPr>
          <w:rFonts w:ascii="Times New Roman;sans-serif" w:hAnsi="Times New Roman;sans-serif"/>
          <w:b w:val="false"/>
          <w:color w:val="000000"/>
          <w:sz w:val="28"/>
        </w:rPr>
        <w:t>Notes to Financial Statements, cont.</w:t>
      </w:r>
    </w:p>
    <w:p>
      <w:pPr>
        <w:pStyle w:val="TextBody"/>
        <w:bidi w:val="0"/>
        <w:spacing w:lineRule="auto" w:line="417" w:before="0" w:after="240"/>
        <w:jc w:val="center"/>
        <w:rPr>
          <w:rFonts w:ascii="Times New Roman;sans-serif" w:hAnsi="Times New Roman;sans-serif"/>
          <w:b w:val="false"/>
          <w:color w:val="000000"/>
          <w:sz w:val="28"/>
        </w:rPr>
      </w:pPr>
      <w:r>
        <w:rPr>
          <w:rFonts w:ascii="Times New Roman;sans-serif" w:hAnsi="Times New Roman;sans-serif"/>
          <w:b w:val="false"/>
          <w:color w:val="000000"/>
          <w:sz w:val="28"/>
        </w:rPr>
        <w:t>December 31, 2024 and 2023</w:t>
      </w:r>
    </w:p>
    <w:p>
      <w:pPr>
        <w:pStyle w:val="TextBody"/>
        <w:bidi w:val="0"/>
        <w:spacing w:before="0" w:after="0"/>
        <w:jc w:val="left"/>
        <w:rPr/>
      </w:pPr>
      <w:r>
        <w:rPr/>
      </w:r>
    </w:p>
    <w:p>
      <w:pPr>
        <w:pStyle w:val="TextBody"/>
        <w:bidi w:val="0"/>
        <w:spacing w:lineRule="auto" w:line="288" w:before="0" w:after="280"/>
        <w:jc w:val="both"/>
        <w:rPr>
          <w:rFonts w:ascii="Times New Roman;sans-serif" w:hAnsi="Times New Roman;sans-serif"/>
          <w:b w:val="false"/>
          <w:color w:val="000000"/>
          <w:sz w:val="24"/>
        </w:rPr>
      </w:pPr>
      <w:r>
        <w:rPr>
          <w:rFonts w:ascii="Times New Roman;sans-serif" w:hAnsi="Times New Roman;sans-serif"/>
          <w:b w:val="false"/>
          <w:color w:val="000000"/>
          <w:sz w:val="24"/>
        </w:rPr>
        <w:t>The Company Stock Fund invests in the Company's common stock. The total return of the Company Stock Fund will reflect dividend payments to shareholders, as well as capital appreciation or depreciation. Except with respect to certain small dividend amounts, participants also are allowed to take payment of the Company Stock Fund dividends in cash in lieu of having them reinvested in their participant accounts. The Company Stock Fund holds a small percent of assets in cash equivalents for liquidity purposes. Therefore, the Company Stock Fund may not reflect the exact performance of the underlying security over any given time period.</w:t>
      </w:r>
    </w:p>
    <w:p>
      <w:pPr>
        <w:pStyle w:val="TextBody"/>
        <w:bidi w:val="0"/>
        <w:spacing w:lineRule="auto" w:line="288" w:before="0" w:after="280"/>
        <w:jc w:val="both"/>
        <w:rPr>
          <w:rFonts w:ascii="Times New Roman;sans-serif" w:hAnsi="Times New Roman;sans-serif"/>
          <w:b/>
          <w:color w:val="000000"/>
          <w:sz w:val="24"/>
        </w:rPr>
      </w:pPr>
      <w:r>
        <w:rPr>
          <w:rFonts w:ascii="Times New Roman;sans-serif" w:hAnsi="Times New Roman;sans-serif"/>
          <w:b/>
          <w:color w:val="000000"/>
          <w:sz w:val="24"/>
        </w:rPr>
        <w:t>Vesting</w:t>
      </w:r>
    </w:p>
    <w:p>
      <w:pPr>
        <w:pStyle w:val="TextBody"/>
        <w:bidi w:val="0"/>
        <w:spacing w:lineRule="auto" w:line="288" w:before="0" w:after="28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All participants are vested immediately in their own contributions. All active participants vest in 100% of the Company's matching contributions after completing one hour of creditable service. </w:t>
      </w:r>
    </w:p>
    <w:p>
      <w:pPr>
        <w:pStyle w:val="TextBody"/>
        <w:bidi w:val="0"/>
        <w:spacing w:lineRule="auto" w:line="288" w:before="0" w:after="280"/>
        <w:ind w:left="0" w:right="0" w:hanging="135"/>
        <w:jc w:val="left"/>
        <w:rPr>
          <w:rFonts w:ascii="Times New Roman;sans-serif" w:hAnsi="Times New Roman;sans-serif"/>
          <w:b/>
          <w:color w:val="000000"/>
          <w:sz w:val="24"/>
        </w:rPr>
      </w:pPr>
      <w:r>
        <w:rPr>
          <w:rFonts w:ascii="Times New Roman;sans-serif" w:hAnsi="Times New Roman;sans-serif"/>
          <w:b/>
          <w:color w:val="000000"/>
          <w:sz w:val="24"/>
        </w:rPr>
        <w:t>Participant Loans</w:t>
      </w:r>
    </w:p>
    <w:p>
      <w:pPr>
        <w:pStyle w:val="TextBody"/>
        <w:bidi w:val="0"/>
        <w:spacing w:lineRule="auto" w:line="288" w:before="0" w:after="280"/>
        <w:jc w:val="both"/>
        <w:rPr>
          <w:rFonts w:ascii="Times New Roman;sans-serif" w:hAnsi="Times New Roman;sans-serif"/>
          <w:b w:val="false"/>
          <w:color w:val="000000"/>
          <w:sz w:val="24"/>
        </w:rPr>
      </w:pPr>
      <w:r>
        <w:rPr>
          <w:rFonts w:ascii="Times New Roman;sans-serif" w:hAnsi="Times New Roman;sans-serif"/>
          <w:b w:val="false"/>
          <w:color w:val="000000"/>
          <w:sz w:val="24"/>
        </w:rPr>
        <w:t>Participants may borrow from their accounts a minimum of $1,000 and a maximum of the least of (1) one-half of the amount of the participant’s vested account, (2) 90% of the portion of the participant’s account balance attributable to the participant’s pretax contributions and rollover account, and (3) $50,000 (all of which are reduced by any unpaid loan balance). The loans are collateralized by the participant’s vested account and bear interest at prime plus 1%. Should the participant terminate as an employee, the balance of the outstanding loan becomes due and payable.</w:t>
      </w:r>
    </w:p>
    <w:p>
      <w:pPr>
        <w:pStyle w:val="TextBody"/>
        <w:bidi w:val="0"/>
        <w:spacing w:lineRule="auto" w:line="288" w:before="0" w:after="280"/>
        <w:ind w:left="0" w:right="0" w:hanging="135"/>
        <w:jc w:val="left"/>
        <w:rPr>
          <w:rFonts w:ascii="Times New Roman;sans-serif" w:hAnsi="Times New Roman;sans-serif"/>
          <w:b/>
          <w:color w:val="000000"/>
          <w:sz w:val="24"/>
        </w:rPr>
      </w:pPr>
      <w:r>
        <w:rPr>
          <w:rFonts w:ascii="Times New Roman;sans-serif" w:hAnsi="Times New Roman;sans-serif"/>
          <w:b/>
          <w:color w:val="000000"/>
          <w:sz w:val="24"/>
        </w:rPr>
        <w:t>Payment of Benefits</w:t>
      </w:r>
    </w:p>
    <w:p>
      <w:pPr>
        <w:pStyle w:val="TextBody"/>
        <w:bidi w:val="0"/>
        <w:spacing w:lineRule="auto" w:line="288" w:before="0" w:after="280"/>
        <w:jc w:val="left"/>
        <w:rPr>
          <w:rFonts w:ascii="Times New Roman;sans-serif" w:hAnsi="Times New Roman;sans-serif"/>
          <w:b w:val="false"/>
          <w:color w:val="000000"/>
          <w:sz w:val="24"/>
        </w:rPr>
      </w:pPr>
      <w:r>
        <w:rPr>
          <w:rFonts w:ascii="Times New Roman;sans-serif" w:hAnsi="Times New Roman;sans-serif"/>
          <w:b w:val="false"/>
          <w:color w:val="000000"/>
          <w:sz w:val="24"/>
        </w:rPr>
        <w:t>Participants may elect to receive distributions upon termination in the form of one or more lump-sum payments or various installment annuities. Participants may also be eligible to take voluntary, in-service withdrawals, including hardship withdrawals, non-hardship withdrawals, and age 59 ½ withdrawals. Mandatory distributions are made in accordance with the Plans' provisions.</w:t>
      </w:r>
    </w:p>
    <w:p>
      <w:pPr>
        <w:pStyle w:val="TextBody"/>
        <w:bidi w:val="0"/>
        <w:spacing w:lineRule="auto" w:line="288" w:before="0" w:after="280"/>
        <w:jc w:val="left"/>
        <w:rPr>
          <w:rFonts w:ascii="Times New Roman;sans-serif" w:hAnsi="Times New Roman;sans-serif"/>
          <w:b/>
          <w:color w:val="000000"/>
          <w:sz w:val="24"/>
        </w:rPr>
      </w:pPr>
      <w:r>
        <w:rPr>
          <w:rFonts w:ascii="Times New Roman;sans-serif" w:hAnsi="Times New Roman;sans-serif"/>
          <w:b/>
          <w:color w:val="000000"/>
          <w:sz w:val="24"/>
        </w:rPr>
        <w:t>Termination</w:t>
      </w:r>
    </w:p>
    <w:p>
      <w:pPr>
        <w:pStyle w:val="TextBody"/>
        <w:bidi w:val="0"/>
        <w:spacing w:lineRule="auto" w:line="288" w:before="0" w:after="28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Plans are subject to and are intended to comply with the provisions of the Employee Retirement Income Security Act of 1974 (ERISA), as amended, and applicable Internal Revenue Service (IRS) and Commonwealth of Puerto Rico Department of Treasury requirements. The Company has the right to terminate the Plans subject to the provisions of ERISA and the Plans, as established in the applicable plan documents. In the event the Plans are terminated, each participant’s account shall be nonforfeitable with </w:t>
      </w:r>
    </w:p>
    <w:p>
      <w:pPr>
        <w:pStyle w:val="TextBody"/>
        <w:bidi w:val="0"/>
        <w:spacing w:lineRule="auto" w:line="417" w:before="0" w:after="0"/>
        <w:jc w:val="center"/>
        <w:rPr>
          <w:rFonts w:ascii="Times New Roman;sans-serif" w:hAnsi="Times New Roman;sans-serif"/>
          <w:b w:val="false"/>
          <w:color w:val="000000"/>
          <w:sz w:val="28"/>
        </w:rPr>
      </w:pPr>
      <w:r>
        <w:rPr>
          <w:rFonts w:ascii="Times New Roman;sans-serif" w:hAnsi="Times New Roman;sans-serif"/>
          <w:b w:val="false"/>
          <w:color w:val="000000"/>
          <w:sz w:val="28"/>
        </w:rPr>
        <w:t>The Lilly Employee 401(k) Plan and</w:t>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24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417" w:before="0" w:after="240"/>
        <w:jc w:val="center"/>
        <w:rPr>
          <w:rFonts w:ascii="Times New Roman;sans-serif" w:hAnsi="Times New Roman;sans-serif"/>
          <w:b w:val="false"/>
          <w:color w:val="000000"/>
          <w:sz w:val="28"/>
        </w:rPr>
      </w:pPr>
      <w:r>
        <w:rPr>
          <w:rFonts w:ascii="Times New Roman;sans-serif" w:hAnsi="Times New Roman;sans-serif"/>
          <w:b w:val="false"/>
          <w:color w:val="000000"/>
          <w:sz w:val="28"/>
        </w:rPr>
        <w:t>The Savings Plan for Lilly Affiliate Employees in Puerto Rico</w:t>
      </w:r>
    </w:p>
    <w:p>
      <w:pPr>
        <w:pStyle w:val="TextBody"/>
        <w:bidi w:val="0"/>
        <w:spacing w:lineRule="auto" w:line="417" w:before="0" w:after="240"/>
        <w:jc w:val="center"/>
        <w:rPr>
          <w:rFonts w:ascii="Times New Roman;sans-serif" w:hAnsi="Times New Roman;sans-serif"/>
          <w:b w:val="false"/>
          <w:color w:val="000000"/>
          <w:sz w:val="28"/>
        </w:rPr>
      </w:pPr>
      <w:r>
        <w:rPr>
          <w:rFonts w:ascii="Times New Roman;sans-serif" w:hAnsi="Times New Roman;sans-serif"/>
          <w:b w:val="false"/>
          <w:color w:val="000000"/>
          <w:sz w:val="28"/>
        </w:rPr>
        <w:t>Notes to Financial Statements, cont.</w:t>
      </w:r>
    </w:p>
    <w:p>
      <w:pPr>
        <w:pStyle w:val="TextBody"/>
        <w:bidi w:val="0"/>
        <w:spacing w:lineRule="auto" w:line="417" w:before="0" w:after="240"/>
        <w:jc w:val="center"/>
        <w:rPr>
          <w:rFonts w:ascii="Times New Roman;sans-serif" w:hAnsi="Times New Roman;sans-serif"/>
          <w:b w:val="false"/>
          <w:color w:val="000000"/>
          <w:sz w:val="28"/>
        </w:rPr>
      </w:pPr>
      <w:r>
        <w:rPr>
          <w:rFonts w:ascii="Times New Roman;sans-serif" w:hAnsi="Times New Roman;sans-serif"/>
          <w:b w:val="false"/>
          <w:color w:val="000000"/>
          <w:sz w:val="28"/>
        </w:rPr>
        <w:t>December 31, 2024 and 2023</w:t>
      </w:r>
    </w:p>
    <w:p>
      <w:pPr>
        <w:pStyle w:val="TextBody"/>
        <w:bidi w:val="0"/>
        <w:spacing w:before="0" w:after="0"/>
        <w:jc w:val="left"/>
        <w:rPr/>
      </w:pPr>
      <w:r>
        <w:rPr/>
      </w:r>
    </w:p>
    <w:p>
      <w:pPr>
        <w:pStyle w:val="TextBody"/>
        <w:bidi w:val="0"/>
        <w:spacing w:lineRule="auto" w:line="288" w:before="0" w:after="28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respect to both the employee’s and the Company’s contributions, and the net assets are to be set aside for payment of withdrawals by participants. </w:t>
      </w:r>
    </w:p>
    <w:p>
      <w:pPr>
        <w:pStyle w:val="TextBody"/>
        <w:bidi w:val="0"/>
        <w:spacing w:lineRule="auto" w:line="288" w:before="0" w:after="280"/>
        <w:jc w:val="both"/>
        <w:rPr>
          <w:rFonts w:ascii="Times New Roman;sans-serif" w:hAnsi="Times New Roman;sans-serif"/>
          <w:b/>
          <w:color w:val="000000"/>
          <w:sz w:val="24"/>
        </w:rPr>
      </w:pPr>
      <w:r>
        <w:rPr>
          <w:rFonts w:ascii="Times New Roman;sans-serif" w:hAnsi="Times New Roman;sans-serif"/>
          <w:b/>
          <w:color w:val="000000"/>
          <w:sz w:val="24"/>
        </w:rPr>
        <w:t>Administrative Expenses</w:t>
      </w:r>
    </w:p>
    <w:p>
      <w:pPr>
        <w:pStyle w:val="TextBody"/>
        <w:bidi w:val="0"/>
        <w:spacing w:lineRule="auto" w:line="288" w:before="0" w:after="280"/>
        <w:jc w:val="both"/>
        <w:rPr>
          <w:rFonts w:ascii="Times New Roman;sans-serif" w:hAnsi="Times New Roman;sans-serif"/>
          <w:b w:val="false"/>
          <w:color w:val="000000"/>
          <w:sz w:val="24"/>
        </w:rPr>
      </w:pPr>
      <w:r>
        <w:rPr>
          <w:rFonts w:ascii="Times New Roman;sans-serif" w:hAnsi="Times New Roman;sans-serif"/>
          <w:b w:val="false"/>
          <w:color w:val="000000"/>
          <w:sz w:val="24"/>
        </w:rPr>
        <w:t>The Plans' administrative expenses are paid for either by the Plans' participants or by the Plans' sponsors. Administrative expenses that are paid directly by the Plans' sponsors are excluded from these financial statements. Participants are assessed separate fees for certain transactions, including but not limited to, loans, maintaining a self-directed brokerage account, and/or processing of a qualified domestic relations order, as applicable.</w:t>
      </w:r>
    </w:p>
    <w:p>
      <w:pPr>
        <w:pStyle w:val="TextBody"/>
        <w:bidi w:val="0"/>
        <w:spacing w:lineRule="auto" w:line="288" w:before="0" w:after="280"/>
        <w:jc w:val="both"/>
        <w:rPr/>
      </w:pPr>
      <w:r>
        <w:rPr>
          <w:rFonts w:ascii="Times New Roman;sans-serif" w:hAnsi="Times New Roman;sans-serif"/>
          <w:b/>
          <w:color w:val="000000"/>
          <w:sz w:val="24"/>
        </w:rPr>
        <w:t>Note 2 - Significant Accounting Policies</w:t>
      </w:r>
      <w:r>
        <w:rPr>
          <w:rFonts w:ascii="Times New Roman;sans-serif" w:hAnsi="Times New Roman;sans-serif"/>
          <w:b w:val="false"/>
          <w:color w:val="000000"/>
          <w:sz w:val="24"/>
        </w:rPr>
        <w:t>.</w:t>
      </w: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Investment Valuation and Income Recognition</w:t>
      </w:r>
    </w:p>
    <w:p>
      <w:pPr>
        <w:pStyle w:val="TextBody"/>
        <w:bidi w:val="0"/>
        <w:spacing w:before="0" w:after="0"/>
        <w:jc w:val="left"/>
        <w:rPr/>
      </w:pPr>
      <w:r>
        <w:rPr/>
      </w:r>
    </w:p>
    <w:p>
      <w:pPr>
        <w:pStyle w:val="TextBody"/>
        <w:bidi w:val="0"/>
        <w:spacing w:lineRule="auto" w:line="288" w:before="0" w:after="280"/>
        <w:jc w:val="both"/>
        <w:rPr>
          <w:rFonts w:ascii="Times New Roman;sans-serif" w:hAnsi="Times New Roman;sans-serif"/>
          <w:b w:val="false"/>
          <w:color w:val="000000"/>
          <w:sz w:val="24"/>
        </w:rPr>
      </w:pPr>
      <w:r>
        <w:rPr>
          <w:rFonts w:ascii="Times New Roman;sans-serif" w:hAnsi="Times New Roman;sans-serif"/>
          <w:b w:val="false"/>
          <w:color w:val="000000"/>
          <w:sz w:val="24"/>
        </w:rPr>
        <w:t>Investments held by the Master Trust are stated at fair value, except for fully benefit-responsive synthetic guaranteed investment contracts (synthetic GICs), as noted below. Fair value is defined as the price that would be received to sell an asset or paid to transfer a liability in an orderly transaction between market participants at the measurement date (an exit price). See Note 4 for further discussion of fair value measurements.</w:t>
      </w:r>
    </w:p>
    <w:p>
      <w:pPr>
        <w:pStyle w:val="TextBody"/>
        <w:bidi w:val="0"/>
        <w:spacing w:lineRule="auto" w:line="288" w:before="0" w:after="0"/>
        <w:jc w:val="both"/>
        <w:rPr/>
      </w:pPr>
      <w:r>
        <w:rPr>
          <w:rFonts w:ascii="Times New Roman;sans-serif" w:hAnsi="Times New Roman;sans-serif"/>
          <w:b w:val="false"/>
          <w:color w:val="000000"/>
          <w:sz w:val="24"/>
        </w:rPr>
        <w:t>The Master Trust invests in fully benefit-responsive synthetic GICs, which are stated at contract value. Contract value represents contributions made under each contract, plus</w:t>
      </w:r>
      <w:r>
        <w:rPr>
          <w:color w:val="000000"/>
        </w:rPr>
        <w:t xml:space="preserve"> </w:t>
      </w:r>
      <w:r>
        <w:rPr>
          <w:rFonts w:ascii="Times New Roman;sans-serif" w:hAnsi="Times New Roman;sans-serif"/>
          <w:b w:val="false"/>
          <w:color w:val="000000"/>
          <w:sz w:val="24"/>
        </w:rPr>
        <w:t xml:space="preserve">earnings, less participant withdrawals and administrative expenses. Contract value is the relevant measure for fully benefit-responsive investment contracts because this is the amount received by participants if they were to initiate permitted transactions under the terms of the Plans. </w:t>
      </w:r>
    </w:p>
    <w:p>
      <w:pPr>
        <w:pStyle w:val="TextBody"/>
        <w:bidi w:val="0"/>
        <w:spacing w:before="0" w:after="0"/>
        <w:jc w:val="left"/>
        <w:rPr/>
      </w:pPr>
      <w:r>
        <w:rPr/>
      </w:r>
    </w:p>
    <w:p>
      <w:pPr>
        <w:pStyle w:val="TextBody"/>
        <w:bidi w:val="0"/>
        <w:spacing w:lineRule="auto" w:line="288" w:before="0" w:after="280"/>
        <w:jc w:val="both"/>
        <w:rPr>
          <w:rFonts w:ascii="Times New Roman;sans-serif" w:hAnsi="Times New Roman;sans-serif"/>
          <w:b/>
          <w:color w:val="000000"/>
          <w:sz w:val="24"/>
        </w:rPr>
      </w:pPr>
      <w:r>
        <w:rPr>
          <w:rFonts w:ascii="Times New Roman;sans-serif" w:hAnsi="Times New Roman;sans-serif"/>
          <w:b/>
          <w:color w:val="000000"/>
          <w:sz w:val="24"/>
        </w:rPr>
        <w:t>Notes Receivable from Participants</w:t>
      </w:r>
    </w:p>
    <w:p>
      <w:pPr>
        <w:pStyle w:val="TextBody"/>
        <w:bidi w:val="0"/>
        <w:spacing w:lineRule="auto" w:line="288" w:before="0" w:after="280"/>
        <w:jc w:val="both"/>
        <w:rPr>
          <w:rFonts w:ascii="Times New Roman;sans-serif" w:hAnsi="Times New Roman;sans-serif"/>
          <w:b w:val="false"/>
          <w:color w:val="000000"/>
          <w:sz w:val="24"/>
        </w:rPr>
      </w:pPr>
      <w:r>
        <w:rPr>
          <w:rFonts w:ascii="Times New Roman;sans-serif" w:hAnsi="Times New Roman;sans-serif"/>
          <w:b w:val="false"/>
          <w:color w:val="000000"/>
          <w:sz w:val="24"/>
        </w:rPr>
        <w:t>Notes receivable from participants represent participant loans that are recorded at their unpaid principal balances plus any accrued but unpaid interest. Interest income on notes receivable from participants is recorded when it is earned. No allowance for credit losses has been recorded as of December 31, 2024 and 2023. If a participant ceases to make loan repayments and the plan administrator deems the participant loan to be a distribution, the participant loan balance is reduced, and a benefit payment is recorded.</w:t>
      </w:r>
    </w:p>
    <w:p>
      <w:pPr>
        <w:pStyle w:val="TextBody"/>
        <w:bidi w:val="0"/>
        <w:spacing w:lineRule="auto" w:line="288" w:before="0" w:after="280"/>
        <w:jc w:val="both"/>
        <w:rPr>
          <w:rFonts w:ascii="Times New Roman;sans-serif" w:hAnsi="Times New Roman;sans-serif"/>
          <w:b/>
          <w:color w:val="000000"/>
          <w:sz w:val="24"/>
        </w:rPr>
      </w:pPr>
      <w:r>
        <w:rPr>
          <w:rFonts w:ascii="Times New Roman;sans-serif" w:hAnsi="Times New Roman;sans-serif"/>
          <w:b/>
          <w:color w:val="000000"/>
          <w:sz w:val="24"/>
        </w:rPr>
        <w:t>Use of Estimates and Basis of Accounting</w:t>
      </w:r>
    </w:p>
    <w:p>
      <w:pPr>
        <w:pStyle w:val="TextBody"/>
        <w:bidi w:val="0"/>
        <w:spacing w:lineRule="auto" w:line="288" w:before="0" w:after="280"/>
        <w:jc w:val="both"/>
        <w:rPr>
          <w:rFonts w:ascii="Times New Roman;sans-serif" w:hAnsi="Times New Roman;sans-serif"/>
          <w:b w:val="false"/>
          <w:color w:val="000000"/>
          <w:sz w:val="24"/>
        </w:rPr>
      </w:pPr>
      <w:r>
        <w:rPr>
          <w:rFonts w:ascii="Times New Roman;sans-serif" w:hAnsi="Times New Roman;sans-serif"/>
          <w:b w:val="false"/>
          <w:color w:val="000000"/>
          <w:sz w:val="24"/>
        </w:rPr>
        <w:t>The preparation of financial statements in conformity with accounting principles generally accepted in the United States of America requires management to make estimates that affect the amounts reported in the financial statements and accompanying notes and supplemental schedules. Actual results could differ from these estimates. The accompanying financial statements have been prepared on the accrual basis of accounting.</w:t>
      </w:r>
    </w:p>
    <w:p>
      <w:pPr>
        <w:pStyle w:val="TextBody"/>
        <w:bidi w:val="0"/>
        <w:spacing w:lineRule="auto" w:line="417" w:before="0" w:after="0"/>
        <w:jc w:val="center"/>
        <w:rPr>
          <w:rFonts w:ascii="Times New Roman;sans-serif" w:hAnsi="Times New Roman;sans-serif"/>
          <w:b w:val="false"/>
          <w:color w:val="000000"/>
          <w:sz w:val="28"/>
        </w:rPr>
      </w:pPr>
      <w:r>
        <w:rPr>
          <w:rFonts w:ascii="Times New Roman;sans-serif" w:hAnsi="Times New Roman;sans-serif"/>
          <w:b w:val="false"/>
          <w:color w:val="000000"/>
          <w:sz w:val="28"/>
        </w:rPr>
        <w:t>The Lilly Employee 401(k) Plan and</w:t>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24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417" w:before="0" w:after="240"/>
        <w:jc w:val="center"/>
        <w:rPr>
          <w:rFonts w:ascii="Times New Roman;sans-serif" w:hAnsi="Times New Roman;sans-serif"/>
          <w:b w:val="false"/>
          <w:color w:val="000000"/>
          <w:sz w:val="28"/>
        </w:rPr>
      </w:pPr>
      <w:r>
        <w:rPr>
          <w:rFonts w:ascii="Times New Roman;sans-serif" w:hAnsi="Times New Roman;sans-serif"/>
          <w:b w:val="false"/>
          <w:color w:val="000000"/>
          <w:sz w:val="28"/>
        </w:rPr>
        <w:t>The Savings Plan for Lilly Affiliate Employees in Puerto Rico</w:t>
      </w:r>
    </w:p>
    <w:p>
      <w:pPr>
        <w:pStyle w:val="TextBody"/>
        <w:bidi w:val="0"/>
        <w:spacing w:lineRule="auto" w:line="417" w:before="0" w:after="240"/>
        <w:jc w:val="center"/>
        <w:rPr>
          <w:rFonts w:ascii="Times New Roman;sans-serif" w:hAnsi="Times New Roman;sans-serif"/>
          <w:b w:val="false"/>
          <w:color w:val="000000"/>
          <w:sz w:val="28"/>
        </w:rPr>
      </w:pPr>
      <w:r>
        <w:rPr>
          <w:rFonts w:ascii="Times New Roman;sans-serif" w:hAnsi="Times New Roman;sans-serif"/>
          <w:b w:val="false"/>
          <w:color w:val="000000"/>
          <w:sz w:val="28"/>
        </w:rPr>
        <w:t>Notes to Financial Statements, cont.</w:t>
      </w:r>
    </w:p>
    <w:p>
      <w:pPr>
        <w:pStyle w:val="TextBody"/>
        <w:bidi w:val="0"/>
        <w:spacing w:lineRule="auto" w:line="417" w:before="0" w:after="240"/>
        <w:jc w:val="center"/>
        <w:rPr>
          <w:rFonts w:ascii="Times New Roman;sans-serif" w:hAnsi="Times New Roman;sans-serif"/>
          <w:b w:val="false"/>
          <w:color w:val="000000"/>
          <w:sz w:val="28"/>
        </w:rPr>
      </w:pPr>
      <w:r>
        <w:rPr>
          <w:rFonts w:ascii="Times New Roman;sans-serif" w:hAnsi="Times New Roman;sans-serif"/>
          <w:b w:val="false"/>
          <w:color w:val="000000"/>
          <w:sz w:val="28"/>
        </w:rPr>
        <w:t>December 31, 2024 and 2023</w:t>
      </w:r>
    </w:p>
    <w:p>
      <w:pPr>
        <w:pStyle w:val="TextBody"/>
        <w:bidi w:val="0"/>
        <w:spacing w:before="0" w:after="0"/>
        <w:jc w:val="left"/>
        <w:rPr/>
      </w:pPr>
      <w:r>
        <w:rPr/>
      </w:r>
    </w:p>
    <w:p>
      <w:pPr>
        <w:pStyle w:val="TextBody"/>
        <w:bidi w:val="0"/>
        <w:spacing w:lineRule="auto" w:line="288" w:before="0" w:after="280"/>
        <w:ind w:left="0" w:right="0" w:hanging="225"/>
        <w:jc w:val="left"/>
        <w:rPr>
          <w:rFonts w:ascii="Times New Roman;sans-serif" w:hAnsi="Times New Roman;sans-serif"/>
          <w:b/>
          <w:color w:val="000000"/>
          <w:sz w:val="24"/>
        </w:rPr>
      </w:pPr>
      <w:r>
        <w:rPr>
          <w:rFonts w:ascii="Times New Roman;sans-serif" w:hAnsi="Times New Roman;sans-serif"/>
          <w:b/>
          <w:color w:val="000000"/>
          <w:sz w:val="24"/>
        </w:rPr>
        <w:t>Note 3 - Master Trust</w:t>
      </w:r>
    </w:p>
    <w:p>
      <w:pPr>
        <w:pStyle w:val="TextBody"/>
        <w:bidi w:val="0"/>
        <w:spacing w:lineRule="auto" w:line="288" w:before="0" w:after="280"/>
        <w:jc w:val="both"/>
        <w:rPr>
          <w:rFonts w:ascii="Times New Roman;sans-serif" w:hAnsi="Times New Roman;sans-serif"/>
          <w:b w:val="false"/>
          <w:color w:val="000000"/>
          <w:sz w:val="24"/>
        </w:rPr>
      </w:pPr>
      <w:r>
        <w:rPr>
          <w:rFonts w:ascii="Times New Roman;sans-serif" w:hAnsi="Times New Roman;sans-serif"/>
          <w:b w:val="false"/>
          <w:color w:val="000000"/>
          <w:sz w:val="24"/>
        </w:rPr>
        <w:t>The Plans provide that both participant contributions and company matching contributions be held in a trust by an independent trustee for the benefit of participating employees. As of December 31, 2024 and 2023, The Northern Trust Company maintained the accounting of the aggregate value of assets associated with each plan participating in the Master Trust. The Plans have specific interests in certain investments of the Master Trust based on account balances of the participants and their investment options. The Master Trust assets are allocated among the participating plans by assigning to each plan those transactions (primarily contributions, benefit payments, and plan-specific expenses) that can be specifically identified for such plan or participants in such plan and by allocating among all plans, in proportion to the fair value of the assets attributable to each participating plan, the income (loss), including net appreciation/depreciation in fair value of investments, and expenses resulting from the collective investment of the assets of the Master Trust.</w:t>
      </w:r>
    </w:p>
    <w:p>
      <w:pPr>
        <w:pStyle w:val="TextBody"/>
        <w:bidi w:val="0"/>
        <w:spacing w:lineRule="auto" w:line="288" w:before="0" w:after="280"/>
        <w:jc w:val="both"/>
        <w:rPr>
          <w:rFonts w:ascii="Times New Roman;sans-serif" w:hAnsi="Times New Roman;sans-serif"/>
          <w:b w:val="false"/>
          <w:color w:val="000000"/>
          <w:sz w:val="24"/>
        </w:rPr>
      </w:pPr>
      <w:r>
        <w:rPr>
          <w:rFonts w:ascii="Times New Roman;sans-serif" w:hAnsi="Times New Roman;sans-serif"/>
          <w:b w:val="false"/>
          <w:color w:val="000000"/>
          <w:sz w:val="24"/>
        </w:rPr>
        <w:t>Purchases and sales of securities are recorded on a trade-date basis. Interest income is recorded as earned. Dividends are recorded on the ex-dividend date.</w:t>
      </w:r>
    </w:p>
    <w:p>
      <w:pPr>
        <w:pStyle w:val="TextBody"/>
        <w:bidi w:val="0"/>
        <w:spacing w:lineRule="auto" w:line="288" w:before="40" w:after="40"/>
        <w:jc w:val="both"/>
        <w:rPr>
          <w:rFonts w:ascii="Times New Roman;sans-serif" w:hAnsi="Times New Roman;sans-serif"/>
          <w:b w:val="false"/>
          <w:color w:val="000000"/>
          <w:sz w:val="24"/>
        </w:rPr>
      </w:pPr>
      <w:r>
        <w:rPr>
          <w:rFonts w:ascii="Times New Roman;sans-serif" w:hAnsi="Times New Roman;sans-serif"/>
          <w:b w:val="false"/>
          <w:color w:val="000000"/>
          <w:sz w:val="24"/>
        </w:rPr>
        <w:t>Net investment income for the Master Trust for the year ended December 31, 2024 is as follows:</w:t>
      </w:r>
    </w:p>
    <w:tbl>
      <w:tblPr>
        <w:tblW w:w="7289" w:type="dxa"/>
        <w:jc w:val="left"/>
        <w:tblInd w:w="0" w:type="dxa"/>
        <w:tblLayout w:type="fixed"/>
        <w:tblCellMar>
          <w:top w:w="28" w:type="dxa"/>
          <w:left w:w="28" w:type="dxa"/>
          <w:bottom w:w="28" w:type="dxa"/>
          <w:right w:w="28" w:type="dxa"/>
        </w:tblCellMar>
      </w:tblPr>
      <w:tblGrid>
        <w:gridCol w:w="1706"/>
        <w:gridCol w:w="1500"/>
        <w:gridCol w:w="1503"/>
        <w:gridCol w:w="109"/>
        <w:gridCol w:w="109"/>
        <w:gridCol w:w="109"/>
        <w:gridCol w:w="109"/>
        <w:gridCol w:w="109"/>
        <w:gridCol w:w="109"/>
        <w:gridCol w:w="226"/>
        <w:gridCol w:w="1546"/>
        <w:gridCol w:w="154"/>
      </w:tblGrid>
      <w:tr>
        <w:trPr/>
        <w:tc>
          <w:tcPr>
            <w:tcW w:w="1706" w:type="dxa"/>
            <w:tcBorders/>
            <w:vAlign w:val="center"/>
          </w:tcPr>
          <w:p>
            <w:pPr>
              <w:pStyle w:val="TableContents"/>
              <w:bidi w:val="0"/>
              <w:spacing w:before="0" w:after="283"/>
              <w:jc w:val="left"/>
              <w:rPr>
                <w:sz w:val="4"/>
                <w:szCs w:val="4"/>
              </w:rPr>
            </w:pPr>
            <w:r>
              <w:rPr>
                <w:sz w:val="4"/>
                <w:szCs w:val="4"/>
              </w:rPr>
            </w:r>
          </w:p>
        </w:tc>
        <w:tc>
          <w:tcPr>
            <w:tcW w:w="1500"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Net realized and unrealized gains on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5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2,148,809,585 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Interest income, net of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23,291,442 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Dividend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39,001,474 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Net investment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5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2,211,102,501 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0"/>
        <w:jc w:val="both"/>
        <w:rPr/>
      </w:pPr>
      <w:r>
        <w:rPr/>
      </w:r>
    </w:p>
    <w:p>
      <w:pPr>
        <w:pStyle w:val="TextBody"/>
        <w:bidi w:val="0"/>
        <w:spacing w:lineRule="auto" w:line="288" w:before="0" w:after="280"/>
        <w:jc w:val="both"/>
        <w:rPr>
          <w:rFonts w:ascii="Times New Roman;sans-serif" w:hAnsi="Times New Roman;sans-serif"/>
          <w:b w:val="false"/>
          <w:color w:val="000000"/>
          <w:sz w:val="24"/>
        </w:rPr>
      </w:pPr>
      <w:r>
        <w:rPr>
          <w:rFonts w:ascii="Times New Roman;sans-serif" w:hAnsi="Times New Roman;sans-serif"/>
          <w:b w:val="false"/>
          <w:color w:val="000000"/>
          <w:sz w:val="24"/>
        </w:rPr>
        <w:t>The interests in the net assets of the Master Trust of the 401(k) Plan and the Puerto Rico Plan are presented in the accompanying financial statements.</w:t>
      </w:r>
    </w:p>
    <w:p>
      <w:pPr>
        <w:pStyle w:val="TextBody"/>
        <w:bidi w:val="0"/>
        <w:spacing w:lineRule="auto" w:line="288" w:before="0" w:after="28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Plans (through the Master Trust) hold synthetic GICs with third-party financial service institutions. The synthetic GICs are wrap contracts paired with an underlying investment portfolio of common/collective trust funds that invest in average-quality, short/intermediate-term, fixed-income securities. A synthetic GIC credits the holder’s account with a stated crediting rate for a specified period of time. Investment gains and losses are amortized over the expected duration through the calculation of the crediting rate applicable to the Plans on a prospective basis. Synthetic GICs provide for a variable crediting rate, which typically resets at least quarterly, and the issuers of the wrap contract provide a guarantee that future adjustments to the crediting rate cannot result in a crediting rate less than zero. </w:t>
      </w:r>
    </w:p>
    <w:p>
      <w:pPr>
        <w:pStyle w:val="TextBody"/>
        <w:bidi w:val="0"/>
        <w:spacing w:lineRule="auto" w:line="288" w:before="0" w:after="28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crediting rate is primarily based on the current yield-to-maturity of the covered investments, plus or minus amortization of the difference between the market value and contract value of the covered investments over the expected duration at the time of computation. The crediting rate is impacted by the </w:t>
      </w:r>
    </w:p>
    <w:p>
      <w:pPr>
        <w:pStyle w:val="TextBody"/>
        <w:bidi w:val="0"/>
        <w:spacing w:lineRule="auto" w:line="417" w:before="0" w:after="0"/>
        <w:jc w:val="center"/>
        <w:rPr>
          <w:rFonts w:ascii="Times New Roman;sans-serif" w:hAnsi="Times New Roman;sans-serif"/>
          <w:b w:val="false"/>
          <w:color w:val="000000"/>
          <w:sz w:val="28"/>
        </w:rPr>
      </w:pPr>
      <w:r>
        <w:rPr>
          <w:rFonts w:ascii="Times New Roman;sans-serif" w:hAnsi="Times New Roman;sans-serif"/>
          <w:b w:val="false"/>
          <w:color w:val="000000"/>
          <w:sz w:val="28"/>
        </w:rPr>
        <w:t>The Lilly Employee 401(k) Plan and</w:t>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24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417" w:before="0" w:after="240"/>
        <w:jc w:val="center"/>
        <w:rPr>
          <w:rFonts w:ascii="Times New Roman;sans-serif" w:hAnsi="Times New Roman;sans-serif"/>
          <w:b w:val="false"/>
          <w:color w:val="000000"/>
          <w:sz w:val="28"/>
        </w:rPr>
      </w:pPr>
      <w:r>
        <w:rPr>
          <w:rFonts w:ascii="Times New Roman;sans-serif" w:hAnsi="Times New Roman;sans-serif"/>
          <w:b w:val="false"/>
          <w:color w:val="000000"/>
          <w:sz w:val="28"/>
        </w:rPr>
        <w:t>The Savings Plan for Lilly Affiliate Employees in Puerto Rico</w:t>
      </w:r>
    </w:p>
    <w:p>
      <w:pPr>
        <w:pStyle w:val="TextBody"/>
        <w:bidi w:val="0"/>
        <w:spacing w:lineRule="auto" w:line="417" w:before="0" w:after="240"/>
        <w:jc w:val="center"/>
        <w:rPr>
          <w:rFonts w:ascii="Times New Roman;sans-serif" w:hAnsi="Times New Roman;sans-serif"/>
          <w:b w:val="false"/>
          <w:color w:val="000000"/>
          <w:sz w:val="28"/>
        </w:rPr>
      </w:pPr>
      <w:r>
        <w:rPr>
          <w:rFonts w:ascii="Times New Roman;sans-serif" w:hAnsi="Times New Roman;sans-serif"/>
          <w:b w:val="false"/>
          <w:color w:val="000000"/>
          <w:sz w:val="28"/>
        </w:rPr>
        <w:t>Notes to Financial Statements, cont.</w:t>
      </w:r>
    </w:p>
    <w:p>
      <w:pPr>
        <w:pStyle w:val="TextBody"/>
        <w:bidi w:val="0"/>
        <w:spacing w:lineRule="auto" w:line="417" w:before="0" w:after="240"/>
        <w:jc w:val="center"/>
        <w:rPr>
          <w:rFonts w:ascii="Times New Roman;sans-serif" w:hAnsi="Times New Roman;sans-serif"/>
          <w:b w:val="false"/>
          <w:color w:val="000000"/>
          <w:sz w:val="28"/>
        </w:rPr>
      </w:pPr>
      <w:r>
        <w:rPr>
          <w:rFonts w:ascii="Times New Roman;sans-serif" w:hAnsi="Times New Roman;sans-serif"/>
          <w:b w:val="false"/>
          <w:color w:val="000000"/>
          <w:sz w:val="28"/>
        </w:rPr>
        <w:t>December 31, 2024 and 2023</w:t>
      </w:r>
    </w:p>
    <w:p>
      <w:pPr>
        <w:pStyle w:val="TextBody"/>
        <w:bidi w:val="0"/>
        <w:spacing w:before="0" w:after="0"/>
        <w:jc w:val="left"/>
        <w:rPr/>
      </w:pPr>
      <w:r>
        <w:rPr/>
      </w:r>
    </w:p>
    <w:p>
      <w:pPr>
        <w:pStyle w:val="TextBody"/>
        <w:bidi w:val="0"/>
        <w:spacing w:lineRule="auto" w:line="288" w:before="0" w:after="28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change in the annual effective yield-to-maturity of the underlying securities but is also affected by the differential between the contract value and the market value of the covered investments. </w:t>
      </w:r>
    </w:p>
    <w:p>
      <w:pPr>
        <w:pStyle w:val="TextBody"/>
        <w:bidi w:val="0"/>
        <w:spacing w:lineRule="auto" w:line="288" w:before="0" w:after="280"/>
        <w:jc w:val="both"/>
        <w:rPr>
          <w:rFonts w:ascii="Times New Roman;sans-serif" w:hAnsi="Times New Roman;sans-serif"/>
          <w:b w:val="false"/>
          <w:color w:val="000000"/>
          <w:sz w:val="24"/>
        </w:rPr>
      </w:pPr>
      <w:r>
        <w:rPr>
          <w:rFonts w:ascii="Times New Roman;sans-serif" w:hAnsi="Times New Roman;sans-serif"/>
          <w:b w:val="false"/>
          <w:color w:val="000000"/>
          <w:sz w:val="24"/>
        </w:rPr>
        <w:t>Generally, contract value withdrawals will be made pro rata based on the percentage of investments covered by each issuer. The terms of the wrap contracts generally provide for full contract value withdrawal only upon termination of the contract or total liquidation of the covered investments. Contract termination occurs whenever the contract value or market value of the covered investments reaches zero or upon certain events of default. If the contract terminates due to issuer default (other than a default occurring because of a decline in its rating), the issuer will generally be required to pay to the Plans the excess, if any, of contract value over market value on the date of termination. If the contract terminates when the market value equals zero, the issuer will pay the excess of contract value over market value to the Plans to the extent necessary for the Plans to satisfy outstanding contract value withdrawal requests. Contract termination also may occur by either party upon election and notice. However, such election by a contract issuer typically allows for a gradual asset risk wind-down generally over the portfolio’s duration and would maintain contract value on the Plans.</w:t>
      </w:r>
    </w:p>
    <w:p>
      <w:pPr>
        <w:pStyle w:val="TextBody"/>
        <w:bidi w:val="0"/>
        <w:spacing w:lineRule="auto" w:line="288" w:before="0" w:after="280"/>
        <w:jc w:val="both"/>
        <w:rPr>
          <w:rFonts w:ascii="Times New Roman;sans-serif" w:hAnsi="Times New Roman;sans-serif"/>
          <w:b w:val="false"/>
          <w:color w:val="000000"/>
          <w:sz w:val="24"/>
        </w:rPr>
      </w:pPr>
      <w:r>
        <w:rPr>
          <w:rFonts w:ascii="Times New Roman;sans-serif" w:hAnsi="Times New Roman;sans-serif"/>
          <w:b w:val="false"/>
          <w:color w:val="000000"/>
          <w:sz w:val="24"/>
        </w:rPr>
        <w:t>Certain events, including (1) certain amendments to the Plans' documents (including complete or partial plan termination or merger with another plan), (2) changes to the Plans’ prohibition on competing investment options or deletion of equity wash provisions, (3) bankruptcy of the Plans' sponsors or other Plans' sponsor events that cause a significant withdrawal from the Plans, and (4) the failure of the Master Trust to qualify for exemption from federal income taxes or any required prohibited transaction exemption under ERISA, limit the ability of the Plans to transact contract value withdrawals from the wrap contracts. The plan administrator believes that the occurrence of any such event which would limit the Plans’ ability to transact contract value withdrawals is not probable of occurring.</w:t>
      </w:r>
    </w:p>
    <w:p>
      <w:pPr>
        <w:pStyle w:val="TextBody"/>
        <w:bidi w:val="0"/>
        <w:spacing w:lineRule="auto" w:line="288" w:before="0" w:after="280"/>
        <w:jc w:val="both"/>
        <w:rPr>
          <w:rFonts w:ascii="Times New Roman;sans-serif" w:hAnsi="Times New Roman;sans-serif"/>
          <w:b w:val="false"/>
          <w:color w:val="000000"/>
          <w:sz w:val="24"/>
        </w:rPr>
      </w:pPr>
      <w:r>
        <w:rPr>
          <w:rFonts w:ascii="Times New Roman;sans-serif" w:hAnsi="Times New Roman;sans-serif"/>
          <w:b w:val="false"/>
          <w:color w:val="000000"/>
          <w:sz w:val="24"/>
        </w:rPr>
        <w:t>The synthetic GICs generally impose conditions on both the Plans and the issuer. If an event of default, as defined, occurs and is not cured, and the Plans are unable to negotiate continuing coverage or obtain a replacement investment contract, the Plans may experience losses if the value of the Plans’ assets no longer covered by the contract is below contract value. The combination of the default of an issuer and an inability to obtain replacement coverage could render the Plans unable to achieve their objective of maintaining a stable contract value. The plan administrator does not believe the occurrence of any such event has occurred or is probable of occurring.</w:t>
      </w:r>
    </w:p>
    <w:p>
      <w:pPr>
        <w:pStyle w:val="TextBody"/>
        <w:bidi w:val="0"/>
        <w:spacing w:lineRule="auto" w:line="417" w:before="0" w:after="0"/>
        <w:jc w:val="center"/>
        <w:rPr>
          <w:rFonts w:ascii="Times New Roman;sans-serif" w:hAnsi="Times New Roman;sans-serif"/>
          <w:b w:val="false"/>
          <w:color w:val="000000"/>
          <w:sz w:val="28"/>
        </w:rPr>
      </w:pPr>
      <w:r>
        <w:rPr>
          <w:rFonts w:ascii="Times New Roman;sans-serif" w:hAnsi="Times New Roman;sans-serif"/>
          <w:b w:val="false"/>
          <w:color w:val="000000"/>
          <w:sz w:val="28"/>
        </w:rPr>
        <w:t>The Lilly Employee 401(k) Plan and</w:t>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24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417" w:before="0" w:after="240"/>
        <w:jc w:val="center"/>
        <w:rPr>
          <w:rFonts w:ascii="Times New Roman;sans-serif" w:hAnsi="Times New Roman;sans-serif"/>
          <w:b w:val="false"/>
          <w:color w:val="000000"/>
          <w:sz w:val="28"/>
        </w:rPr>
      </w:pPr>
      <w:r>
        <w:rPr>
          <w:rFonts w:ascii="Times New Roman;sans-serif" w:hAnsi="Times New Roman;sans-serif"/>
          <w:b w:val="false"/>
          <w:color w:val="000000"/>
          <w:sz w:val="28"/>
        </w:rPr>
        <w:t>The Savings Plan for Lilly Affiliate Employees in Puerto Rico</w:t>
      </w:r>
    </w:p>
    <w:p>
      <w:pPr>
        <w:pStyle w:val="TextBody"/>
        <w:bidi w:val="0"/>
        <w:spacing w:lineRule="auto" w:line="417" w:before="0" w:after="240"/>
        <w:jc w:val="center"/>
        <w:rPr>
          <w:rFonts w:ascii="Times New Roman;sans-serif" w:hAnsi="Times New Roman;sans-serif"/>
          <w:b w:val="false"/>
          <w:color w:val="000000"/>
          <w:sz w:val="28"/>
        </w:rPr>
      </w:pPr>
      <w:r>
        <w:rPr>
          <w:rFonts w:ascii="Times New Roman;sans-serif" w:hAnsi="Times New Roman;sans-serif"/>
          <w:b w:val="false"/>
          <w:color w:val="000000"/>
          <w:sz w:val="28"/>
        </w:rPr>
        <w:t>Notes to Financial Statements, cont.</w:t>
      </w:r>
    </w:p>
    <w:p>
      <w:pPr>
        <w:pStyle w:val="TextBody"/>
        <w:bidi w:val="0"/>
        <w:spacing w:lineRule="auto" w:line="417" w:before="0" w:after="240"/>
        <w:jc w:val="center"/>
        <w:rPr>
          <w:rFonts w:ascii="Times New Roman;sans-serif" w:hAnsi="Times New Roman;sans-serif"/>
          <w:b w:val="false"/>
          <w:color w:val="000000"/>
          <w:sz w:val="28"/>
        </w:rPr>
      </w:pPr>
      <w:r>
        <w:rPr>
          <w:rFonts w:ascii="Times New Roman;sans-serif" w:hAnsi="Times New Roman;sans-serif"/>
          <w:b w:val="false"/>
          <w:color w:val="000000"/>
          <w:sz w:val="28"/>
        </w:rPr>
        <w:t>December 31, 2024 and 2023</w:t>
      </w:r>
    </w:p>
    <w:p>
      <w:pPr>
        <w:pStyle w:val="TextBody"/>
        <w:bidi w:val="0"/>
        <w:spacing w:before="0" w:after="0"/>
        <w:jc w:val="left"/>
        <w:rPr/>
      </w:pPr>
      <w:r>
        <w:rPr/>
      </w:r>
    </w:p>
    <w:p>
      <w:pPr>
        <w:pStyle w:val="TextBody"/>
        <w:bidi w:val="0"/>
        <w:spacing w:lineRule="auto" w:line="288" w:before="0" w:after="280"/>
        <w:jc w:val="both"/>
        <w:rPr>
          <w:rFonts w:ascii="Times New Roman;sans-serif" w:hAnsi="Times New Roman;sans-serif"/>
          <w:b/>
          <w:color w:val="000000"/>
          <w:sz w:val="24"/>
        </w:rPr>
      </w:pPr>
      <w:r>
        <w:rPr>
          <w:rFonts w:ascii="Times New Roman;sans-serif" w:hAnsi="Times New Roman;sans-serif"/>
          <w:b/>
          <w:color w:val="000000"/>
          <w:sz w:val="24"/>
        </w:rPr>
        <w:t>Note 4 - Fair Value Measurements</w:t>
      </w:r>
    </w:p>
    <w:p>
      <w:pPr>
        <w:pStyle w:val="TextBody"/>
        <w:bidi w:val="0"/>
        <w:spacing w:lineRule="auto" w:line="288" w:before="0" w:after="280"/>
        <w:jc w:val="both"/>
        <w:rPr/>
      </w:pPr>
      <w:r>
        <w:rPr>
          <w:rFonts w:ascii="Times New Roman;sans-serif" w:hAnsi="Times New Roman;sans-serif"/>
          <w:b w:val="false"/>
          <w:color w:val="000000"/>
          <w:sz w:val="24"/>
        </w:rPr>
        <w:t>Accounting Standards Codification (ASC) 820</w:t>
      </w:r>
      <w:r>
        <w:rPr>
          <w:color w:val="000000"/>
        </w:rPr>
        <w:t xml:space="preserve"> </w:t>
      </w:r>
      <w:r>
        <w:rPr>
          <w:rFonts w:ascii="Times New Roman;sans-serif" w:hAnsi="Times New Roman;sans-serif"/>
          <w:b w:val="false"/>
          <w:color w:val="000000"/>
          <w:sz w:val="24"/>
        </w:rPr>
        <w:t>defines fair value, establishes a framework for measuring fair value, and expands disclosures about fair value measurements. Fair value is defined as the price that would be received to sell an asset or paid to transfer a liability in an orderly transaction between market participants at the measurement date (i.e., an exit price). ASC 820 includes a fair value hierarchy that prioritizes the inputs to valuation techniques used to measure fair value. The hierarchy gives the highest priority to unadjusted quoted prices in active markets for identical assets and liabilities (Level 1) and the lowest priority to unobservable inputs (Level 3). The three levels of the fair value hierarchy under ASC 820 are described below:</w:t>
      </w:r>
    </w:p>
    <w:p>
      <w:pPr>
        <w:pStyle w:val="TextBody"/>
        <w:bidi w:val="0"/>
        <w:spacing w:lineRule="auto" w:line="288" w:before="0" w:after="28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Level 1 - Inputs to the valuation methodology are unadjusted quoted prices for identical assets or liabilities in active markets. </w:t>
      </w:r>
    </w:p>
    <w:p>
      <w:pPr>
        <w:pStyle w:val="TextBody"/>
        <w:bidi w:val="0"/>
        <w:spacing w:lineRule="auto" w:line="288" w:before="0" w:after="28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Level 2 - Inputs to the valuation methodology include: </w:t>
      </w:r>
    </w:p>
    <w:p>
      <w:pPr>
        <w:pStyle w:val="TextBody"/>
        <w:bidi w:val="0"/>
        <w:spacing w:lineRule="auto" w:line="288" w:before="0" w:after="280"/>
        <w:ind w:left="0" w:right="0" w:hanging="360"/>
        <w:jc w:val="both"/>
        <w:rPr/>
      </w:pPr>
      <w:r>
        <w:rPr>
          <w:color w:val="000000"/>
        </w:rPr>
        <w:t>•</w:t>
      </w:r>
      <w:r>
        <w:rPr>
          <w:rFonts w:ascii="Times New Roman;sans-serif" w:hAnsi="Times New Roman;sans-serif"/>
          <w:b w:val="false"/>
          <w:color w:val="000000"/>
          <w:sz w:val="24"/>
        </w:rPr>
        <w:t>Quoted prices for similar assets and liabilities in active markets</w:t>
      </w:r>
    </w:p>
    <w:p>
      <w:pPr>
        <w:pStyle w:val="TextBody"/>
        <w:bidi w:val="0"/>
        <w:spacing w:lineRule="auto" w:line="288" w:before="0" w:after="280"/>
        <w:ind w:left="0" w:right="0" w:hanging="360"/>
        <w:jc w:val="both"/>
        <w:rPr/>
      </w:pPr>
      <w:r>
        <w:rPr>
          <w:color w:val="000000"/>
        </w:rPr>
        <w:t>•</w:t>
      </w:r>
      <w:r>
        <w:rPr>
          <w:rFonts w:ascii="Times New Roman;sans-serif" w:hAnsi="Times New Roman;sans-serif"/>
          <w:b w:val="false"/>
          <w:color w:val="000000"/>
          <w:sz w:val="24"/>
        </w:rPr>
        <w:t>Quoted prices for identical or similar assets or liabilities in markets that are not active</w:t>
      </w:r>
    </w:p>
    <w:p>
      <w:pPr>
        <w:pStyle w:val="TextBody"/>
        <w:bidi w:val="0"/>
        <w:spacing w:lineRule="auto" w:line="288" w:before="0" w:after="280"/>
        <w:ind w:left="0" w:right="0" w:hanging="360"/>
        <w:jc w:val="both"/>
        <w:rPr/>
      </w:pPr>
      <w:r>
        <w:rPr>
          <w:color w:val="000000"/>
        </w:rPr>
        <w:t>•</w:t>
      </w:r>
      <w:r>
        <w:rPr>
          <w:rFonts w:ascii="Times New Roman;sans-serif" w:hAnsi="Times New Roman;sans-serif"/>
          <w:b w:val="false"/>
          <w:color w:val="000000"/>
          <w:sz w:val="24"/>
        </w:rPr>
        <w:t>Inputs other than quoted prices that are for the assets or liabilities (e.g., interest rate and yield curve quotes at commonly quoted intervals)</w:t>
      </w:r>
    </w:p>
    <w:p>
      <w:pPr>
        <w:pStyle w:val="TextBody"/>
        <w:bidi w:val="0"/>
        <w:spacing w:lineRule="auto" w:line="288" w:before="0" w:after="280"/>
        <w:ind w:left="0" w:right="0" w:hanging="360"/>
        <w:jc w:val="both"/>
        <w:rPr/>
      </w:pPr>
      <w:r>
        <w:rPr>
          <w:color w:val="000000"/>
        </w:rPr>
        <w:t>•</w:t>
      </w:r>
      <w:r>
        <w:rPr>
          <w:rFonts w:ascii="Times New Roman;sans-serif" w:hAnsi="Times New Roman;sans-serif"/>
          <w:b w:val="false"/>
          <w:color w:val="000000"/>
          <w:sz w:val="24"/>
        </w:rPr>
        <w:t>Inputs that are derived principally from or corroborated by observable market data by correlation or other means</w:t>
      </w:r>
    </w:p>
    <w:p>
      <w:pPr>
        <w:pStyle w:val="TextBody"/>
        <w:bidi w:val="0"/>
        <w:spacing w:lineRule="auto" w:line="288" w:before="0" w:after="280"/>
        <w:jc w:val="both"/>
        <w:rPr>
          <w:rFonts w:ascii="Times New Roman;sans-serif" w:hAnsi="Times New Roman;sans-serif"/>
          <w:b w:val="false"/>
          <w:color w:val="000000"/>
          <w:sz w:val="24"/>
        </w:rPr>
      </w:pPr>
      <w:r>
        <w:rPr>
          <w:rFonts w:ascii="Times New Roman;sans-serif" w:hAnsi="Times New Roman;sans-serif"/>
          <w:b w:val="false"/>
          <w:color w:val="000000"/>
          <w:sz w:val="24"/>
        </w:rPr>
        <w:t>If the asset or liability has a specified (contractual) term, the Level 2 input must be observable for substantially the full term of the asset or liability.</w:t>
      </w:r>
    </w:p>
    <w:p>
      <w:pPr>
        <w:pStyle w:val="TextBody"/>
        <w:bidi w:val="0"/>
        <w:spacing w:lineRule="auto" w:line="288" w:before="0" w:after="28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Level 3 - Inputs to the valuation methodology are unobservable and significant to the fair value measurement. </w:t>
      </w:r>
    </w:p>
    <w:p>
      <w:pPr>
        <w:pStyle w:val="TextBody"/>
        <w:bidi w:val="0"/>
        <w:spacing w:lineRule="auto" w:line="288" w:before="0" w:after="280"/>
        <w:jc w:val="both"/>
        <w:rPr>
          <w:rFonts w:ascii="Times New Roman;sans-serif" w:hAnsi="Times New Roman;sans-serif"/>
          <w:b w:val="false"/>
          <w:color w:val="000000"/>
          <w:sz w:val="24"/>
        </w:rPr>
      </w:pPr>
      <w:r>
        <w:rPr>
          <w:rFonts w:ascii="Times New Roman;sans-serif" w:hAnsi="Times New Roman;sans-serif"/>
          <w:b w:val="false"/>
          <w:color w:val="000000"/>
          <w:sz w:val="24"/>
        </w:rPr>
        <w:t>The level in the fair value hierarchy within which the fair value measurement is classified is determined based upon the lowest level of input that is significant to the fair value measurement in its entirety.</w:t>
      </w:r>
    </w:p>
    <w:p>
      <w:pPr>
        <w:pStyle w:val="TextBody"/>
        <w:bidi w:val="0"/>
        <w:spacing w:lineRule="auto" w:line="288" w:before="0" w:after="280"/>
        <w:jc w:val="both"/>
        <w:rPr>
          <w:rFonts w:ascii="Times New Roman;sans-serif" w:hAnsi="Times New Roman;sans-serif"/>
          <w:b w:val="false"/>
          <w:color w:val="000000"/>
          <w:sz w:val="24"/>
        </w:rPr>
      </w:pPr>
      <w:r>
        <w:rPr>
          <w:rFonts w:ascii="Times New Roman;sans-serif" w:hAnsi="Times New Roman;sans-serif"/>
          <w:b w:val="false"/>
          <w:color w:val="000000"/>
          <w:sz w:val="24"/>
        </w:rPr>
        <w:t>The following is a description of the valuation techniques and inputs used for assets measured at fair value:</w:t>
      </w:r>
    </w:p>
    <w:p>
      <w:pPr>
        <w:pStyle w:val="TextBody"/>
        <w:bidi w:val="0"/>
        <w:spacing w:lineRule="auto" w:line="288" w:before="0" w:after="280"/>
        <w:ind w:left="0" w:right="0" w:hanging="360"/>
        <w:jc w:val="both"/>
        <w:rPr/>
      </w:pPr>
      <w:r>
        <w:rPr>
          <w:color w:val="000000"/>
        </w:rPr>
        <w:t>•</w:t>
      </w:r>
      <w:r>
        <w:rPr>
          <w:rFonts w:ascii="Times New Roman;sans-serif" w:hAnsi="Times New Roman;sans-serif"/>
          <w:b w:val="false"/>
          <w:color w:val="000000"/>
          <w:sz w:val="24"/>
        </w:rPr>
        <w:t>Registered investment companies (mutual funds) - Valued at the net asset value (NAV) of shares held by the Master Trust at year end, as quoted in the active market, and are classified within Level 1 of the valuation hierarchy.</w:t>
      </w:r>
    </w:p>
    <w:p>
      <w:pPr>
        <w:pStyle w:val="TextBody"/>
        <w:bidi w:val="0"/>
        <w:spacing w:lineRule="auto" w:line="417" w:before="0" w:after="0"/>
        <w:jc w:val="center"/>
        <w:rPr>
          <w:rFonts w:ascii="Times New Roman;sans-serif" w:hAnsi="Times New Roman;sans-serif"/>
          <w:b w:val="false"/>
          <w:color w:val="000000"/>
          <w:sz w:val="28"/>
        </w:rPr>
      </w:pPr>
      <w:r>
        <w:rPr>
          <w:rFonts w:ascii="Times New Roman;sans-serif" w:hAnsi="Times New Roman;sans-serif"/>
          <w:b w:val="false"/>
          <w:color w:val="000000"/>
          <w:sz w:val="28"/>
        </w:rPr>
        <w:t>The Lilly Employee 401(k) Plan and</w:t>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24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417" w:before="0" w:after="240"/>
        <w:jc w:val="center"/>
        <w:rPr>
          <w:rFonts w:ascii="Times New Roman;sans-serif" w:hAnsi="Times New Roman;sans-serif"/>
          <w:b w:val="false"/>
          <w:color w:val="000000"/>
          <w:sz w:val="28"/>
        </w:rPr>
      </w:pPr>
      <w:r>
        <w:rPr>
          <w:rFonts w:ascii="Times New Roman;sans-serif" w:hAnsi="Times New Roman;sans-serif"/>
          <w:b w:val="false"/>
          <w:color w:val="000000"/>
          <w:sz w:val="28"/>
        </w:rPr>
        <w:t>The Savings Plan for Lilly Affiliate Employees in Puerto Rico</w:t>
      </w:r>
    </w:p>
    <w:p>
      <w:pPr>
        <w:pStyle w:val="TextBody"/>
        <w:bidi w:val="0"/>
        <w:spacing w:lineRule="auto" w:line="417" w:before="0" w:after="240"/>
        <w:jc w:val="center"/>
        <w:rPr>
          <w:rFonts w:ascii="Times New Roman;sans-serif" w:hAnsi="Times New Roman;sans-serif"/>
          <w:b w:val="false"/>
          <w:color w:val="000000"/>
          <w:sz w:val="28"/>
        </w:rPr>
      </w:pPr>
      <w:r>
        <w:rPr>
          <w:rFonts w:ascii="Times New Roman;sans-serif" w:hAnsi="Times New Roman;sans-serif"/>
          <w:b w:val="false"/>
          <w:color w:val="000000"/>
          <w:sz w:val="28"/>
        </w:rPr>
        <w:t>Notes to Financial Statements, cont.</w:t>
      </w:r>
    </w:p>
    <w:p>
      <w:pPr>
        <w:pStyle w:val="TextBody"/>
        <w:bidi w:val="0"/>
        <w:spacing w:lineRule="auto" w:line="417" w:before="0" w:after="240"/>
        <w:jc w:val="center"/>
        <w:rPr>
          <w:rFonts w:ascii="Times New Roman;sans-serif" w:hAnsi="Times New Roman;sans-serif"/>
          <w:b w:val="false"/>
          <w:color w:val="000000"/>
          <w:sz w:val="28"/>
        </w:rPr>
      </w:pPr>
      <w:r>
        <w:rPr>
          <w:rFonts w:ascii="Times New Roman;sans-serif" w:hAnsi="Times New Roman;sans-serif"/>
          <w:b w:val="false"/>
          <w:color w:val="000000"/>
          <w:sz w:val="28"/>
        </w:rPr>
        <w:t>December 31, 2024 and 2023</w:t>
      </w:r>
    </w:p>
    <w:p>
      <w:pPr>
        <w:pStyle w:val="TextBody"/>
        <w:bidi w:val="0"/>
        <w:spacing w:before="0" w:after="0"/>
        <w:jc w:val="left"/>
        <w:rPr/>
      </w:pPr>
      <w:r>
        <w:rPr/>
      </w:r>
    </w:p>
    <w:p>
      <w:pPr>
        <w:pStyle w:val="TextBody"/>
        <w:bidi w:val="0"/>
        <w:spacing w:lineRule="auto" w:line="288" w:before="0" w:after="280"/>
        <w:ind w:left="0" w:right="0" w:hanging="360"/>
        <w:jc w:val="both"/>
        <w:rPr/>
      </w:pPr>
      <w:r>
        <w:rPr>
          <w:color w:val="000000"/>
        </w:rPr>
        <w:t>•</w:t>
      </w:r>
      <w:r>
        <w:rPr>
          <w:rFonts w:ascii="Times New Roman;sans-serif" w:hAnsi="Times New Roman;sans-serif"/>
          <w:b w:val="false"/>
          <w:color w:val="000000"/>
          <w:sz w:val="24"/>
        </w:rPr>
        <w:t>Self-directed brokerage accounts (represents mutual funds and exchange-traded funds) - Valued at the NAV of shares held by the Master Trust at year end, as quoted in the active market, and are classified within Level 1 of the valuation hierarchy.</w:t>
      </w:r>
    </w:p>
    <w:p>
      <w:pPr>
        <w:pStyle w:val="TextBody"/>
        <w:bidi w:val="0"/>
        <w:spacing w:lineRule="auto" w:line="288" w:before="0" w:after="280"/>
        <w:ind w:left="0" w:right="0" w:hanging="360"/>
        <w:jc w:val="both"/>
        <w:rPr/>
      </w:pPr>
      <w:r>
        <w:rPr>
          <w:color w:val="000000"/>
        </w:rPr>
        <w:t>•</w:t>
      </w:r>
      <w:r>
        <w:rPr>
          <w:rFonts w:ascii="Times New Roman;sans-serif" w:hAnsi="Times New Roman;sans-serif"/>
          <w:b w:val="false"/>
          <w:color w:val="000000"/>
          <w:sz w:val="24"/>
        </w:rPr>
        <w:t>Eli Lilly and Company common stock - Valued at the closing price reported on the New York Stock Exchange and is classified within Level 1 of the valuation hierarchy.</w:t>
      </w:r>
    </w:p>
    <w:p>
      <w:pPr>
        <w:pStyle w:val="TextBody"/>
        <w:bidi w:val="0"/>
        <w:spacing w:lineRule="auto" w:line="288" w:before="0" w:after="280"/>
        <w:ind w:left="0" w:right="0" w:hanging="360"/>
        <w:jc w:val="both"/>
        <w:rPr/>
      </w:pPr>
      <w:r>
        <w:rPr>
          <w:color w:val="000000"/>
        </w:rPr>
        <w:t>•</w:t>
      </w:r>
      <w:r>
        <w:rPr>
          <w:rFonts w:ascii="Times New Roman;sans-serif" w:hAnsi="Times New Roman;sans-serif"/>
          <w:b w:val="false"/>
          <w:color w:val="000000"/>
          <w:sz w:val="24"/>
        </w:rPr>
        <w:t xml:space="preserve">Interest in common/collective trusts - Represents interests in pooled investment vehicles designed primarily for collective investment of employee benefit trusts. The fair value of the investments in this category has been estimated using the NAV per unit as a practical expedient provided by the fund managers. Redemption restrictions range from 1 to 30 days, and there were no unfunded commitments in this investment category. </w:t>
      </w:r>
    </w:p>
    <w:p>
      <w:pPr>
        <w:pStyle w:val="TextBody"/>
        <w:bidi w:val="0"/>
        <w:spacing w:lineRule="auto" w:line="288" w:before="0" w:after="280"/>
        <w:jc w:val="both"/>
        <w:rPr>
          <w:rFonts w:ascii="Times New Roman;sans-serif" w:hAnsi="Times New Roman;sans-serif"/>
          <w:b w:val="false"/>
          <w:color w:val="000000"/>
          <w:sz w:val="24"/>
        </w:rPr>
      </w:pPr>
      <w:r>
        <w:rPr>
          <w:rFonts w:ascii="Times New Roman;sans-serif" w:hAnsi="Times New Roman;sans-serif"/>
          <w:b w:val="false"/>
          <w:color w:val="000000"/>
          <w:sz w:val="24"/>
        </w:rPr>
        <w:t>The valuation methodologies described above may produce a fair value calculation that may not be indicative of net realizable value or reflective of future fair values. Furthermore, while the Plans believe their valuation methods are appropriate and consistent with those of other market participants, the use of different methodologies or assumptions to determine the fair value of certain financial instruments could result in a different fair value measurement at the reporting date. There have been no changes in the methodologies used at December 31, 2024 and 2023.</w:t>
      </w:r>
    </w:p>
    <w:p>
      <w:pPr>
        <w:pStyle w:val="TextBody"/>
        <w:bidi w:val="0"/>
        <w:spacing w:lineRule="auto" w:line="288" w:before="0" w:after="280"/>
        <w:jc w:val="both"/>
        <w:rPr>
          <w:rFonts w:ascii="Times New Roman;sans-serif" w:hAnsi="Times New Roman;sans-serif"/>
          <w:b w:val="false"/>
          <w:color w:val="000000"/>
          <w:sz w:val="24"/>
        </w:rPr>
      </w:pPr>
      <w:r>
        <w:rPr>
          <w:rFonts w:ascii="Times New Roman;sans-serif" w:hAnsi="Times New Roman;sans-serif"/>
          <w:b w:val="false"/>
          <w:color w:val="000000"/>
          <w:sz w:val="24"/>
        </w:rPr>
        <w:t>The following table sets forth the net assets of the Master Trust and the Master Trust's assets carried at fair value as of December 31, 2024, by level, within the fair value hierarchy:</w:t>
      </w:r>
    </w:p>
    <w:tbl>
      <w:tblPr>
        <w:tblW w:w="10205" w:type="dxa"/>
        <w:jc w:val="center"/>
        <w:tblInd w:w="0" w:type="dxa"/>
        <w:tblLayout w:type="fixed"/>
        <w:tblCellMar>
          <w:top w:w="28" w:type="dxa"/>
          <w:left w:w="28" w:type="dxa"/>
          <w:bottom w:w="28" w:type="dxa"/>
          <w:right w:w="28" w:type="dxa"/>
        </w:tblCellMar>
      </w:tblPr>
      <w:tblGrid>
        <w:gridCol w:w="1568"/>
        <w:gridCol w:w="1360"/>
        <w:gridCol w:w="1366"/>
        <w:gridCol w:w="211"/>
        <w:gridCol w:w="1441"/>
        <w:gridCol w:w="109"/>
        <w:gridCol w:w="109"/>
        <w:gridCol w:w="109"/>
        <w:gridCol w:w="109"/>
        <w:gridCol w:w="211"/>
        <w:gridCol w:w="1336"/>
        <w:gridCol w:w="109"/>
        <w:gridCol w:w="109"/>
        <w:gridCol w:w="109"/>
        <w:gridCol w:w="109"/>
        <w:gridCol w:w="212"/>
        <w:gridCol w:w="410"/>
        <w:gridCol w:w="109"/>
        <w:gridCol w:w="109"/>
        <w:gridCol w:w="109"/>
        <w:gridCol w:w="109"/>
        <w:gridCol w:w="212"/>
        <w:gridCol w:w="410"/>
        <w:gridCol w:w="160"/>
      </w:tblGrid>
      <w:tr>
        <w:trPr/>
        <w:tc>
          <w:tcPr>
            <w:tcW w:w="1568"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Master Trust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Balance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r>
      <w:tr>
        <w:trPr/>
        <w:tc>
          <w:tcPr>
            <w:tcW w:w="4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at fair value:</w:t>
            </w:r>
          </w:p>
        </w:tc>
        <w:tc>
          <w:tcPr>
            <w:tcW w:w="17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Registered investment companies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353,047,838 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353,047,838 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0"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0"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Self-directed brokerage accounts</w:t>
            </w:r>
          </w:p>
        </w:tc>
        <w:tc>
          <w:tcPr>
            <w:tcW w:w="16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347,947,988 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347,947,988 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Eli Lilly and Company common stock</w:t>
            </w:r>
          </w:p>
        </w:tc>
        <w:tc>
          <w:tcPr>
            <w:tcW w:w="16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3,586,035,728 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3,586,035,728 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w:t>
            </w:r>
          </w:p>
        </w:tc>
        <w:tc>
          <w:tcPr>
            <w:tcW w:w="16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4,287,031,554 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4,287,031,554 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in common/collective trusts, measured at NAV </w:t>
            </w:r>
          </w:p>
        </w:tc>
        <w:tc>
          <w:tcPr>
            <w:tcW w:w="16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8,284,292,489 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Master Trust investments</w:t>
              <w:br/>
              <w:t>           at fair value</w:t>
            </w:r>
          </w:p>
        </w:tc>
        <w:tc>
          <w:tcPr>
            <w:tcW w:w="16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12,571,324,043 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at contract value –</w:t>
              <w:br/>
              <w:t>   Synthetic GICs</w:t>
            </w:r>
          </w:p>
        </w:tc>
        <w:tc>
          <w:tcPr>
            <w:tcW w:w="16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964,877,239 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Master Trust investments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13,536,201,282 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0"/>
        <w:ind w:left="0" w:right="0" w:hanging="225"/>
        <w:jc w:val="center"/>
        <w:rPr/>
      </w:pPr>
      <w:r>
        <w:rPr/>
      </w:r>
    </w:p>
    <w:p>
      <w:pPr>
        <w:pStyle w:val="TextBody"/>
        <w:bidi w:val="0"/>
        <w:spacing w:lineRule="auto" w:line="417" w:before="0" w:after="0"/>
        <w:jc w:val="center"/>
        <w:rPr>
          <w:rFonts w:ascii="Times New Roman;sans-serif" w:hAnsi="Times New Roman;sans-serif"/>
          <w:b w:val="false"/>
          <w:color w:val="000000"/>
          <w:sz w:val="28"/>
        </w:rPr>
      </w:pPr>
      <w:r>
        <w:rPr>
          <w:rFonts w:ascii="Times New Roman;sans-serif" w:hAnsi="Times New Roman;sans-serif"/>
          <w:b w:val="false"/>
          <w:color w:val="000000"/>
          <w:sz w:val="28"/>
        </w:rPr>
        <w:t>The Lilly Employee 401(k) Plan and</w:t>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24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417" w:before="0" w:after="240"/>
        <w:jc w:val="center"/>
        <w:rPr>
          <w:rFonts w:ascii="Times New Roman;sans-serif" w:hAnsi="Times New Roman;sans-serif"/>
          <w:b w:val="false"/>
          <w:color w:val="000000"/>
          <w:sz w:val="28"/>
        </w:rPr>
      </w:pPr>
      <w:r>
        <w:rPr>
          <w:rFonts w:ascii="Times New Roman;sans-serif" w:hAnsi="Times New Roman;sans-serif"/>
          <w:b w:val="false"/>
          <w:color w:val="000000"/>
          <w:sz w:val="28"/>
        </w:rPr>
        <w:t>The Savings Plan for Lilly Affiliate Employees in Puerto Rico</w:t>
      </w:r>
    </w:p>
    <w:p>
      <w:pPr>
        <w:pStyle w:val="TextBody"/>
        <w:bidi w:val="0"/>
        <w:spacing w:lineRule="auto" w:line="417" w:before="0" w:after="240"/>
        <w:jc w:val="center"/>
        <w:rPr>
          <w:rFonts w:ascii="Times New Roman;sans-serif" w:hAnsi="Times New Roman;sans-serif"/>
          <w:b w:val="false"/>
          <w:color w:val="000000"/>
          <w:sz w:val="28"/>
        </w:rPr>
      </w:pPr>
      <w:r>
        <w:rPr>
          <w:rFonts w:ascii="Times New Roman;sans-serif" w:hAnsi="Times New Roman;sans-serif"/>
          <w:b w:val="false"/>
          <w:color w:val="000000"/>
          <w:sz w:val="28"/>
        </w:rPr>
        <w:t>Notes to Financial Statements, cont.</w:t>
      </w:r>
    </w:p>
    <w:p>
      <w:pPr>
        <w:pStyle w:val="TextBody"/>
        <w:bidi w:val="0"/>
        <w:spacing w:lineRule="auto" w:line="417" w:before="0" w:after="240"/>
        <w:jc w:val="center"/>
        <w:rPr>
          <w:rFonts w:ascii="Times New Roman;sans-serif" w:hAnsi="Times New Roman;sans-serif"/>
          <w:b w:val="false"/>
          <w:color w:val="000000"/>
          <w:sz w:val="28"/>
        </w:rPr>
      </w:pPr>
      <w:r>
        <w:rPr>
          <w:rFonts w:ascii="Times New Roman;sans-serif" w:hAnsi="Times New Roman;sans-serif"/>
          <w:b w:val="false"/>
          <w:color w:val="000000"/>
          <w:sz w:val="28"/>
        </w:rPr>
        <w:t>December 31, 2024 and 2023</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4"/>
        </w:rPr>
        <w:t>The following table sets forth the net assets of the Master Trust and the Master Trust's assets carried at fair value as of December 31, 2023, by level, within the fair value hierarchy</w:t>
      </w:r>
      <w:r>
        <w:rPr>
          <w:rFonts w:ascii="Times New Roman;sans-serif" w:hAnsi="Times New Roman;sans-serif"/>
          <w:b w:val="false"/>
          <w:color w:val="000000"/>
          <w:sz w:val="20"/>
        </w:rPr>
        <w:t>:</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566"/>
        <w:gridCol w:w="1361"/>
        <w:gridCol w:w="1366"/>
        <w:gridCol w:w="211"/>
        <w:gridCol w:w="1441"/>
        <w:gridCol w:w="109"/>
        <w:gridCol w:w="109"/>
        <w:gridCol w:w="109"/>
        <w:gridCol w:w="109"/>
        <w:gridCol w:w="211"/>
        <w:gridCol w:w="1336"/>
        <w:gridCol w:w="109"/>
        <w:gridCol w:w="109"/>
        <w:gridCol w:w="109"/>
        <w:gridCol w:w="109"/>
        <w:gridCol w:w="212"/>
        <w:gridCol w:w="410"/>
        <w:gridCol w:w="109"/>
        <w:gridCol w:w="109"/>
        <w:gridCol w:w="109"/>
        <w:gridCol w:w="109"/>
        <w:gridCol w:w="212"/>
        <w:gridCol w:w="410"/>
        <w:gridCol w:w="161"/>
      </w:tblGrid>
      <w:tr>
        <w:trPr/>
        <w:tc>
          <w:tcPr>
            <w:tcW w:w="1566"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Master Trust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Balance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r>
      <w:tr>
        <w:trPr/>
        <w:tc>
          <w:tcPr>
            <w:tcW w:w="42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at fair value:</w:t>
            </w:r>
          </w:p>
        </w:tc>
        <w:tc>
          <w:tcPr>
            <w:tcW w:w="17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Registered investment companies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341,626,147 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341,626,147 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0"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0"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Self-directed brokerage accounts</w:t>
            </w:r>
          </w:p>
        </w:tc>
        <w:tc>
          <w:tcPr>
            <w:tcW w:w="16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295,616,635 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295,616,635 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Eli Lilly and Company common stock</w:t>
            </w:r>
          </w:p>
        </w:tc>
        <w:tc>
          <w:tcPr>
            <w:tcW w:w="16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2,840,141,881 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2,840,141,881 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w:t>
            </w:r>
          </w:p>
        </w:tc>
        <w:tc>
          <w:tcPr>
            <w:tcW w:w="16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3,477,384,663 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3,477,384,663 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2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 common/collective trusts, measured at NAV</w:t>
            </w:r>
          </w:p>
        </w:tc>
        <w:tc>
          <w:tcPr>
            <w:tcW w:w="16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7,069,184,161 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Master Trust investments</w:t>
              <w:br/>
              <w:t>           at fair value</w:t>
            </w:r>
          </w:p>
        </w:tc>
        <w:tc>
          <w:tcPr>
            <w:tcW w:w="16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10,546,568,824 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at contract value –</w:t>
              <w:br/>
              <w:t>   Synthetic GICs</w:t>
            </w:r>
          </w:p>
        </w:tc>
        <w:tc>
          <w:tcPr>
            <w:tcW w:w="16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983,126,642 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Master Trust investments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11,529,695,466 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80"/>
        <w:ind w:left="0" w:right="0" w:hanging="225"/>
        <w:jc w:val="left"/>
        <w:rPr>
          <w:rFonts w:ascii="Times New Roman;sans-serif" w:hAnsi="Times New Roman;sans-serif"/>
          <w:b/>
          <w:color w:val="000000"/>
          <w:sz w:val="24"/>
        </w:rPr>
      </w:pPr>
      <w:r>
        <w:rPr>
          <w:rFonts w:ascii="Times New Roman;sans-serif" w:hAnsi="Times New Roman;sans-serif"/>
          <w:b/>
          <w:color w:val="000000"/>
          <w:sz w:val="24"/>
        </w:rPr>
        <w:t>Note 5 - Income Tax Status</w:t>
      </w:r>
    </w:p>
    <w:p>
      <w:pPr>
        <w:pStyle w:val="TextBody"/>
        <w:bidi w:val="0"/>
        <w:spacing w:lineRule="auto" w:line="288" w:before="0" w:after="28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401(k) Plan has received a determination letter from the IRS dated June 13, 2017, confirming generally that the 401(k) Plan meets the qualification requirements under Section 401(a) of the Internal Revenue Code (the Code) and, therefore, the related trust is exempt from taxation. Subsequent to the effective date of the determination letter, the 401(k) Plan was amended. Once qualified, the 401(k) Plan is required to operate in conformity with the Code to maintain its qualification. The plan administrator believes that the 401(k) Plan is being operated in compliance with applicable requirements of the Code and, therefore, believes that the 401(k) Plan remains qualified and the related trust is tax exempt. </w:t>
      </w:r>
    </w:p>
    <w:p>
      <w:pPr>
        <w:pStyle w:val="TextBody"/>
        <w:bidi w:val="0"/>
        <w:spacing w:lineRule="auto" w:line="288" w:before="0" w:after="280"/>
        <w:jc w:val="both"/>
        <w:rPr>
          <w:rFonts w:ascii="Times New Roman;sans-serif" w:hAnsi="Times New Roman;sans-serif"/>
          <w:b w:val="false"/>
          <w:color w:val="000000"/>
          <w:sz w:val="24"/>
        </w:rPr>
      </w:pPr>
      <w:r>
        <w:rPr>
          <w:rFonts w:ascii="Times New Roman;sans-serif" w:hAnsi="Times New Roman;sans-serif"/>
          <w:b w:val="false"/>
          <w:color w:val="000000"/>
          <w:sz w:val="24"/>
        </w:rPr>
        <w:t>The Puerto Rico Plan last received a determination letter from the Commonwealth of Puerto Rico’s Department of Treasury dated May 2, 2025, confirming generally that the Puerto Rico Plan meets the qualification requirements of Section 1081.01 of the Puerto Rico Internal Revenue Code of 2011 (the Puerto Rico Code). Once qualified, the Puerto Rico Plan is required to operate in conformity with the Puerto Rico Code to maintain its qualification. The plan administrator believes that the Puerto Rico Plan is being operated in compliance with applicable requirements of the Puerto Rico Code and, therefore, believes that the Puerto Rico Plan is qualified and the related trust is tax exempt.</w:t>
      </w:r>
    </w:p>
    <w:p>
      <w:pPr>
        <w:pStyle w:val="TextBody"/>
        <w:bidi w:val="0"/>
        <w:spacing w:lineRule="auto" w:line="288" w:before="0" w:after="28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Accounting principles generally accepted in the United States of America require plan management to evaluate tax positions taken by the Plans and recognize a tax liability if the Plans have taken an uncertain position that more likely than not would not be sustained upon examination by a relevant taxing authority. Plan management has analyzed the tax positions taken by the Plans and has concluded that there are no </w:t>
      </w:r>
    </w:p>
    <w:p>
      <w:pPr>
        <w:pStyle w:val="TextBody"/>
        <w:bidi w:val="0"/>
        <w:spacing w:lineRule="auto" w:line="417" w:before="0" w:after="0"/>
        <w:jc w:val="center"/>
        <w:rPr>
          <w:rFonts w:ascii="Times New Roman;sans-serif" w:hAnsi="Times New Roman;sans-serif"/>
          <w:b w:val="false"/>
          <w:color w:val="000000"/>
          <w:sz w:val="28"/>
        </w:rPr>
      </w:pPr>
      <w:r>
        <w:rPr>
          <w:rFonts w:ascii="Times New Roman;sans-serif" w:hAnsi="Times New Roman;sans-serif"/>
          <w:b w:val="false"/>
          <w:color w:val="000000"/>
          <w:sz w:val="28"/>
        </w:rPr>
        <w:t>The Lilly Employee 401(k) Plan and</w:t>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24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417" w:before="0" w:after="240"/>
        <w:jc w:val="center"/>
        <w:rPr>
          <w:rFonts w:ascii="Times New Roman;sans-serif" w:hAnsi="Times New Roman;sans-serif"/>
          <w:b w:val="false"/>
          <w:color w:val="000000"/>
          <w:sz w:val="28"/>
        </w:rPr>
      </w:pPr>
      <w:r>
        <w:rPr>
          <w:rFonts w:ascii="Times New Roman;sans-serif" w:hAnsi="Times New Roman;sans-serif"/>
          <w:b w:val="false"/>
          <w:color w:val="000000"/>
          <w:sz w:val="28"/>
        </w:rPr>
        <w:t>The Savings Plan for Lilly Affiliate Employees in Puerto Rico</w:t>
      </w:r>
    </w:p>
    <w:p>
      <w:pPr>
        <w:pStyle w:val="TextBody"/>
        <w:bidi w:val="0"/>
        <w:spacing w:lineRule="auto" w:line="417" w:before="0" w:after="240"/>
        <w:jc w:val="center"/>
        <w:rPr>
          <w:rFonts w:ascii="Times New Roman;sans-serif" w:hAnsi="Times New Roman;sans-serif"/>
          <w:b w:val="false"/>
          <w:color w:val="000000"/>
          <w:sz w:val="28"/>
        </w:rPr>
      </w:pPr>
      <w:r>
        <w:rPr>
          <w:rFonts w:ascii="Times New Roman;sans-serif" w:hAnsi="Times New Roman;sans-serif"/>
          <w:b w:val="false"/>
          <w:color w:val="000000"/>
          <w:sz w:val="28"/>
        </w:rPr>
        <w:t>Notes to Financial Statements, cont.</w:t>
      </w:r>
    </w:p>
    <w:p>
      <w:pPr>
        <w:pStyle w:val="TextBody"/>
        <w:bidi w:val="0"/>
        <w:spacing w:lineRule="auto" w:line="417" w:before="0" w:after="240"/>
        <w:jc w:val="center"/>
        <w:rPr>
          <w:rFonts w:ascii="Times New Roman;sans-serif" w:hAnsi="Times New Roman;sans-serif"/>
          <w:b w:val="false"/>
          <w:color w:val="000000"/>
          <w:sz w:val="28"/>
        </w:rPr>
      </w:pPr>
      <w:r>
        <w:rPr>
          <w:rFonts w:ascii="Times New Roman;sans-serif" w:hAnsi="Times New Roman;sans-serif"/>
          <w:b w:val="false"/>
          <w:color w:val="000000"/>
          <w:sz w:val="28"/>
        </w:rPr>
        <w:t>December 31, 2024 and 2023</w:t>
      </w:r>
    </w:p>
    <w:p>
      <w:pPr>
        <w:pStyle w:val="TextBody"/>
        <w:bidi w:val="0"/>
        <w:spacing w:before="0" w:after="0"/>
        <w:jc w:val="left"/>
        <w:rPr/>
      </w:pPr>
      <w:r>
        <w:rPr/>
      </w:r>
    </w:p>
    <w:p>
      <w:pPr>
        <w:pStyle w:val="TextBody"/>
        <w:bidi w:val="0"/>
        <w:spacing w:lineRule="auto" w:line="288" w:before="0" w:after="280"/>
        <w:jc w:val="both"/>
        <w:rPr>
          <w:rFonts w:ascii="Times New Roman;sans-serif" w:hAnsi="Times New Roman;sans-serif"/>
          <w:b w:val="false"/>
          <w:color w:val="000000"/>
          <w:sz w:val="24"/>
        </w:rPr>
      </w:pPr>
      <w:r>
        <w:rPr>
          <w:rFonts w:ascii="Times New Roman;sans-serif" w:hAnsi="Times New Roman;sans-serif"/>
          <w:b w:val="false"/>
          <w:color w:val="000000"/>
          <w:sz w:val="24"/>
        </w:rPr>
        <w:t>uncertain positions taken or expected to be taken. The Plans are subject to routine audits by taxing jurisdictions; however, there are currently no audits for any tax periods in progress.</w:t>
      </w:r>
    </w:p>
    <w:p>
      <w:pPr>
        <w:pStyle w:val="TextBody"/>
        <w:bidi w:val="0"/>
        <w:spacing w:lineRule="auto" w:line="288" w:before="0" w:after="280"/>
        <w:ind w:left="0" w:right="0" w:hanging="225"/>
        <w:jc w:val="left"/>
        <w:rPr>
          <w:rFonts w:ascii="Times New Roman;sans-serif" w:hAnsi="Times New Roman;sans-serif"/>
          <w:b/>
          <w:color w:val="000000"/>
          <w:sz w:val="24"/>
        </w:rPr>
      </w:pPr>
      <w:r>
        <w:rPr>
          <w:rFonts w:ascii="Times New Roman;sans-serif" w:hAnsi="Times New Roman;sans-serif"/>
          <w:b/>
          <w:color w:val="000000"/>
          <w:sz w:val="24"/>
        </w:rPr>
        <w:t>Note 6 - Risks and Uncertainties</w:t>
      </w:r>
    </w:p>
    <w:p>
      <w:pPr>
        <w:pStyle w:val="TextBody"/>
        <w:bidi w:val="0"/>
        <w:spacing w:lineRule="auto" w:line="288" w:before="0" w:after="280"/>
        <w:jc w:val="both"/>
        <w:rPr>
          <w:rFonts w:ascii="Times New Roman;sans-serif" w:hAnsi="Times New Roman;sans-serif"/>
          <w:b w:val="false"/>
          <w:color w:val="000000"/>
          <w:sz w:val="24"/>
        </w:rPr>
      </w:pPr>
      <w:r>
        <w:rPr>
          <w:rFonts w:ascii="Times New Roman;sans-serif" w:hAnsi="Times New Roman;sans-serif"/>
          <w:b w:val="false"/>
          <w:color w:val="000000"/>
          <w:sz w:val="24"/>
        </w:rPr>
        <w:t>The Plans invest in various investment securities. Investment securities are exposed to various risks, such as interest rate, credit, overall market volatility, and performance risks. Due to the level of risk associated with certain investment securities, it is at least reasonably possible that changes in the values of investment securities will occur in the near term and that such changes could materially affect participants’ account balances and the amounts reported in the statements of net assets available for benefits.</w:t>
      </w:r>
    </w:p>
    <w:p>
      <w:pPr>
        <w:pStyle w:val="TextBody"/>
        <w:bidi w:val="0"/>
        <w:spacing w:lineRule="auto" w:line="288" w:before="0" w:after="280"/>
        <w:ind w:left="0" w:right="0" w:hanging="225"/>
        <w:jc w:val="left"/>
        <w:rPr>
          <w:rFonts w:ascii="Times New Roman;sans-serif" w:hAnsi="Times New Roman;sans-serif"/>
          <w:b/>
          <w:color w:val="000000"/>
          <w:sz w:val="24"/>
        </w:rPr>
      </w:pPr>
      <w:r>
        <w:rPr>
          <w:rFonts w:ascii="Times New Roman;sans-serif" w:hAnsi="Times New Roman;sans-serif"/>
          <w:b/>
          <w:color w:val="000000"/>
          <w:sz w:val="24"/>
        </w:rPr>
        <w:t>Note 7 - Transactions with Related Parties</w:t>
      </w:r>
    </w:p>
    <w:p>
      <w:pPr>
        <w:pStyle w:val="TextBody"/>
        <w:bidi w:val="0"/>
        <w:spacing w:lineRule="auto" w:line="288" w:before="0" w:after="280"/>
        <w:jc w:val="both"/>
        <w:rPr>
          <w:rFonts w:ascii="Times New Roman;sans-serif" w:hAnsi="Times New Roman;sans-serif"/>
          <w:b w:val="false"/>
          <w:color w:val="000000"/>
          <w:sz w:val="24"/>
        </w:rPr>
      </w:pPr>
      <w:r>
        <w:rPr>
          <w:rFonts w:ascii="Times New Roman;sans-serif" w:hAnsi="Times New Roman;sans-serif"/>
          <w:b w:val="false"/>
          <w:color w:val="000000"/>
          <w:sz w:val="24"/>
        </w:rPr>
        <w:t>The Plans invest in the common stock of the Company. During 2024, the 401(k) Plan received approximately $23,211,000 in cash dividends from the Company on the common stock of the Company owned by the 401(k) Plan. During 2024, the Puerto Rico Plan received approximately $1,567,000 in cash dividends from the Company on the common stock of the Company owned by the Puerto Rico Plan. Certain plan assets are in investments managed by The Northern Trust Company. These transactions qualify as party-in interest transactions; however, they are exempt from the prohibited transaction rules under ERISA and applicable regulatory guidance.</w:t>
      </w:r>
    </w:p>
    <w:p>
      <w:pPr>
        <w:pStyle w:val="TextBody"/>
        <w:bidi w:val="0"/>
        <w:spacing w:lineRule="auto" w:line="417" w:before="0" w:after="0"/>
        <w:jc w:val="center"/>
        <w:rPr>
          <w:rFonts w:ascii="Times New Roman;sans-serif" w:hAnsi="Times New Roman;sans-serif"/>
          <w:b w:val="false"/>
          <w:color w:val="000000"/>
          <w:sz w:val="28"/>
        </w:rPr>
      </w:pPr>
      <w:r>
        <w:rPr>
          <w:rFonts w:ascii="Times New Roman;sans-serif" w:hAnsi="Times New Roman;sans-serif"/>
          <w:b w:val="false"/>
          <w:color w:val="000000"/>
          <w:sz w:val="28"/>
        </w:rPr>
        <w:t>The Lilly Employee 401(k) Plan and</w:t>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24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417" w:before="0" w:after="240"/>
        <w:jc w:val="center"/>
        <w:rPr>
          <w:rFonts w:ascii="Times New Roman;sans-serif" w:hAnsi="Times New Roman;sans-serif"/>
          <w:b w:val="false"/>
          <w:color w:val="000000"/>
          <w:sz w:val="28"/>
        </w:rPr>
      </w:pPr>
      <w:r>
        <w:rPr>
          <w:rFonts w:ascii="Times New Roman;sans-serif" w:hAnsi="Times New Roman;sans-serif"/>
          <w:b w:val="false"/>
          <w:color w:val="000000"/>
          <w:sz w:val="28"/>
        </w:rPr>
        <w:t>The Savings Plan for Lilly Affiliate Employees in Puerto Rico</w:t>
      </w:r>
    </w:p>
    <w:p>
      <w:pPr>
        <w:pStyle w:val="TextBody"/>
        <w:bidi w:val="0"/>
        <w:spacing w:lineRule="auto" w:line="417" w:before="0" w:after="240"/>
        <w:jc w:val="center"/>
        <w:rPr>
          <w:rFonts w:ascii="Times New Roman;sans-serif" w:hAnsi="Times New Roman;sans-serif"/>
          <w:b w:val="false"/>
          <w:color w:val="000000"/>
          <w:sz w:val="28"/>
        </w:rPr>
      </w:pPr>
      <w:r>
        <w:rPr>
          <w:rFonts w:ascii="Times New Roman;sans-serif" w:hAnsi="Times New Roman;sans-serif"/>
          <w:b w:val="false"/>
          <w:color w:val="000000"/>
          <w:sz w:val="28"/>
        </w:rPr>
        <w:t>Notes to Financial Statements, cont.</w:t>
      </w:r>
    </w:p>
    <w:p>
      <w:pPr>
        <w:pStyle w:val="TextBody"/>
        <w:bidi w:val="0"/>
        <w:spacing w:lineRule="auto" w:line="417" w:before="0" w:after="240"/>
        <w:jc w:val="center"/>
        <w:rPr>
          <w:rFonts w:ascii="Times New Roman;sans-serif" w:hAnsi="Times New Roman;sans-serif"/>
          <w:b w:val="false"/>
          <w:color w:val="000000"/>
          <w:sz w:val="28"/>
        </w:rPr>
      </w:pPr>
      <w:r>
        <w:rPr>
          <w:rFonts w:ascii="Times New Roman;sans-serif" w:hAnsi="Times New Roman;sans-serif"/>
          <w:b w:val="false"/>
          <w:color w:val="000000"/>
          <w:sz w:val="28"/>
        </w:rPr>
        <w:t>December 31, 2024 and 2023</w:t>
      </w:r>
    </w:p>
    <w:p>
      <w:pPr>
        <w:pStyle w:val="TextBody"/>
        <w:bidi w:val="0"/>
        <w:spacing w:before="0" w:after="0"/>
        <w:jc w:val="left"/>
        <w:rPr/>
      </w:pPr>
      <w:r>
        <w:rPr/>
      </w:r>
    </w:p>
    <w:p>
      <w:pPr>
        <w:pStyle w:val="TextBody"/>
        <w:bidi w:val="0"/>
        <w:spacing w:lineRule="auto" w:line="288" w:before="0" w:after="280"/>
        <w:ind w:left="0" w:right="0" w:hanging="225"/>
        <w:jc w:val="left"/>
        <w:rPr>
          <w:rFonts w:ascii="Times New Roman;sans-serif" w:hAnsi="Times New Roman;sans-serif"/>
          <w:b/>
          <w:color w:val="000000"/>
          <w:sz w:val="24"/>
        </w:rPr>
      </w:pPr>
      <w:r>
        <w:rPr>
          <w:rFonts w:ascii="Times New Roman;sans-serif" w:hAnsi="Times New Roman;sans-serif"/>
          <w:b/>
          <w:color w:val="000000"/>
          <w:sz w:val="24"/>
        </w:rPr>
        <w:t>Note 8 - Reconciliation of the Financial Statements to Form 5500</w:t>
      </w:r>
    </w:p>
    <w:p>
      <w:pPr>
        <w:pStyle w:val="TextBody"/>
        <w:bidi w:val="0"/>
        <w:spacing w:lineRule="auto" w:line="288" w:before="0" w:after="280"/>
        <w:jc w:val="both"/>
        <w:rPr>
          <w:rFonts w:ascii="Times New Roman;sans-serif" w:hAnsi="Times New Roman;sans-serif"/>
          <w:b w:val="false"/>
          <w:color w:val="000000"/>
          <w:sz w:val="24"/>
        </w:rPr>
      </w:pPr>
      <w:r>
        <w:rPr>
          <w:rFonts w:ascii="Times New Roman;sans-serif" w:hAnsi="Times New Roman;sans-serif"/>
          <w:b w:val="false"/>
          <w:color w:val="000000"/>
          <w:sz w:val="24"/>
        </w:rPr>
        <w:t>The following are reconciliations of net assets available for benefits as of December 31, 2024 and 2023, and the net increase in net assets available for benefits for the year ended December 31, 2024, with the corresponding amounts in the Form 5500:</w:t>
      </w:r>
    </w:p>
    <w:tbl>
      <w:tblPr>
        <w:tblW w:w="10113" w:type="dxa"/>
        <w:jc w:val="center"/>
        <w:tblInd w:w="0" w:type="dxa"/>
        <w:tblLayout w:type="fixed"/>
        <w:tblCellMar>
          <w:top w:w="28" w:type="dxa"/>
          <w:left w:w="28" w:type="dxa"/>
          <w:bottom w:w="28" w:type="dxa"/>
          <w:right w:w="28" w:type="dxa"/>
        </w:tblCellMar>
      </w:tblPr>
      <w:tblGrid>
        <w:gridCol w:w="2162"/>
        <w:gridCol w:w="1901"/>
        <w:gridCol w:w="1907"/>
        <w:gridCol w:w="226"/>
        <w:gridCol w:w="1666"/>
        <w:gridCol w:w="109"/>
        <w:gridCol w:w="109"/>
        <w:gridCol w:w="109"/>
        <w:gridCol w:w="109"/>
        <w:gridCol w:w="235"/>
        <w:gridCol w:w="1420"/>
        <w:gridCol w:w="160"/>
      </w:tblGrid>
      <w:tr>
        <w:trPr/>
        <w:tc>
          <w:tcPr>
            <w:tcW w:w="2162" w:type="dxa"/>
            <w:tcBorders/>
            <w:vAlign w:val="center"/>
          </w:tcPr>
          <w:p>
            <w:pPr>
              <w:pStyle w:val="TableContents"/>
              <w:bidi w:val="0"/>
              <w:spacing w:before="0" w:after="283"/>
              <w:jc w:val="left"/>
              <w:rPr>
                <w:sz w:val="4"/>
                <w:szCs w:val="4"/>
              </w:rPr>
            </w:pPr>
            <w:r>
              <w:rPr>
                <w:sz w:val="4"/>
                <w:szCs w:val="4"/>
              </w:rPr>
            </w:r>
          </w:p>
        </w:tc>
        <w:tc>
          <w:tcPr>
            <w:tcW w:w="1901" w:type="dxa"/>
            <w:tcBorders/>
            <w:vAlign w:val="center"/>
          </w:tcPr>
          <w:p>
            <w:pPr>
              <w:pStyle w:val="TableContents"/>
              <w:bidi w:val="0"/>
              <w:spacing w:before="0" w:after="283"/>
              <w:jc w:val="left"/>
              <w:rPr>
                <w:sz w:val="4"/>
                <w:szCs w:val="4"/>
              </w:rPr>
            </w:pPr>
            <w:r>
              <w:rPr>
                <w:sz w:val="4"/>
                <w:szCs w:val="4"/>
              </w:rPr>
            </w:r>
          </w:p>
        </w:tc>
        <w:tc>
          <w:tcPr>
            <w:tcW w:w="190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December 31, 2024</w:t>
            </w:r>
          </w:p>
        </w:tc>
      </w:tr>
      <w:tr>
        <w:trPr/>
        <w:tc>
          <w:tcPr>
            <w:tcW w:w="5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1"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401(k) Plan</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Puerto Rico Plan</w:t>
            </w:r>
          </w:p>
        </w:tc>
      </w:tr>
      <w:tr>
        <w:trPr/>
        <w:tc>
          <w:tcPr>
            <w:tcW w:w="5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1"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Net assets available for benefits at year end, as reported in the </w:t>
            </w:r>
          </w:p>
        </w:tc>
        <w:tc>
          <w:tcPr>
            <w:tcW w:w="2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2"/>
              </w:rPr>
              <w:t>accompanying financial statements</w:t>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6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13,056,609,955 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42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519,253,084 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Distributions accrued on Form 5500 at year end</w:t>
            </w:r>
          </w:p>
        </w:tc>
        <w:tc>
          <w:tcPr>
            <w:tcW w:w="18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(18,363,524)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(61,058)</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Net assets available for benefits per Form 5500</w:t>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6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13,038,246,431 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42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519,192,026 </w:t>
            </w:r>
          </w:p>
        </w:tc>
        <w:tc>
          <w:tcPr>
            <w:tcW w:w="1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December 31, 2023</w:t>
            </w:r>
          </w:p>
        </w:tc>
      </w:tr>
      <w:tr>
        <w:trPr/>
        <w:tc>
          <w:tcPr>
            <w:tcW w:w="5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1"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401(k) Plan</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Puerto Rico Plan</w:t>
            </w:r>
          </w:p>
        </w:tc>
      </w:tr>
      <w:tr>
        <w:trPr/>
        <w:tc>
          <w:tcPr>
            <w:tcW w:w="5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1"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Net assets available for benefits at year end, as reported in the</w:t>
            </w:r>
          </w:p>
        </w:tc>
        <w:tc>
          <w:tcPr>
            <w:tcW w:w="2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2"/>
              </w:rPr>
              <w:t>accompanying financial statements</w:t>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6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11,133,214,731 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42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441,870,695 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Distributions accrued on Form 5500 at year end</w:t>
            </w:r>
          </w:p>
        </w:tc>
        <w:tc>
          <w:tcPr>
            <w:tcW w:w="18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(2,765,739)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(3,943)</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Net assets available for benefits per Form 5500</w:t>
            </w:r>
          </w:p>
        </w:tc>
        <w:tc>
          <w:tcPr>
            <w:tcW w:w="2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6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11,130,448,992 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42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441,866,752 </w:t>
            </w:r>
          </w:p>
        </w:tc>
        <w:tc>
          <w:tcPr>
            <w:tcW w:w="16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9676" w:type="dxa"/>
        <w:jc w:val="center"/>
        <w:tblInd w:w="0" w:type="dxa"/>
        <w:tblLayout w:type="fixed"/>
        <w:tblCellMar>
          <w:top w:w="28" w:type="dxa"/>
          <w:left w:w="28" w:type="dxa"/>
          <w:bottom w:w="28" w:type="dxa"/>
          <w:right w:w="28" w:type="dxa"/>
        </w:tblCellMar>
      </w:tblPr>
      <w:tblGrid>
        <w:gridCol w:w="2049"/>
        <w:gridCol w:w="1801"/>
        <w:gridCol w:w="1804"/>
        <w:gridCol w:w="226"/>
        <w:gridCol w:w="1546"/>
        <w:gridCol w:w="109"/>
        <w:gridCol w:w="109"/>
        <w:gridCol w:w="109"/>
        <w:gridCol w:w="109"/>
        <w:gridCol w:w="252"/>
        <w:gridCol w:w="1391"/>
        <w:gridCol w:w="171"/>
      </w:tblGrid>
      <w:tr>
        <w:trPr/>
        <w:tc>
          <w:tcPr>
            <w:tcW w:w="2049"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283"/>
              <w:jc w:val="left"/>
              <w:rPr>
                <w:sz w:val="4"/>
                <w:szCs w:val="4"/>
              </w:rPr>
            </w:pPr>
            <w:r>
              <w:rPr>
                <w:sz w:val="4"/>
                <w:szCs w:val="4"/>
              </w:rPr>
            </w:r>
          </w:p>
        </w:tc>
        <w:tc>
          <w:tcPr>
            <w:tcW w:w="180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Year Ended December 31, 2024</w:t>
            </w:r>
          </w:p>
        </w:tc>
      </w:tr>
      <w:tr>
        <w:trPr/>
        <w:tc>
          <w:tcPr>
            <w:tcW w:w="5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1"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401(k) Plan</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Puerto Rico Plan</w:t>
            </w:r>
          </w:p>
        </w:tc>
      </w:tr>
      <w:tr>
        <w:trPr/>
        <w:tc>
          <w:tcPr>
            <w:tcW w:w="5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1"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Net increase in net assets available for benefits, as</w:t>
            </w:r>
          </w:p>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reported in the accompanying financial statements</w:t>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5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1,923,395,224 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39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77,382,389 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Distributions accrued on Form 5500 at December 31, 2024</w:t>
            </w:r>
          </w:p>
        </w:tc>
        <w:tc>
          <w:tcPr>
            <w:tcW w:w="17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(18,363,524)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(61,058)</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Distributions accrued on Form 5500 at December 31, 2023</w:t>
            </w:r>
          </w:p>
        </w:tc>
        <w:tc>
          <w:tcPr>
            <w:tcW w:w="17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2,765,739 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3,943 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Net increase in net assets available for benefits, as</w:t>
            </w:r>
          </w:p>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reported on the Form 5500</w:t>
            </w:r>
          </w:p>
        </w:tc>
        <w:tc>
          <w:tcPr>
            <w:tcW w:w="2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5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1,907,797,439 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139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77,325,274 </w:t>
            </w:r>
          </w:p>
        </w:tc>
        <w:tc>
          <w:tcPr>
            <w:tcW w:w="1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280"/>
        <w:jc w:val="both"/>
        <w:rPr/>
      </w:pPr>
      <w:r>
        <w:rPr/>
      </w:r>
    </w:p>
    <w:p>
      <w:pPr>
        <w:pStyle w:val="TextBody"/>
        <w:bidi w:val="0"/>
        <w:spacing w:before="0" w:after="2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40"/>
        </w:rPr>
      </w:pPr>
      <w:r>
        <w:rPr>
          <w:rFonts w:ascii="Times New Roman;sans-serif" w:hAnsi="Times New Roman;sans-serif"/>
          <w:b w:val="false"/>
          <w:color w:val="000000"/>
          <w:sz w:val="40"/>
        </w:rPr>
        <w:t>Supplemental Schedules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tbl>
      <w:tblPr>
        <w:tblW w:w="8867" w:type="dxa"/>
        <w:jc w:val="center"/>
        <w:tblInd w:w="0" w:type="dxa"/>
        <w:tblLayout w:type="fixed"/>
        <w:tblCellMar>
          <w:top w:w="28" w:type="dxa"/>
          <w:left w:w="28" w:type="dxa"/>
          <w:bottom w:w="28" w:type="dxa"/>
          <w:right w:w="28" w:type="dxa"/>
        </w:tblCellMar>
      </w:tblPr>
      <w:tblGrid>
        <w:gridCol w:w="1070"/>
        <w:gridCol w:w="940"/>
        <w:gridCol w:w="944"/>
        <w:gridCol w:w="804"/>
        <w:gridCol w:w="804"/>
        <w:gridCol w:w="807"/>
        <w:gridCol w:w="486"/>
        <w:gridCol w:w="2682"/>
        <w:gridCol w:w="330"/>
      </w:tblGrid>
      <w:tr>
        <w:trPr/>
        <w:tc>
          <w:tcPr>
            <w:tcW w:w="107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2682"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r>
      <w:tr>
        <w:trPr/>
        <w:tc>
          <w:tcPr>
            <w:tcW w:w="88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8"/>
              </w:rPr>
            </w:pPr>
            <w:r>
              <w:rPr>
                <w:rFonts w:ascii="Times New Roman;sans-serif" w:hAnsi="Times New Roman;sans-serif"/>
                <w:b w:val="false"/>
                <w:color w:val="000000"/>
                <w:sz w:val="28"/>
              </w:rPr>
              <w:t>The Lilly Employee 401(k) Plan</w:t>
            </w:r>
          </w:p>
        </w:tc>
      </w:tr>
      <w:tr>
        <w:trPr/>
        <w:tc>
          <w:tcPr>
            <w:tcW w:w="886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8"/>
              </w:rPr>
            </w:pPr>
            <w:r>
              <w:rPr>
                <w:rFonts w:ascii="Times New Roman;sans-serif" w:hAnsi="Times New Roman;sans-serif"/>
                <w:b w:val="false"/>
                <w:color w:val="000000"/>
                <w:sz w:val="28"/>
              </w:rPr>
              <w:t>EIN 35-0470950 Plan No. 002</w:t>
            </w:r>
          </w:p>
        </w:tc>
      </w:tr>
      <w:tr>
        <w:trPr/>
        <w:tc>
          <w:tcPr>
            <w:tcW w:w="88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8"/>
              </w:rPr>
            </w:pPr>
            <w:r>
              <w:rPr>
                <w:rFonts w:ascii="Times New Roman;sans-serif" w:hAnsi="Times New Roman;sans-serif"/>
                <w:b w:val="false"/>
                <w:color w:val="000000"/>
                <w:sz w:val="28"/>
              </w:rPr>
              <w:t>Schedule H, Line 4i – Schedule of Assets</w:t>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8"/>
              </w:rPr>
            </w:pPr>
            <w:r>
              <w:rPr>
                <w:rFonts w:ascii="Times New Roman;sans-serif" w:hAnsi="Times New Roman;sans-serif"/>
                <w:b w:val="false"/>
                <w:color w:val="000000"/>
                <w:sz w:val="28"/>
              </w:rPr>
              <w:t>(Held at End of Year)</w:t>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December 31, 2024</w:t>
            </w:r>
          </w:p>
        </w:tc>
      </w:tr>
      <w:tr>
        <w:trPr/>
        <w:tc>
          <w:tcPr>
            <w:tcW w:w="8867" w:type="dxa"/>
            <w:gridSpan w:val="9"/>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8867" w:type="dxa"/>
            <w:gridSpan w:val="9"/>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Description of</w:t>
            </w:r>
          </w:p>
        </w:tc>
        <w:tc>
          <w:tcPr>
            <w:tcW w:w="3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Investment, including</w:t>
            </w:r>
          </w:p>
        </w:tc>
        <w:tc>
          <w:tcPr>
            <w:tcW w:w="3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Maturity Date, Rate of</w:t>
            </w:r>
          </w:p>
        </w:tc>
        <w:tc>
          <w:tcPr>
            <w:tcW w:w="3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Identity of Issuer, Borrower,</w:t>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Interest, Par, or</w:t>
            </w:r>
          </w:p>
        </w:tc>
        <w:tc>
          <w:tcPr>
            <w:tcW w:w="34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Current</w:t>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Lessor, or Similar Party</w:t>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Maturity Value</w:t>
            </w:r>
          </w:p>
        </w:tc>
        <w:tc>
          <w:tcPr>
            <w:tcW w:w="34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Value</w:t>
            </w:r>
          </w:p>
        </w:tc>
      </w:tr>
      <w:tr>
        <w:trPr/>
        <w:tc>
          <w:tcPr>
            <w:tcW w:w="29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Loans to participants*</w:t>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Interest rates ranging</w:t>
            </w:r>
          </w:p>
        </w:tc>
        <w:tc>
          <w:tcPr>
            <w:tcW w:w="48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268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28,765,989 </w:t>
            </w:r>
          </w:p>
        </w:tc>
        <w:tc>
          <w:tcPr>
            <w:tcW w:w="3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2"/>
              </w:rPr>
              <w:t>from 4.25% to 10.25%</w:t>
            </w:r>
          </w:p>
        </w:tc>
        <w:tc>
          <w:tcPr>
            <w:tcW w:w="3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*Parties in interest</w:t>
            </w:r>
          </w:p>
        </w:tc>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062"/>
        <w:gridCol w:w="925"/>
        <w:gridCol w:w="918"/>
        <w:gridCol w:w="774"/>
        <w:gridCol w:w="773"/>
        <w:gridCol w:w="776"/>
        <w:gridCol w:w="745"/>
        <w:gridCol w:w="3718"/>
        <w:gridCol w:w="514"/>
      </w:tblGrid>
      <w:tr>
        <w:trPr/>
        <w:tc>
          <w:tcPr>
            <w:tcW w:w="1062"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3718"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8"/>
              </w:rPr>
            </w:pPr>
            <w:r>
              <w:rPr>
                <w:rFonts w:ascii="Times New Roman;sans-serif" w:hAnsi="Times New Roman;sans-serif"/>
                <w:b w:val="false"/>
                <w:color w:val="000000"/>
                <w:sz w:val="28"/>
              </w:rPr>
              <w:t>The Savings Plan for Lilly Affiliate Employees in Puerto Rico</w:t>
            </w:r>
          </w:p>
        </w:tc>
      </w:tr>
      <w:tr>
        <w:trPr/>
        <w:tc>
          <w:tcPr>
            <w:tcW w:w="1020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8"/>
              </w:rPr>
            </w:pPr>
            <w:r>
              <w:rPr>
                <w:rFonts w:ascii="Times New Roman;sans-serif" w:hAnsi="Times New Roman;sans-serif"/>
                <w:b w:val="false"/>
                <w:color w:val="000000"/>
                <w:sz w:val="28"/>
              </w:rPr>
              <w:t>EIN 98-0167031 Plan No. 004</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8"/>
              </w:rPr>
            </w:pPr>
            <w:r>
              <w:rPr>
                <w:rFonts w:ascii="Times New Roman;sans-serif" w:hAnsi="Times New Roman;sans-serif"/>
                <w:b w:val="false"/>
                <w:color w:val="000000"/>
                <w:sz w:val="28"/>
              </w:rPr>
              <w:t>Schedule H, Line 4i – Schedule of Assets</w:t>
            </w:r>
          </w:p>
        </w:tc>
      </w:tr>
      <w:tr>
        <w:trPr/>
        <w:tc>
          <w:tcPr>
            <w:tcW w:w="2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8"/>
              </w:rPr>
            </w:pPr>
            <w:r>
              <w:rPr>
                <w:rFonts w:ascii="Times New Roman;sans-serif" w:hAnsi="Times New Roman;sans-serif"/>
                <w:b w:val="false"/>
                <w:color w:val="000000"/>
                <w:sz w:val="28"/>
              </w:rPr>
              <w:t>(Held at End of Year)</w:t>
            </w:r>
          </w:p>
        </w:tc>
      </w:tr>
      <w:tr>
        <w:trPr/>
        <w:tc>
          <w:tcPr>
            <w:tcW w:w="2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December 31, 2024</w:t>
            </w:r>
          </w:p>
        </w:tc>
      </w:tr>
      <w:tr>
        <w:trPr/>
        <w:tc>
          <w:tcPr>
            <w:tcW w:w="1020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Description of</w:t>
            </w:r>
          </w:p>
        </w:tc>
        <w:tc>
          <w:tcPr>
            <w:tcW w:w="4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Investment, including</w:t>
            </w:r>
          </w:p>
        </w:tc>
        <w:tc>
          <w:tcPr>
            <w:tcW w:w="4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Maturity Date, Rate of</w:t>
            </w:r>
          </w:p>
        </w:tc>
        <w:tc>
          <w:tcPr>
            <w:tcW w:w="4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Identity of Issuer, Borrower,</w:t>
            </w:r>
          </w:p>
        </w:tc>
        <w:tc>
          <w:tcPr>
            <w:tcW w:w="23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Interest, Par, or</w:t>
            </w:r>
          </w:p>
        </w:tc>
        <w:tc>
          <w:tcPr>
            <w:tcW w:w="49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Current</w:t>
            </w:r>
          </w:p>
        </w:tc>
      </w:tr>
      <w:tr>
        <w:trPr/>
        <w:tc>
          <w:tcPr>
            <w:tcW w:w="29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Lessor, or Similar Party</w:t>
            </w:r>
          </w:p>
        </w:tc>
        <w:tc>
          <w:tcPr>
            <w:tcW w:w="23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Maturity Value</w:t>
            </w:r>
          </w:p>
        </w:tc>
        <w:tc>
          <w:tcPr>
            <w:tcW w:w="49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Value</w:t>
            </w:r>
          </w:p>
        </w:tc>
      </w:tr>
      <w:tr>
        <w:trPr/>
        <w:tc>
          <w:tcPr>
            <w:tcW w:w="29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Loans to participants*</w:t>
            </w:r>
          </w:p>
        </w:tc>
        <w:tc>
          <w:tcPr>
            <w:tcW w:w="23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Interest rates ranging</w:t>
            </w:r>
          </w:p>
        </w:tc>
        <w:tc>
          <w:tcPr>
            <w:tcW w:w="74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371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2,636,336 </w:t>
            </w:r>
          </w:p>
        </w:tc>
        <w:tc>
          <w:tcPr>
            <w:tcW w:w="5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2"/>
              </w:rPr>
              <w:t>from 4.25% to 9.50%</w:t>
            </w:r>
          </w:p>
        </w:tc>
        <w:tc>
          <w:tcPr>
            <w:tcW w:w="4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*Parties in interest</w:t>
            </w:r>
          </w:p>
        </w:tc>
        <w:tc>
          <w:tcPr>
            <w:tcW w:w="2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417" w:before="0" w:after="0"/>
        <w:jc w:val="center"/>
        <w:rPr>
          <w:rFonts w:ascii="Times New Roman;sans-serif" w:hAnsi="Times New Roman;sans-serif"/>
          <w:b/>
          <w:color w:val="000000"/>
          <w:sz w:val="24"/>
        </w:rPr>
      </w:pPr>
      <w:r>
        <w:rPr>
          <w:rFonts w:ascii="Times New Roman;sans-serif" w:hAnsi="Times New Roman;sans-serif"/>
          <w:b/>
          <w:color w:val="000000"/>
          <w:sz w:val="24"/>
        </w:rPr>
        <w:t>SIGNATURES</w:t>
      </w:r>
    </w:p>
    <w:p>
      <w:pPr>
        <w:pStyle w:val="TextBody"/>
        <w:bidi w:val="0"/>
        <w:spacing w:before="0" w:after="0"/>
        <w:jc w:val="center"/>
        <w:rPr/>
      </w:pPr>
      <w:r>
        <w:rPr/>
      </w:r>
    </w:p>
    <w:p>
      <w:pPr>
        <w:pStyle w:val="TextBody"/>
        <w:bidi w:val="0"/>
        <w:spacing w:lineRule="auto" w:line="417"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The Plans. Pursuant to the requirements of the Securities Exchange Act of 1934, the trustees (or other persons who administer the Plans) have duly caused this annual report to be signed on its behalf by the undersigned hereunto duly authorized.</w:t>
      </w:r>
    </w:p>
    <w:p>
      <w:pPr>
        <w:pStyle w:val="TextBody"/>
        <w:bidi w:val="0"/>
        <w:spacing w:before="0" w:after="0"/>
        <w:jc w:val="left"/>
        <w:rPr/>
      </w:pPr>
      <w:r>
        <w:rPr/>
      </w:r>
    </w:p>
    <w:p>
      <w:pPr>
        <w:pStyle w:val="TextBody"/>
        <w:bidi w:val="0"/>
        <w:spacing w:lineRule="auto" w:line="417" w:before="0" w:after="0"/>
        <w:jc w:val="left"/>
        <w:rPr>
          <w:color w:val="000000"/>
        </w:rPr>
      </w:pPr>
      <w:r>
        <w:rPr>
          <w:color w:val="000000"/>
        </w:rPr>
        <w:t>    </w:t>
      </w:r>
    </w:p>
    <w:tbl>
      <w:tblPr>
        <w:tblW w:w="9036" w:type="dxa"/>
        <w:jc w:val="left"/>
        <w:tblInd w:w="0" w:type="dxa"/>
        <w:tblLayout w:type="fixed"/>
        <w:tblCellMar>
          <w:top w:w="28" w:type="dxa"/>
          <w:left w:w="28" w:type="dxa"/>
          <w:bottom w:w="28" w:type="dxa"/>
          <w:right w:w="28" w:type="dxa"/>
        </w:tblCellMar>
      </w:tblPr>
      <w:tblGrid>
        <w:gridCol w:w="732"/>
        <w:gridCol w:w="645"/>
        <w:gridCol w:w="648"/>
        <w:gridCol w:w="109"/>
        <w:gridCol w:w="109"/>
        <w:gridCol w:w="109"/>
        <w:gridCol w:w="109"/>
        <w:gridCol w:w="109"/>
        <w:gridCol w:w="109"/>
        <w:gridCol w:w="109"/>
        <w:gridCol w:w="109"/>
        <w:gridCol w:w="109"/>
        <w:gridCol w:w="1764"/>
        <w:gridCol w:w="1764"/>
        <w:gridCol w:w="2502"/>
      </w:tblGrid>
      <w:tr>
        <w:trPr/>
        <w:tc>
          <w:tcPr>
            <w:tcW w:w="732"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4" w:type="dxa"/>
            <w:tcBorders/>
            <w:vAlign w:val="center"/>
          </w:tcPr>
          <w:p>
            <w:pPr>
              <w:pStyle w:val="TableContents"/>
              <w:bidi w:val="0"/>
              <w:spacing w:before="0" w:after="283"/>
              <w:jc w:val="left"/>
              <w:rPr>
                <w:sz w:val="4"/>
                <w:szCs w:val="4"/>
              </w:rPr>
            </w:pPr>
            <w:r>
              <w:rPr>
                <w:sz w:val="4"/>
                <w:szCs w:val="4"/>
              </w:rPr>
            </w:r>
          </w:p>
        </w:tc>
        <w:tc>
          <w:tcPr>
            <w:tcW w:w="1764"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The Lilly Employee 401(k) Plan</w:t>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Date: June 20,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 xml:space="preserve">/s/ Stacey M. Roberson </w:t>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4"/>
              </w:rPr>
              <w:t>Stacey M. Roberson</w:t>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Employee Benefits Committee Member</w:t>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The Savings Plan for Lilly Affiliate Employees in Puerto Rico</w:t>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Date: June 20,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Stacey M. Roberson</w:t>
            </w:r>
            <w:r>
              <w:rPr>
                <w:color w:val="000000"/>
              </w:rPr>
              <w:t xml:space="preserve"> </w:t>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Stacey M. Roberson</w:t>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Employee Benefits Committee Member</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417" w:before="0" w:after="0"/>
        <w:jc w:val="left"/>
        <w:rPr>
          <w:rFonts w:ascii="Times New Roman;sans-serif" w:hAnsi="Times New Roman;sans-serif"/>
          <w:b/>
          <w:color w:val="000000"/>
          <w:sz w:val="24"/>
        </w:rPr>
      </w:pPr>
      <w:r>
        <w:rPr>
          <w:rFonts w:ascii="Times New Roman;sans-serif" w:hAnsi="Times New Roman;sans-serif"/>
          <w:b/>
          <w:color w:val="000000"/>
          <w:sz w:val="24"/>
        </w:rPr>
        <w:t>Exhibit Index</w:t>
      </w:r>
    </w:p>
    <w:p>
      <w:pPr>
        <w:pStyle w:val="TextBody"/>
        <w:bidi w:val="0"/>
        <w:spacing w:before="0" w:after="0"/>
        <w:jc w:val="center"/>
        <w:rPr/>
      </w:pPr>
      <w:r>
        <w:rPr/>
      </w:r>
    </w:p>
    <w:p>
      <w:pPr>
        <w:pStyle w:val="TextBody"/>
        <w:bidi w:val="0"/>
        <w:spacing w:lineRule="auto" w:line="417"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Exhibit</w:t>
      </w:r>
    </w:p>
    <w:p>
      <w:pPr>
        <w:pStyle w:val="TextBody"/>
        <w:bidi w:val="0"/>
        <w:spacing w:lineRule="auto" w:line="417" w:before="0" w:after="0"/>
        <w:jc w:val="left"/>
        <w:rPr/>
      </w:pPr>
      <w:r>
        <w:rPr>
          <w:rFonts w:ascii="Times New Roman;sans-serif" w:hAnsi="Times New Roman;sans-serif"/>
          <w:b w:val="false"/>
          <w:color w:val="000000"/>
          <w:sz w:val="24"/>
          <w:u w:val="single"/>
        </w:rPr>
        <w:t>Number</w:t>
      </w:r>
      <w:r>
        <w:rPr>
          <w:color w:val="000000"/>
        </w:rPr>
        <w:t>        </w:t>
      </w:r>
      <w:r>
        <w:rPr>
          <w:rFonts w:ascii="Times New Roman;sans-serif" w:hAnsi="Times New Roman;sans-serif"/>
          <w:b w:val="false"/>
          <w:color w:val="000000"/>
          <w:sz w:val="24"/>
          <w:u w:val="single"/>
        </w:rPr>
        <w:t>Description</w:t>
      </w:r>
    </w:p>
    <w:p>
      <w:pPr>
        <w:pStyle w:val="TextBody"/>
        <w:bidi w:val="0"/>
        <w:spacing w:before="0" w:after="0"/>
        <w:jc w:val="left"/>
        <w:rPr/>
      </w:pPr>
      <w:r>
        <w:rPr/>
      </w:r>
    </w:p>
    <w:p>
      <w:pPr>
        <w:pStyle w:val="TextBody"/>
        <w:bidi w:val="0"/>
        <w:spacing w:lineRule="auto" w:line="417" w:before="0" w:after="0"/>
        <w:jc w:val="left"/>
        <w:rPr/>
      </w:pPr>
      <w:hyperlink w:anchor="a2025form11-kxexhibit23.htm">
        <w:r>
          <w:rPr>
            <w:rStyle w:val="InternetLink"/>
            <w:rFonts w:ascii="Times New Roman;sans-serif" w:hAnsi="Times New Roman;sans-serif"/>
            <w:b w:val="false"/>
            <w:color w:val="0000FF"/>
            <w:sz w:val="24"/>
            <w:u w:val="single"/>
          </w:rPr>
          <w:t>23</w:t>
        </w:r>
      </w:hyperlink>
      <w:r>
        <w:rPr>
          <w:color w:val="000000"/>
        </w:rPr>
        <w:t>            </w:t>
      </w:r>
      <w:hyperlink w:anchor="a2025form11-kxexhibit23.htm">
        <w:r>
          <w:rPr>
            <w:rStyle w:val="InternetLink"/>
            <w:rFonts w:ascii="Times New Roman;sans-serif" w:hAnsi="Times New Roman;sans-serif"/>
            <w:b w:val="false"/>
            <w:color w:val="0000FF"/>
            <w:sz w:val="20"/>
            <w:u w:val="single"/>
          </w:rPr>
          <w:t>Consent of Independent Registered Public Accounting Firm</w:t>
        </w:r>
      </w:hyperlink>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417" w:before="0" w:after="0"/>
        <w:jc w:val="right"/>
        <w:rPr>
          <w:rFonts w:ascii="Times New Roman;sans-serif" w:hAnsi="Times New Roman;sans-serif"/>
          <w:b/>
          <w:color w:val="000000"/>
          <w:sz w:val="22"/>
        </w:rPr>
      </w:pPr>
      <w:r>
        <w:rPr>
          <w:rFonts w:ascii="Times New Roman;sans-serif" w:hAnsi="Times New Roman;sans-serif"/>
          <w:b/>
          <w:color w:val="000000"/>
          <w:sz w:val="22"/>
        </w:rPr>
        <w:t>Exhibit 23</w:t>
      </w:r>
    </w:p>
    <w:p>
      <w:pPr>
        <w:pStyle w:val="TextBody"/>
        <w:bidi w:val="0"/>
        <w:spacing w:before="0" w:after="200"/>
        <w:jc w:val="center"/>
        <w:rPr/>
      </w:pPr>
      <w:r>
        <w:rPr/>
      </w:r>
    </w:p>
    <w:p>
      <w:pPr>
        <w:pStyle w:val="TextBody"/>
        <w:bidi w:val="0"/>
        <w:spacing w:lineRule="auto" w:line="417" w:before="0" w:after="200"/>
        <w:jc w:val="center"/>
        <w:rPr>
          <w:rFonts w:ascii="Times New Roman;sans-serif" w:hAnsi="Times New Roman;sans-serif"/>
          <w:b/>
          <w:color w:val="000000"/>
          <w:sz w:val="24"/>
        </w:rPr>
      </w:pPr>
      <w:r>
        <w:rPr>
          <w:rFonts w:ascii="Times New Roman;sans-serif" w:hAnsi="Times New Roman;sans-serif"/>
          <w:b/>
          <w:color w:val="000000"/>
          <w:sz w:val="24"/>
        </w:rPr>
        <w:t>Consent of Independent Registered Public Accounting Firm</w:t>
      </w:r>
    </w:p>
    <w:p>
      <w:pPr>
        <w:pStyle w:val="TextBody"/>
        <w:bidi w:val="0"/>
        <w:spacing w:lineRule="auto" w:line="276"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We consent to the incorporation by reference in the Registration Statements (Form S-8 Nos. 333-172422 and 333-258801) pertaining to The Lilly Employee 401(k) Plan and The Savings Plan for Lilly Affiliate Employees in Puerto Rico of Eli Lilly and Company of our report dated June 20, 2025, with respect to the financial statements and schedules of The Lilly Employee 401(k) Plan and The Savings Plan for Lilly Affiliate Employees in Puerto Rico included in this Annual Report (Form 11-K) for the year ended December 31, 2024.</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280"/>
        <w:jc w:val="left"/>
        <w:rPr>
          <w:rFonts w:ascii="Times New Roman;sans-serif" w:hAnsi="Times New Roman;sans-serif"/>
          <w:b w:val="false"/>
          <w:color w:val="000000"/>
          <w:sz w:val="24"/>
        </w:rPr>
      </w:pPr>
      <w:r>
        <w:rPr>
          <w:rFonts w:ascii="Times New Roman;sans-serif" w:hAnsi="Times New Roman;sans-serif"/>
          <w:b w:val="false"/>
          <w:color w:val="000000"/>
          <w:sz w:val="24"/>
        </w:rPr>
        <w:t>/s/ Ernst &amp; Young LLP</w:t>
      </w:r>
    </w:p>
    <w:p>
      <w:pPr>
        <w:pStyle w:val="TextBody"/>
        <w:bidi w:val="0"/>
        <w:spacing w:lineRule="auto" w:line="288" w:before="0" w:after="280"/>
        <w:jc w:val="left"/>
        <w:rPr>
          <w:rFonts w:ascii="Times New Roman;sans-serif" w:hAnsi="Times New Roman;sans-serif"/>
          <w:b w:val="false"/>
          <w:color w:val="000000"/>
          <w:sz w:val="24"/>
        </w:rPr>
      </w:pPr>
      <w:r>
        <w:rPr>
          <w:rFonts w:ascii="Times New Roman;sans-serif" w:hAnsi="Times New Roman;sans-serif"/>
          <w:b w:val="false"/>
          <w:color w:val="000000"/>
          <w:sz w:val="24"/>
        </w:rPr>
        <w:t>Indianapolis, Indiana</w:t>
      </w:r>
    </w:p>
    <w:p>
      <w:pPr>
        <w:pStyle w:val="TextBody"/>
        <w:bidi w:val="0"/>
        <w:spacing w:lineRule="auto" w:line="288" w:before="0" w:after="280"/>
        <w:jc w:val="left"/>
        <w:rPr>
          <w:rFonts w:ascii="Times New Roman;sans-serif" w:hAnsi="Times New Roman;sans-serif"/>
          <w:b w:val="false"/>
          <w:color w:val="000000"/>
          <w:sz w:val="24"/>
        </w:rPr>
      </w:pPr>
      <w:r>
        <w:rPr>
          <w:rFonts w:ascii="Times New Roman;sans-serif" w:hAnsi="Times New Roman;sans-serif"/>
          <w:b w:val="false"/>
          <w:color w:val="000000"/>
          <w:sz w:val="24"/>
        </w:rPr>
        <w:t>June 20, 2025</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68" w:before="0" w:after="0"/>
        <w:jc w:val="right"/>
        <w:rPr>
          <w:rFonts w:ascii="Times New Roman;sans-serif" w:hAnsi="Times New Roman;sans-serif"/>
          <w:b/>
          <w:color w:val="000000"/>
          <w:sz w:val="22"/>
        </w:rPr>
      </w:pPr>
      <w:r>
        <w:rPr>
          <w:rFonts w:ascii="Times New Roman;sans-serif" w:hAnsi="Times New Roman;sans-serif"/>
          <w:b/>
          <w:color w:val="000000"/>
          <w:sz w:val="22"/>
        </w:rPr>
        <w:t>Exhibit 23</w:t>
      </w:r>
    </w:p>
    <w:p>
      <w:pPr>
        <w:pStyle w:val="TextBody"/>
        <w:bidi w:val="0"/>
        <w:spacing w:before="0" w:after="200"/>
        <w:jc w:val="center"/>
        <w:rPr/>
      </w:pPr>
      <w:r>
        <w:rPr/>
      </w:r>
    </w:p>
    <w:p>
      <w:pPr>
        <w:pStyle w:val="TextBody"/>
        <w:bidi w:val="0"/>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Consent of Independent Registered Public Accounting Firm</w:t>
      </w:r>
    </w:p>
    <w:p>
      <w:pPr>
        <w:pStyle w:val="TextBody"/>
        <w:bidi w:val="0"/>
        <w:spacing w:before="0" w:after="0"/>
        <w:jc w:val="center"/>
        <w:rPr/>
      </w:pPr>
      <w:r>
        <w:rPr/>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We consent to the incorporation by reference in the Registration Statements (Form S-8 Nos. 333-172422 and 333-258801) pertaining to The Lilly Employee 401(k) Plan and The Savings Plan for Lilly Affiliate Employees in Puerto Rico of Eli Lilly and Company of our report dated June 20, 2025, with respect to the financial statements and schedules of The Lilly Employee 401(k) Plan and The Savings Plan for Lilly Affiliate Employees in Puerto Rico included in this Annual Report (Form 11-K) for the year ended December 31, 2024.</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 Ernst &amp; Young LLP</w:t>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Indianapolis, Indiana</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June 20, 2025</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24" name="Frame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24</Pages>
  <Words>5672</Words>
  <Characters>31570</Characters>
  <CharactersWithSpaces>37028</CharactersWithSpaces>
  <Paragraphs>575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