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2132965</wp:posOffset>
            </wp:positionH>
            <wp:positionV relativeFrom="paragraph">
              <wp:posOffset>141605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118" w:lineRule="exact"/>
        <w:rPr>
          <w:sz w:val="24"/>
          <w:szCs w:val="24"/>
          <w:color w:val="auto"/>
        </w:rPr>
      </w:pPr>
    </w:p>
    <w:p>
      <w:pPr>
        <w:jc w:val="center"/>
        <w:ind w:left="620" w:right="619"/>
        <w:spacing w:after="0" w:line="243" w:lineRule="auto"/>
        <w:rPr>
          <w:sz w:val="20"/>
          <w:szCs w:val="20"/>
          <w:color w:val="auto"/>
        </w:rPr>
      </w:pPr>
      <w:r>
        <w:rPr>
          <w:rFonts w:ascii="Arial" w:cs="Arial" w:eastAsia="Arial" w:hAnsi="Arial"/>
          <w:sz w:val="22"/>
          <w:szCs w:val="22"/>
          <w:b w:val="1"/>
          <w:bCs w:val="1"/>
          <w:color w:val="auto"/>
        </w:rPr>
        <w:t>Tender Offer Statement under Section 14(d)(1) or 13(e)(1) of the Securities Exchange Act of 1934 (Amendment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2132965</wp:posOffset>
            </wp:positionH>
            <wp:positionV relativeFrom="paragraph">
              <wp:posOffset>138430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LOXO ONCOLOGY,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Subject Company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BOWFIN ACQUISITION CORPORATION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(Offeror)</w:t>
      </w:r>
    </w:p>
    <w:p>
      <w:pPr>
        <w:jc w:val="center"/>
        <w:spacing w:after="0" w:line="233" w:lineRule="auto"/>
        <w:rPr>
          <w:sz w:val="20"/>
          <w:szCs w:val="20"/>
          <w:color w:val="auto"/>
        </w:rPr>
      </w:pPr>
      <w:r>
        <w:rPr>
          <w:rFonts w:ascii="Arial" w:cs="Arial" w:eastAsia="Arial" w:hAnsi="Arial"/>
          <w:sz w:val="14"/>
          <w:szCs w:val="14"/>
          <w:b w:val="1"/>
          <w:bCs w:val="1"/>
          <w:color w:val="auto"/>
        </w:rPr>
        <w:t>a wholly-owned subsidiary of</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ELI LILLY AND COMPANY</w:t>
      </w:r>
    </w:p>
    <w:p>
      <w:pPr>
        <w:jc w:val="center"/>
        <w:spacing w:after="0" w:line="222" w:lineRule="auto"/>
        <w:rPr>
          <w:sz w:val="20"/>
          <w:szCs w:val="20"/>
          <w:color w:val="auto"/>
        </w:rPr>
      </w:pPr>
      <w:r>
        <w:rPr>
          <w:rFonts w:ascii="Arial" w:cs="Arial" w:eastAsia="Arial" w:hAnsi="Arial"/>
          <w:sz w:val="14"/>
          <w:szCs w:val="14"/>
          <w:b w:val="1"/>
          <w:bCs w:val="1"/>
          <w:color w:val="auto"/>
        </w:rPr>
        <w:t>(Parent of Offeror)</w:t>
      </w:r>
    </w:p>
    <w:p>
      <w:pPr>
        <w:jc w:val="center"/>
        <w:spacing w:after="0"/>
        <w:rPr>
          <w:sz w:val="20"/>
          <w:szCs w:val="20"/>
          <w:color w:val="auto"/>
        </w:rPr>
      </w:pPr>
      <w:r>
        <w:rPr>
          <w:rFonts w:ascii="Arial" w:cs="Arial" w:eastAsia="Arial" w:hAnsi="Arial"/>
          <w:sz w:val="14"/>
          <w:szCs w:val="14"/>
          <w:b w:val="1"/>
          <w:bCs w:val="1"/>
          <w:color w:val="auto"/>
        </w:rPr>
        <w:t>(Names of Filing Persons)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548862101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 of Class of Securities)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Michael J. Harrington,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Eli Lilly and Company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Lilly Corporate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Indianapolis, Indiana 46285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(317) 276-2000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Raymond O. Gietz,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Matthew J. Gilroy,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Weil, Gotshal &amp; Manges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767 Fifth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94104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310-8000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2132965</wp:posOffset>
            </wp:positionH>
            <wp:positionV relativeFrom="paragraph">
              <wp:posOffset>165100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 w:name="page2"/>
    <w:bookmarkEnd w:id="1"/>
    <w:tbl>
      <w:tblPr>
        <w:tblLayout w:type="fixed"/>
        <w:tblInd w:w="16"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240" w:type="dxa"/>
            <w:vAlign w:val="bottom"/>
            <w:gridSpan w:val="2"/>
          </w:tcPr>
          <w:p>
            <w:pPr>
              <w:ind w:left="360"/>
              <w:spacing w:after="0"/>
              <w:rPr>
                <w:sz w:val="20"/>
                <w:szCs w:val="20"/>
                <w:color w:val="auto"/>
              </w:rPr>
            </w:pPr>
            <w:r>
              <w:rPr>
                <w:rFonts w:ascii="Arial" w:cs="Arial" w:eastAsia="Arial" w:hAnsi="Arial"/>
                <w:sz w:val="18"/>
                <w:szCs w:val="18"/>
                <w:b w:val="1"/>
                <w:bCs w:val="1"/>
                <w:color w:val="auto"/>
              </w:rPr>
              <w:t>CALCULATION OF FILING FEE</w:t>
            </w:r>
          </w:p>
        </w:tc>
      </w:tr>
      <w:tr>
        <w:trPr>
          <w:trHeight w:val="81"/>
        </w:trPr>
        <w:tc>
          <w:tcPr>
            <w:tcW w:w="378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5600" w:type="dxa"/>
            <w:vAlign w:val="bottom"/>
            <w:tcBorders>
              <w:bottom w:val="single" w:sz="8" w:color="auto"/>
            </w:tcBorders>
          </w:tcPr>
          <w:p>
            <w:pPr>
              <w:spacing w:after="0"/>
              <w:rPr>
                <w:sz w:val="7"/>
                <w:szCs w:val="7"/>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r>
        <w:trPr>
          <w:trHeight w:val="129"/>
        </w:trPr>
        <w:tc>
          <w:tcPr>
            <w:tcW w:w="3780" w:type="dxa"/>
            <w:vAlign w:val="bottom"/>
            <w:tcBorders>
              <w:bottom w:val="single" w:sz="8" w:color="auto"/>
            </w:tcBorders>
          </w:tcPr>
          <w:p>
            <w:pPr>
              <w:jc w:val="center"/>
              <w:ind w:left="1499"/>
              <w:spacing w:after="0" w:line="129" w:lineRule="exact"/>
              <w:rPr>
                <w:sz w:val="20"/>
                <w:szCs w:val="20"/>
                <w:color w:val="auto"/>
              </w:rPr>
            </w:pPr>
            <w:r>
              <w:rPr>
                <w:rFonts w:ascii="Arial" w:cs="Arial" w:eastAsia="Arial" w:hAnsi="Arial"/>
                <w:sz w:val="14"/>
                <w:szCs w:val="14"/>
                <w:b w:val="1"/>
                <w:bCs w:val="1"/>
                <w:color w:val="auto"/>
                <w:w w:val="94"/>
              </w:rPr>
              <w:t>Transaction Valuation*</w:t>
            </w:r>
          </w:p>
        </w:tc>
        <w:tc>
          <w:tcPr>
            <w:tcW w:w="1640" w:type="dxa"/>
            <w:vAlign w:val="bottom"/>
            <w:tcBorders>
              <w:bottom w:val="single" w:sz="8" w:color="auto"/>
              <w:right w:val="single" w:sz="8" w:color="auto"/>
            </w:tcBorders>
          </w:tcPr>
          <w:p>
            <w:pPr>
              <w:spacing w:after="0"/>
              <w:rPr>
                <w:sz w:val="11"/>
                <w:szCs w:val="11"/>
                <w:color w:val="auto"/>
              </w:rPr>
            </w:pPr>
          </w:p>
        </w:tc>
        <w:tc>
          <w:tcPr>
            <w:tcW w:w="56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7"/>
              </w:rPr>
              <w:t>Amount of Filing Fee**</w:t>
            </w:r>
          </w:p>
        </w:tc>
      </w:tr>
      <w:tr>
        <w:trPr>
          <w:trHeight w:val="210"/>
        </w:trPr>
        <w:tc>
          <w:tcPr>
            <w:tcW w:w="3780" w:type="dxa"/>
            <w:vAlign w:val="bottom"/>
            <w:tcBorders>
              <w:bottom w:val="single" w:sz="8" w:color="auto"/>
            </w:tcBorders>
          </w:tcPr>
          <w:p>
            <w:pPr>
              <w:jc w:val="right"/>
              <w:ind w:right="339"/>
              <w:spacing w:after="0"/>
              <w:rPr>
                <w:sz w:val="20"/>
                <w:szCs w:val="20"/>
                <w:color w:val="auto"/>
              </w:rPr>
            </w:pPr>
            <w:r>
              <w:rPr>
                <w:rFonts w:ascii="Arial" w:cs="Arial" w:eastAsia="Arial" w:hAnsi="Arial"/>
                <w:sz w:val="18"/>
                <w:szCs w:val="18"/>
                <w:color w:val="auto"/>
              </w:rPr>
              <w:t>$8,015,404,446.88</w:t>
            </w:r>
          </w:p>
        </w:tc>
        <w:tc>
          <w:tcPr>
            <w:tcW w:w="16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tcBorders>
          </w:tcPr>
          <w:p>
            <w:pPr>
              <w:jc w:val="right"/>
              <w:ind w:right="2239"/>
              <w:spacing w:after="0"/>
              <w:rPr>
                <w:sz w:val="20"/>
                <w:szCs w:val="20"/>
                <w:color w:val="auto"/>
              </w:rPr>
            </w:pPr>
            <w:r>
              <w:rPr>
                <w:rFonts w:ascii="Arial" w:cs="Arial" w:eastAsia="Arial" w:hAnsi="Arial"/>
                <w:sz w:val="18"/>
                <w:szCs w:val="18"/>
                <w:color w:val="auto"/>
              </w:rPr>
              <w:t>$971,467.02</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bl>
    <w:p>
      <w:pPr>
        <w:ind w:left="436" w:right="80" w:hanging="436"/>
        <w:spacing w:after="0" w:line="287" w:lineRule="auto"/>
        <w:tabs>
          <w:tab w:leader="none" w:pos="436"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purposes of calculating the filing fee. This calculation is based on the offer to purchase all of the issued and outstanding shares of common stock, par value $0.0001 per share, of Loxo Oncology, Inc. (“Loxo Oncology”), at a purchase price of $235.00 per share, net to the seller in cash, without interest and less any applicable tax withholding. As of 4:00 p.m., Eastern time, on January 17, 2019 (the most recent</w:t>
      </w:r>
    </w:p>
    <w:p>
      <w:pPr>
        <w:spacing w:after="0" w:line="2" w:lineRule="exact"/>
        <w:rPr>
          <w:sz w:val="20"/>
          <w:szCs w:val="20"/>
          <w:color w:val="auto"/>
        </w:rPr>
      </w:pPr>
    </w:p>
    <w:p>
      <w:pPr>
        <w:ind w:left="436" w:right="160"/>
        <w:spacing w:after="0" w:line="250" w:lineRule="auto"/>
        <w:rPr>
          <w:sz w:val="20"/>
          <w:szCs w:val="20"/>
          <w:color w:val="auto"/>
        </w:rPr>
      </w:pPr>
      <w:r>
        <w:rPr>
          <w:rFonts w:ascii="Arial" w:cs="Arial" w:eastAsia="Arial" w:hAnsi="Arial"/>
          <w:sz w:val="18"/>
          <w:szCs w:val="18"/>
          <w:color w:val="auto"/>
        </w:rPr>
        <w:t>practicable date): (i) 30,787,728 shares of Loxo Oncology common stock were issued and outstanding, (ii) no shares of Loxo Oncology common stock were held by Loxo Oncology in its treasury and (iii) 4,703,439 shares of Loxo Oncology common stock were subject to outstanding Loxo Oncology stock options.</w:t>
      </w:r>
    </w:p>
    <w:p>
      <w:pPr>
        <w:spacing w:after="0" w:line="1" w:lineRule="exact"/>
        <w:rPr>
          <w:sz w:val="20"/>
          <w:szCs w:val="20"/>
          <w:color w:val="auto"/>
        </w:rPr>
      </w:pPr>
    </w:p>
    <w:p>
      <w:pPr>
        <w:ind w:left="436" w:right="100" w:hanging="436"/>
        <w:spacing w:after="0" w:line="261" w:lineRule="auto"/>
        <w:tabs>
          <w:tab w:leader="none" w:pos="43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filing fee was calculated in accordance with Rule 0-11 under the Securities Exchange Act of 1934, as amended, and Fee Rate Advisory No. 1 for Fiscal Year 2019, issued August 24, 2018, by multiplying the transaction value by 0.0001212.</w:t>
      </w:r>
    </w:p>
    <w:p>
      <w:pPr>
        <w:spacing w:after="0" w:line="211" w:lineRule="exact"/>
        <w:rPr>
          <w:sz w:val="20"/>
          <w:szCs w:val="20"/>
          <w:color w:val="auto"/>
        </w:rPr>
      </w:pPr>
    </w:p>
    <w:p>
      <w:pPr>
        <w:ind w:left="436" w:right="320" w:hanging="436"/>
        <w:spacing w:after="0" w:line="277" w:lineRule="auto"/>
        <w:tabs>
          <w:tab w:leader="none" w:pos="436"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036"/>
          </w:cols>
          <w:pgMar w:left="444" w:top="121" w:right="419" w:bottom="1440" w:gutter="0" w:footer="0" w:header="0"/>
        </w:sectPr>
      </w:pPr>
    </w:p>
    <w:p>
      <w:pPr>
        <w:spacing w:after="0" w:line="197" w:lineRule="exact"/>
        <w:rPr>
          <w:sz w:val="20"/>
          <w:szCs w:val="20"/>
          <w:color w:val="auto"/>
        </w:rPr>
      </w:pPr>
    </w:p>
    <w:p>
      <w:pPr>
        <w:ind w:left="996"/>
        <w:spacing w:after="0"/>
        <w:rPr>
          <w:sz w:val="20"/>
          <w:szCs w:val="20"/>
          <w:color w:val="auto"/>
        </w:rPr>
      </w:pPr>
      <w:r>
        <w:rPr>
          <w:rFonts w:ascii="Arial" w:cs="Arial" w:eastAsia="Arial" w:hAnsi="Arial"/>
          <w:sz w:val="18"/>
          <w:szCs w:val="18"/>
          <w:color w:val="auto"/>
        </w:rPr>
        <w:t>Amount Previously Paid: $971,467.02</w:t>
      </w:r>
    </w:p>
    <w:p>
      <w:pPr>
        <w:spacing w:after="0" w:line="23" w:lineRule="exact"/>
        <w:rPr>
          <w:sz w:val="20"/>
          <w:szCs w:val="20"/>
          <w:color w:val="auto"/>
        </w:rPr>
      </w:pPr>
    </w:p>
    <w:p>
      <w:pPr>
        <w:ind w:left="996"/>
        <w:spacing w:after="0"/>
        <w:rPr>
          <w:sz w:val="20"/>
          <w:szCs w:val="20"/>
          <w:color w:val="auto"/>
        </w:rPr>
      </w:pPr>
      <w:r>
        <w:rPr>
          <w:rFonts w:ascii="Arial" w:cs="Arial" w:eastAsia="Arial" w:hAnsi="Arial"/>
          <w:sz w:val="16"/>
          <w:szCs w:val="16"/>
          <w:color w:val="auto"/>
        </w:rPr>
        <w:t>Form or Registration No.: Schedule TO-T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Filing Party: Bowfin Acquisition Corporation and Eli Lilly and Company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Filed: January 17, 2019</w:t>
      </w:r>
    </w:p>
    <w:p>
      <w:pPr>
        <w:spacing w:after="0" w:line="200" w:lineRule="exact"/>
        <w:rPr>
          <w:sz w:val="20"/>
          <w:szCs w:val="20"/>
          <w:color w:val="auto"/>
        </w:rPr>
      </w:pPr>
    </w:p>
    <w:p>
      <w:pPr>
        <w:sectPr>
          <w:pgSz w:w="11900" w:h="16838" w:orient="portrait"/>
          <w:cols w:equalWidth="0" w:num="2">
            <w:col w:w="4056" w:space="620"/>
            <w:col w:w="6360"/>
          </w:cols>
          <w:pgMar w:left="444" w:top="121" w:right="419" w:bottom="1440" w:gutter="0" w:footer="0" w:header="0"/>
          <w:type w:val="continuous"/>
        </w:sectPr>
      </w:pPr>
    </w:p>
    <w:p>
      <w:pPr>
        <w:spacing w:after="0" w:line="38" w:lineRule="exact"/>
        <w:rPr>
          <w:sz w:val="20"/>
          <w:szCs w:val="20"/>
          <w:color w:val="auto"/>
        </w:rPr>
      </w:pPr>
    </w:p>
    <w:p>
      <w:pPr>
        <w:ind w:left="436" w:hanging="436"/>
        <w:spacing w:after="0"/>
        <w:tabs>
          <w:tab w:leader="none" w:pos="436"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248" w:lineRule="exact"/>
        <w:rPr>
          <w:sz w:val="20"/>
          <w:szCs w:val="20"/>
          <w:color w:val="auto"/>
        </w:rPr>
      </w:pPr>
    </w:p>
    <w:p>
      <w:pPr>
        <w:ind w:left="876"/>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131" w:lineRule="exact"/>
        <w:rPr>
          <w:sz w:val="20"/>
          <w:szCs w:val="20"/>
          <w:color w:val="auto"/>
        </w:rPr>
      </w:pPr>
    </w:p>
    <w:p>
      <w:pPr>
        <w:ind w:left="1436" w:right="5820" w:hanging="5"/>
        <w:spacing w:after="0" w:line="224" w:lineRule="exact"/>
        <w:tabs>
          <w:tab w:leader="none" w:pos="1868"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 xml:space="preserve">Third-party tender offer subject to Rule 14d-1. </w:t>
      </w:r>
      <w:r>
        <w:rPr>
          <w:rFonts w:ascii="MS PGothic" w:cs="MS PGothic" w:eastAsia="MS PGothic" w:hAnsi="MS PGothic"/>
          <w:sz w:val="17"/>
          <w:szCs w:val="17"/>
          <w:color w:val="auto"/>
        </w:rPr>
        <w:t>☐</w:t>
      </w:r>
      <w:r>
        <w:rPr>
          <w:rFonts w:ascii="Arial" w:cs="Arial" w:eastAsia="Arial" w:hAnsi="Arial"/>
          <w:sz w:val="17"/>
          <w:szCs w:val="17"/>
          <w:color w:val="auto"/>
        </w:rPr>
        <w:t xml:space="preserve"> Issuer tender offer subject to Rule 13e-4.</w:t>
      </w:r>
    </w:p>
    <w:p>
      <w:pPr>
        <w:jc w:val="both"/>
        <w:ind w:left="1436" w:right="5680"/>
        <w:spacing w:after="0" w:line="225"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Going-private transaction subject to Rule 13e-3. </w:t>
      </w:r>
      <w:r>
        <w:rPr>
          <w:rFonts w:ascii="MS PGothic" w:cs="MS PGothic" w:eastAsia="MS PGothic" w:hAnsi="MS PGothic"/>
          <w:sz w:val="17"/>
          <w:szCs w:val="17"/>
          <w:color w:val="auto"/>
        </w:rPr>
        <w:t>☐</w:t>
      </w:r>
      <w:r>
        <w:rPr>
          <w:rFonts w:ascii="Arial" w:cs="Arial" w:eastAsia="Arial" w:hAnsi="Arial"/>
          <w:sz w:val="17"/>
          <w:szCs w:val="17"/>
          <w:color w:val="auto"/>
        </w:rPr>
        <w:t xml:space="preserve"> Amendment to Schedule 13D under Rule 13d-2.</w:t>
      </w:r>
    </w:p>
    <w:p>
      <w:pPr>
        <w:spacing w:after="0" w:line="150" w:lineRule="exact"/>
        <w:rPr>
          <w:sz w:val="20"/>
          <w:szCs w:val="20"/>
          <w:color w:val="auto"/>
        </w:rPr>
      </w:pPr>
    </w:p>
    <w:p>
      <w:pPr>
        <w:ind w:left="876"/>
        <w:spacing w:after="0" w:line="196" w:lineRule="exact"/>
        <w:tabs>
          <w:tab w:leader="none" w:pos="8116" w:val="left"/>
        </w:tabs>
        <w:rPr>
          <w:sz w:val="20"/>
          <w:szCs w:val="20"/>
          <w:color w:val="auto"/>
        </w:rPr>
      </w:pPr>
      <w:r>
        <w:rPr>
          <w:rFonts w:ascii="Arial" w:cs="Arial" w:eastAsia="Arial" w:hAnsi="Arial"/>
          <w:sz w:val="17"/>
          <w:szCs w:val="17"/>
          <w:color w:val="auto"/>
        </w:rPr>
        <w:t>Check the following box if the filing is a final amendment reporting the results of the tender offer:</w:t>
      </w:r>
      <w:r>
        <w:rPr>
          <w:sz w:val="20"/>
          <w:szCs w:val="20"/>
          <w:color w:val="auto"/>
        </w:rPr>
        <w:tab/>
      </w:r>
      <w:r>
        <w:rPr>
          <w:rFonts w:ascii="MS PGothic" w:cs="MS PGothic" w:eastAsia="MS PGothic" w:hAnsi="MS PGothic"/>
          <w:sz w:val="16"/>
          <w:szCs w:val="16"/>
          <w:color w:val="auto"/>
        </w:rPr>
        <w:t>☐</w:t>
      </w:r>
    </w:p>
    <w:p>
      <w:pPr>
        <w:spacing w:after="0" w:line="269" w:lineRule="exact"/>
        <w:rPr>
          <w:sz w:val="20"/>
          <w:szCs w:val="20"/>
          <w:color w:val="auto"/>
        </w:rPr>
      </w:pPr>
    </w:p>
    <w:p>
      <w:pPr>
        <w:ind w:left="876"/>
        <w:spacing w:after="0"/>
        <w:rPr>
          <w:sz w:val="20"/>
          <w:szCs w:val="20"/>
          <w:color w:val="auto"/>
        </w:rPr>
      </w:pPr>
      <w:r>
        <w:rPr>
          <w:rFonts w:ascii="Arial" w:cs="Arial" w:eastAsia="Arial" w:hAnsi="Arial"/>
          <w:sz w:val="17"/>
          <w:szCs w:val="17"/>
          <w:color w:val="auto"/>
        </w:rPr>
        <w:t>If applicable, check the appropriate box(es) below to designate the appropriate rule provision(s) relied upon:</w:t>
      </w:r>
    </w:p>
    <w:p>
      <w:pPr>
        <w:spacing w:after="0" w:line="30" w:lineRule="exact"/>
        <w:rPr>
          <w:sz w:val="20"/>
          <w:szCs w:val="20"/>
          <w:color w:val="auto"/>
        </w:rPr>
      </w:pPr>
    </w:p>
    <w:p>
      <w:pPr>
        <w:ind w:left="1856" w:hanging="425"/>
        <w:spacing w:after="0"/>
        <w:tabs>
          <w:tab w:leader="none" w:pos="1856"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pacing w:after="0" w:line="15" w:lineRule="exact"/>
        <w:rPr>
          <w:rFonts w:ascii="MS PGothic" w:cs="MS PGothic" w:eastAsia="MS PGothic" w:hAnsi="MS PGothic"/>
          <w:sz w:val="18"/>
          <w:szCs w:val="18"/>
          <w:color w:val="auto"/>
        </w:rPr>
      </w:pPr>
    </w:p>
    <w:p>
      <w:pPr>
        <w:ind w:left="1856" w:hanging="425"/>
        <w:spacing w:after="0"/>
        <w:tabs>
          <w:tab w:leader="none" w:pos="1856"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150495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193675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36"/>
          </w:cols>
          <w:pgMar w:left="444" w:top="121" w:right="419" w:bottom="1440" w:gutter="0" w:footer="0" w:header="0"/>
          <w:type w:val="continuous"/>
        </w:sectPr>
      </w:pPr>
    </w:p>
    <w:bookmarkStart w:id="2" w:name="page3"/>
    <w:bookmarkEnd w:id="2"/>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2 (this “Amendment”) amends and supplements the Tender Offer Statement on Schedule TO filed with the Securities and Exchange Commission on January 17, 2019 (together with any subsequent amendments and supplements thereto, the “Schedule TO”), by Bowfin Acquisition Corporation, a Delaware corporation (“Purchaser”) and a wholly-owned subsidiary of Eli Lilly and Company, an Indiana corporation (“Lilly”). The Schedule TO relates to the offer by Purchaser to purchase all of the outstanding shares of common stock, par value, $0.0001 per share (the “Shares”), of Loxo Oncology, Inc., a Delaware corporation (“Loxo Oncology”), at a purchase price of $235.00 per Share (the “Offer Price”), net to the seller in cash, without interest, and subject to withholding taxes, on the terms and subject to the conditions set forth in the Offer to Purchase and in the related Letter of Transmittal, copies of which are attached to the Schedule TO as Exhibits (a)(1)(A) and (a)(1)(B), respectively.</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Except as otherwise set forth in this Amendment, the information set forth in the Schedule TO remains unchanged and is incorporated herein by reference to the extent relevant to the items in this Amendment. Capitalized terms used but not defined herein have the meanings ascribed to them in the Schedule TO.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1 through 9 and Item 11.</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The disclosure in the Offer to Purchase and Item 11 of the Schedule TO is hereby amended and supplemented by amending and restating in its entirety the first sentence of the last paragraph in </w:t>
      </w:r>
      <w:r>
        <w:rPr>
          <w:rFonts w:ascii="Arial" w:cs="Arial" w:eastAsia="Arial" w:hAnsi="Arial"/>
          <w:sz w:val="18"/>
          <w:szCs w:val="18"/>
          <w:i w:val="1"/>
          <w:iCs w:val="1"/>
          <w:color w:val="auto"/>
        </w:rPr>
        <w:t>Section 16 – “Certain Legal Matters; Regulatory Approvals”</w:t>
      </w:r>
      <w:r>
        <w:rPr>
          <w:rFonts w:ascii="Arial" w:cs="Arial" w:eastAsia="Arial" w:hAnsi="Arial"/>
          <w:sz w:val="18"/>
          <w:szCs w:val="18"/>
          <w:color w:val="auto"/>
        </w:rPr>
        <w:t xml:space="preserve"> of the Offer to Purchase under the heading “</w:t>
      </w:r>
      <w:r>
        <w:rPr>
          <w:rFonts w:ascii="Arial" w:cs="Arial" w:eastAsia="Arial" w:hAnsi="Arial"/>
          <w:sz w:val="18"/>
          <w:szCs w:val="18"/>
          <w:i w:val="1"/>
          <w:iCs w:val="1"/>
          <w:color w:val="auto"/>
        </w:rPr>
        <w:t>Certain Litigation</w:t>
      </w:r>
      <w:r>
        <w:rPr>
          <w:rFonts w:ascii="Arial" w:cs="Arial" w:eastAsia="Arial" w:hAnsi="Arial"/>
          <w:sz w:val="18"/>
          <w:szCs w:val="18"/>
          <w:color w:val="auto"/>
        </w:rPr>
        <w:t>” as follows:</w:t>
      </w:r>
    </w:p>
    <w:p>
      <w:pPr>
        <w:spacing w:after="0" w:line="73"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 xml:space="preserve">“On January 31, 2019, Michael Stevens, a purported stockholder of Loxo Oncology, also filed a putative securities class action complaint in the United States District Court for the District of Delaware against Loxo Oncology and the individual members of the Board, captioned </w:t>
      </w:r>
      <w:r>
        <w:rPr>
          <w:rFonts w:ascii="Arial" w:cs="Arial" w:eastAsia="Arial" w:hAnsi="Arial"/>
          <w:sz w:val="18"/>
          <w:szCs w:val="18"/>
          <w:i w:val="1"/>
          <w:iCs w:val="1"/>
          <w:color w:val="auto"/>
        </w:rPr>
        <w:t>Michael Stevens v.</w:t>
      </w:r>
      <w:r>
        <w:rPr>
          <w:rFonts w:ascii="Arial" w:cs="Arial" w:eastAsia="Arial" w:hAnsi="Arial"/>
          <w:sz w:val="18"/>
          <w:szCs w:val="18"/>
          <w:color w:val="auto"/>
        </w:rPr>
        <w:t xml:space="preserve"> </w:t>
      </w:r>
      <w:r>
        <w:rPr>
          <w:rFonts w:ascii="Arial" w:cs="Arial" w:eastAsia="Arial" w:hAnsi="Arial"/>
          <w:sz w:val="18"/>
          <w:szCs w:val="18"/>
          <w:i w:val="1"/>
          <w:iCs w:val="1"/>
          <w:color w:val="auto"/>
        </w:rPr>
        <w:t>Loxo Oncology, Inc., et. al.</w:t>
      </w:r>
      <w:r>
        <w:rPr>
          <w:rFonts w:ascii="Arial" w:cs="Arial" w:eastAsia="Arial" w:hAnsi="Arial"/>
          <w:sz w:val="18"/>
          <w:szCs w:val="18"/>
          <w:color w:val="auto"/>
        </w:rPr>
        <w:t>, Case No. 1:19-cv-00207-UNA (the “Stevens Complaint”).”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disclosure in the Offer to Purchase and Item 11 of the Schedule TO is hereby amended and supplemented by adding the paragraph at the end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Section 16 – “Certain Legal Matters; Regulatory Approvals” </w:t>
      </w:r>
      <w:r>
        <w:rPr>
          <w:rFonts w:ascii="Arial" w:cs="Arial" w:eastAsia="Arial" w:hAnsi="Arial"/>
          <w:sz w:val="18"/>
          <w:szCs w:val="18"/>
          <w:color w:val="auto"/>
        </w:rPr>
        <w:t>of the Offer to Purchase:</w:t>
      </w:r>
    </w:p>
    <w:p>
      <w:pPr>
        <w:spacing w:after="0" w:line="103"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“On February 4, 2019, Christopher Patrick, a purported stockholder of Loxo Oncology, also filed a putative securities class action complaint in the United States District Court for the District of Delaware against Loxo Oncology, the individual members of the Board, Lilly and Purchaser, captioned </w:t>
      </w:r>
      <w:r>
        <w:rPr>
          <w:rFonts w:ascii="Arial" w:cs="Arial" w:eastAsia="Arial" w:hAnsi="Arial"/>
          <w:sz w:val="18"/>
          <w:szCs w:val="18"/>
          <w:i w:val="1"/>
          <w:iCs w:val="1"/>
          <w:color w:val="auto"/>
        </w:rPr>
        <w:t>Christopher Patrick v. Loxo Oncology, Inc., et. al.</w:t>
      </w:r>
      <w:r>
        <w:rPr>
          <w:rFonts w:ascii="Arial" w:cs="Arial" w:eastAsia="Arial" w:hAnsi="Arial"/>
          <w:sz w:val="18"/>
          <w:szCs w:val="18"/>
          <w:color w:val="auto"/>
        </w:rPr>
        <w:t>, Case No. 1:19-cv-00230-UNA (the “Patrick Complaint”). The Patrick Complaint asserts that</w:t>
      </w:r>
      <w:r>
        <w:rPr>
          <w:rFonts w:ascii="Arial" w:cs="Arial" w:eastAsia="Arial" w:hAnsi="Arial"/>
          <w:sz w:val="18"/>
          <w:szCs w:val="18"/>
          <w:i w:val="1"/>
          <w:iCs w:val="1"/>
          <w:color w:val="auto"/>
        </w:rPr>
        <w:t xml:space="preserve"> </w:t>
      </w:r>
      <w:r>
        <w:rPr>
          <w:rFonts w:ascii="Arial" w:cs="Arial" w:eastAsia="Arial" w:hAnsi="Arial"/>
          <w:sz w:val="18"/>
          <w:szCs w:val="18"/>
          <w:color w:val="auto"/>
        </w:rPr>
        <w:t>defendants violated sections 14(e) and 20(a) of the Exchange Act by making untrue statements of material fact and omitting certain material facts related to the Transactions in the Schedule 14D-9. The Patrick Complaint seeks, among other things, an order enjoining defendants from consummating the Transactions and money damages.”</w:t>
      </w:r>
    </w:p>
    <w:p>
      <w:pPr>
        <w:sectPr>
          <w:pgSz w:w="11900" w:h="16838" w:orient="portrait"/>
          <w:cols w:equalWidth="0" w:num="1">
            <w:col w:w="11020"/>
          </w:cols>
          <w:pgMar w:left="440" w:top="274" w:right="4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After due inquiry and to the best knowledge and belief of the undersigned,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2019</w:t>
      </w:r>
    </w:p>
    <w:p>
      <w:pPr>
        <w:spacing w:after="0" w:line="248"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Bowfin Acquisition Corporation</w:t>
      </w:r>
    </w:p>
    <w:p>
      <w:pPr>
        <w:spacing w:after="0" w:line="22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By: /s/ Darren J. Carroll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Darren J.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-130810</wp:posOffset>
            </wp:positionV>
            <wp:extent cx="2675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Title:</w:t>
        <w:tab/>
        <w:t>President</w:t>
      </w:r>
    </w:p>
    <w:p>
      <w:pPr>
        <w:spacing w:after="0" w:line="200" w:lineRule="exact"/>
        <w:rPr>
          <w:sz w:val="20"/>
          <w:szCs w:val="20"/>
          <w:color w:val="auto"/>
        </w:rPr>
      </w:pPr>
    </w:p>
    <w:p>
      <w:pPr>
        <w:spacing w:after="0" w:line="290"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Eli Lilly and Company</w:t>
      </w:r>
    </w:p>
    <w:p>
      <w:pPr>
        <w:spacing w:after="0" w:line="24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By: /s/ Joshua L. Smiley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4328795</wp:posOffset>
            </wp:positionH>
            <wp:positionV relativeFrom="paragraph">
              <wp:posOffset>-130810</wp:posOffset>
            </wp:positionV>
            <wp:extent cx="26758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jc w:val="both"/>
        <w:ind w:left="6860"/>
        <w:spacing w:after="0"/>
        <w:tabs>
          <w:tab w:leader="none" w:pos="7400" w:val="left"/>
        </w:tabs>
        <w:rPr>
          <w:sz w:val="20"/>
          <w:szCs w:val="20"/>
          <w:color w:val="auto"/>
        </w:rPr>
      </w:pPr>
      <w:r>
        <w:rPr>
          <w:rFonts w:ascii="Arial" w:cs="Arial" w:eastAsia="Arial" w:hAnsi="Arial"/>
          <w:sz w:val="18"/>
          <w:szCs w:val="18"/>
          <w:color w:val="auto"/>
        </w:rPr>
        <w:t>Title:</w:t>
        <w:tab/>
        <w:t>Senior Vice President and Chief Financial Officer</w:t>
      </w:r>
    </w:p>
    <w:p>
      <w:pPr>
        <w:sectPr>
          <w:pgSz w:w="11900" w:h="16838" w:orient="portrait"/>
          <w:cols w:equalWidth="0" w:num="1">
            <w:col w:w="11020"/>
          </w:cols>
          <w:pgMar w:left="440" w:top="270"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0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399"/>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420" w:type="dxa"/>
            <w:vAlign w:val="bottom"/>
          </w:tcPr>
          <w:p>
            <w:pPr>
              <w:spacing w:after="0"/>
              <w:rPr>
                <w:sz w:val="24"/>
                <w:szCs w:val="24"/>
                <w:color w:val="auto"/>
              </w:rPr>
            </w:pPr>
          </w:p>
        </w:tc>
        <w:tc>
          <w:tcPr>
            <w:tcW w:w="9900" w:type="dxa"/>
            <w:vAlign w:val="bottom"/>
            <w:tcBorders>
              <w:bottom w:val="single" w:sz="8" w:color="auto"/>
            </w:tcBorders>
          </w:tcPr>
          <w:p>
            <w:pPr>
              <w:ind w:left="4580"/>
              <w:spacing w:after="0"/>
              <w:rPr>
                <w:sz w:val="20"/>
                <w:szCs w:val="20"/>
                <w:color w:val="auto"/>
              </w:rPr>
            </w:pPr>
            <w:r>
              <w:rPr>
                <w:rFonts w:ascii="Arial" w:cs="Arial" w:eastAsia="Arial" w:hAnsi="Arial"/>
                <w:sz w:val="14"/>
                <w:szCs w:val="14"/>
                <w:b w:val="1"/>
                <w:bCs w:val="1"/>
                <w:color w:val="auto"/>
              </w:rPr>
              <w:t>Description</w:t>
            </w:r>
          </w:p>
        </w:tc>
      </w:tr>
      <w:tr>
        <w:trPr>
          <w:trHeight w:val="311"/>
        </w:trPr>
        <w:tc>
          <w:tcPr>
            <w:tcW w:w="720" w:type="dxa"/>
            <w:vAlign w:val="bottom"/>
          </w:tcPr>
          <w:p>
            <w:pPr>
              <w:spacing w:after="0"/>
              <w:rPr>
                <w:sz w:val="20"/>
                <w:szCs w:val="20"/>
                <w:color w:val="auto"/>
              </w:rPr>
            </w:pPr>
            <w:r>
              <w:rPr>
                <w:rFonts w:ascii="Arial" w:cs="Arial" w:eastAsia="Arial" w:hAnsi="Arial"/>
                <w:sz w:val="18"/>
                <w:szCs w:val="18"/>
                <w:color w:val="auto"/>
              </w:rPr>
              <w:t>(a)(1)(A)</w:t>
            </w:r>
          </w:p>
        </w:tc>
        <w:tc>
          <w:tcPr>
            <w:tcW w:w="10320" w:type="dxa"/>
            <w:vAlign w:val="bottom"/>
            <w:gridSpan w:val="2"/>
          </w:tcPr>
          <w:p>
            <w:pPr>
              <w:ind w:left="420"/>
              <w:spacing w:after="0"/>
              <w:rPr>
                <w:sz w:val="20"/>
                <w:szCs w:val="20"/>
                <w:color w:val="auto"/>
              </w:rPr>
            </w:pPr>
            <w:r>
              <w:rPr>
                <w:rFonts w:ascii="Arial" w:cs="Arial" w:eastAsia="Arial" w:hAnsi="Arial"/>
                <w:sz w:val="18"/>
                <w:szCs w:val="18"/>
                <w:color w:val="auto"/>
              </w:rPr>
              <w:t>Offer to Purchase, dated January 17, 2019.*</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(a)(1)(B)</w:t>
            </w:r>
          </w:p>
        </w:tc>
        <w:tc>
          <w:tcPr>
            <w:tcW w:w="10320" w:type="dxa"/>
            <w:vAlign w:val="bottom"/>
            <w:gridSpan w:val="2"/>
          </w:tcPr>
          <w:p>
            <w:pPr>
              <w:ind w:left="420"/>
              <w:spacing w:after="0"/>
              <w:rPr>
                <w:sz w:val="20"/>
                <w:szCs w:val="20"/>
                <w:color w:val="auto"/>
              </w:rPr>
            </w:pPr>
            <w:r>
              <w:rPr>
                <w:rFonts w:ascii="Arial" w:cs="Arial" w:eastAsia="Arial" w:hAnsi="Arial"/>
                <w:sz w:val="18"/>
                <w:szCs w:val="18"/>
                <w:color w:val="auto"/>
              </w:rPr>
              <w:t>Letter of Transmittal (including Guidelines for Certification of Taxpayer Identification Number on IRS Form W-9).*</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(a)(1)(C)</w:t>
            </w:r>
          </w:p>
        </w:tc>
        <w:tc>
          <w:tcPr>
            <w:tcW w:w="10320" w:type="dxa"/>
            <w:vAlign w:val="bottom"/>
            <w:gridSpan w:val="2"/>
          </w:tcPr>
          <w:p>
            <w:pPr>
              <w:ind w:left="420"/>
              <w:spacing w:after="0"/>
              <w:rPr>
                <w:sz w:val="20"/>
                <w:szCs w:val="20"/>
                <w:color w:val="auto"/>
              </w:rPr>
            </w:pPr>
            <w:r>
              <w:rPr>
                <w:rFonts w:ascii="Arial" w:cs="Arial" w:eastAsia="Arial" w:hAnsi="Arial"/>
                <w:sz w:val="18"/>
                <w:szCs w:val="18"/>
                <w:color w:val="auto"/>
              </w:rPr>
              <w:t>Letter to Brokers, Dealers, Commercial Banks, Trust Companies and Other Nominees.*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(a)(1)(D)</w:t>
            </w:r>
          </w:p>
        </w:tc>
        <w:tc>
          <w:tcPr>
            <w:tcW w:w="10320" w:type="dxa"/>
            <w:vAlign w:val="bottom"/>
            <w:gridSpan w:val="2"/>
          </w:tcPr>
          <w:p>
            <w:pPr>
              <w:ind w:left="420"/>
              <w:spacing w:after="0"/>
              <w:rPr>
                <w:sz w:val="20"/>
                <w:szCs w:val="20"/>
                <w:color w:val="auto"/>
              </w:rPr>
            </w:pPr>
            <w:r>
              <w:rPr>
                <w:rFonts w:ascii="Arial" w:cs="Arial" w:eastAsia="Arial" w:hAnsi="Arial"/>
                <w:sz w:val="18"/>
                <w:szCs w:val="18"/>
                <w:color w:val="auto"/>
              </w:rPr>
              <w:t>Letter to Clients for use by Brokers, Dealers, Commercial Banks, Trust Companies and Other Nominees.*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(a)(1)(E)</w:t>
            </w:r>
          </w:p>
        </w:tc>
        <w:tc>
          <w:tcPr>
            <w:tcW w:w="10320" w:type="dxa"/>
            <w:vAlign w:val="bottom"/>
            <w:gridSpan w:val="2"/>
          </w:tcPr>
          <w:p>
            <w:pPr>
              <w:ind w:left="420"/>
              <w:spacing w:after="0"/>
              <w:rPr>
                <w:sz w:val="20"/>
                <w:szCs w:val="20"/>
                <w:color w:val="auto"/>
              </w:rPr>
            </w:pPr>
            <w:r>
              <w:rPr>
                <w:rFonts w:ascii="Arial" w:cs="Arial" w:eastAsia="Arial" w:hAnsi="Arial"/>
                <w:sz w:val="18"/>
                <w:szCs w:val="18"/>
                <w:color w:val="auto"/>
              </w:rPr>
              <w:t>Summary Advertisement, dated January 17, 2019.*</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(a)(5)(A)</w:t>
            </w:r>
          </w:p>
        </w:tc>
        <w:tc>
          <w:tcPr>
            <w:tcW w:w="10320" w:type="dxa"/>
            <w:vAlign w:val="bottom"/>
            <w:gridSpan w:val="2"/>
          </w:tcPr>
          <w:p>
            <w:pPr>
              <w:ind w:left="420"/>
              <w:spacing w:after="0"/>
              <w:rPr>
                <w:sz w:val="20"/>
                <w:szCs w:val="20"/>
                <w:color w:val="auto"/>
              </w:rPr>
            </w:pPr>
            <w:r>
              <w:rPr>
                <w:rFonts w:ascii="Arial" w:cs="Arial" w:eastAsia="Arial" w:hAnsi="Arial"/>
                <w:sz w:val="18"/>
                <w:szCs w:val="18"/>
                <w:color w:val="auto"/>
                <w:w w:val="92"/>
              </w:rPr>
              <w:t>Joint Press Release issued by Eli Lilly and Company and Loxo Oncology, Inc. on January 7, 2019 (incorporated by reference to Exhibit</w:t>
            </w:r>
          </w:p>
        </w:tc>
      </w:tr>
      <w:tr>
        <w:trPr>
          <w:trHeight w:val="230"/>
        </w:trPr>
        <w:tc>
          <w:tcPr>
            <w:tcW w:w="720" w:type="dxa"/>
            <w:vAlign w:val="bottom"/>
          </w:tcPr>
          <w:p>
            <w:pPr>
              <w:spacing w:after="0"/>
              <w:rPr>
                <w:sz w:val="20"/>
                <w:szCs w:val="20"/>
                <w:color w:val="auto"/>
              </w:rPr>
            </w:pPr>
          </w:p>
        </w:tc>
        <w:tc>
          <w:tcPr>
            <w:tcW w:w="10320" w:type="dxa"/>
            <w:vAlign w:val="bottom"/>
            <w:gridSpan w:val="2"/>
          </w:tcPr>
          <w:p>
            <w:pPr>
              <w:ind w:left="420"/>
              <w:spacing w:after="0"/>
              <w:rPr>
                <w:sz w:val="20"/>
                <w:szCs w:val="20"/>
                <w:color w:val="auto"/>
              </w:rPr>
            </w:pPr>
            <w:r>
              <w:rPr>
                <w:rFonts w:ascii="Arial" w:cs="Arial" w:eastAsia="Arial" w:hAnsi="Arial"/>
                <w:sz w:val="18"/>
                <w:szCs w:val="18"/>
                <w:color w:val="auto"/>
              </w:rPr>
              <w:t>99.1 to the Current Report on Form 8-K filed by Lilly on January 7, 2019).*</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(a)(5)(B)</w:t>
            </w:r>
          </w:p>
        </w:tc>
        <w:tc>
          <w:tcPr>
            <w:tcW w:w="10320" w:type="dxa"/>
            <w:vAlign w:val="bottom"/>
            <w:gridSpan w:val="2"/>
          </w:tcPr>
          <w:p>
            <w:pPr>
              <w:ind w:left="420"/>
              <w:spacing w:after="0"/>
              <w:rPr>
                <w:sz w:val="20"/>
                <w:szCs w:val="20"/>
                <w:color w:val="auto"/>
              </w:rPr>
            </w:pPr>
            <w:r>
              <w:rPr>
                <w:rFonts w:ascii="Arial" w:cs="Arial" w:eastAsia="Arial" w:hAnsi="Arial"/>
                <w:sz w:val="18"/>
                <w:szCs w:val="18"/>
                <w:color w:val="auto"/>
              </w:rPr>
              <w:t>Joint Press Release issued by Eli Lilly and Company and Loxo Oncology, Inc. on February 1, 2019.*</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140" w:hanging="113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(d)(1)</w:t>
            </w:r>
          </w:p>
        </w:tc>
        <w:tc>
          <w:tcPr>
            <w:tcW w:w="10240" w:type="dxa"/>
            <w:vAlign w:val="bottom"/>
          </w:tcPr>
          <w:p>
            <w:pPr>
              <w:ind w:left="360"/>
              <w:spacing w:after="0"/>
              <w:rPr>
                <w:sz w:val="20"/>
                <w:szCs w:val="20"/>
                <w:color w:val="auto"/>
              </w:rPr>
            </w:pPr>
            <w:r>
              <w:rPr>
                <w:rFonts w:ascii="Arial" w:cs="Arial" w:eastAsia="Arial" w:hAnsi="Arial"/>
                <w:sz w:val="18"/>
                <w:szCs w:val="18"/>
                <w:color w:val="auto"/>
                <w:w w:val="92"/>
              </w:rPr>
              <w:t>Agreement and Plan of Merger, dated January 5, 2019, by and among Eli Lilly and Company, Bowfin Acquisition Corporation and Loxo</w:t>
            </w:r>
          </w:p>
        </w:tc>
      </w:tr>
      <w:tr>
        <w:trPr>
          <w:trHeight w:val="216"/>
        </w:trPr>
        <w:tc>
          <w:tcPr>
            <w:tcW w:w="780" w:type="dxa"/>
            <w:vAlign w:val="bottom"/>
          </w:tcPr>
          <w:p>
            <w:pPr>
              <w:spacing w:after="0"/>
              <w:rPr>
                <w:sz w:val="18"/>
                <w:szCs w:val="18"/>
                <w:color w:val="auto"/>
              </w:rPr>
            </w:pPr>
          </w:p>
        </w:tc>
        <w:tc>
          <w:tcPr>
            <w:tcW w:w="10240" w:type="dxa"/>
            <w:vAlign w:val="bottom"/>
          </w:tcPr>
          <w:p>
            <w:pPr>
              <w:ind w:left="360"/>
              <w:spacing w:after="0"/>
              <w:rPr>
                <w:sz w:val="20"/>
                <w:szCs w:val="20"/>
                <w:color w:val="auto"/>
              </w:rPr>
            </w:pPr>
            <w:r>
              <w:rPr>
                <w:rFonts w:ascii="Arial" w:cs="Arial" w:eastAsia="Arial" w:hAnsi="Arial"/>
                <w:sz w:val="18"/>
                <w:szCs w:val="18"/>
                <w:color w:val="auto"/>
                <w:w w:val="93"/>
              </w:rPr>
              <w:t>Oncology, Inc. (incorporated by reference to Exhibit 2.1 to the Current Report on Form 8-K filed by Loxo Oncology, Inc. on January 7,</w:t>
            </w:r>
          </w:p>
        </w:tc>
      </w:tr>
      <w:tr>
        <w:trPr>
          <w:trHeight w:val="230"/>
        </w:trPr>
        <w:tc>
          <w:tcPr>
            <w:tcW w:w="780" w:type="dxa"/>
            <w:vAlign w:val="bottom"/>
          </w:tcPr>
          <w:p>
            <w:pPr>
              <w:spacing w:after="0"/>
              <w:rPr>
                <w:sz w:val="20"/>
                <w:szCs w:val="20"/>
                <w:color w:val="auto"/>
              </w:rPr>
            </w:pPr>
          </w:p>
        </w:tc>
        <w:tc>
          <w:tcPr>
            <w:tcW w:w="10240" w:type="dxa"/>
            <w:vAlign w:val="bottom"/>
          </w:tcPr>
          <w:p>
            <w:pPr>
              <w:ind w:left="360"/>
              <w:spacing w:after="0"/>
              <w:rPr>
                <w:sz w:val="20"/>
                <w:szCs w:val="20"/>
                <w:color w:val="auto"/>
              </w:rPr>
            </w:pPr>
            <w:r>
              <w:rPr>
                <w:rFonts w:ascii="Arial" w:cs="Arial" w:eastAsia="Arial" w:hAnsi="Arial"/>
                <w:sz w:val="18"/>
                <w:szCs w:val="18"/>
                <w:color w:val="auto"/>
              </w:rPr>
              <w:t>2019).*</w:t>
            </w:r>
          </w:p>
        </w:tc>
      </w:tr>
      <w:tr>
        <w:trPr>
          <w:trHeight w:val="310"/>
        </w:trPr>
        <w:tc>
          <w:tcPr>
            <w:tcW w:w="780" w:type="dxa"/>
            <w:vAlign w:val="bottom"/>
          </w:tcPr>
          <w:p>
            <w:pPr>
              <w:spacing w:after="0"/>
              <w:rPr>
                <w:sz w:val="20"/>
                <w:szCs w:val="20"/>
                <w:color w:val="auto"/>
              </w:rPr>
            </w:pPr>
            <w:r>
              <w:rPr>
                <w:rFonts w:ascii="Arial" w:cs="Arial" w:eastAsia="Arial" w:hAnsi="Arial"/>
                <w:sz w:val="18"/>
                <w:szCs w:val="18"/>
                <w:color w:val="auto"/>
              </w:rPr>
              <w:t>(d)(2)</w:t>
            </w:r>
          </w:p>
        </w:tc>
        <w:tc>
          <w:tcPr>
            <w:tcW w:w="10240" w:type="dxa"/>
            <w:vAlign w:val="bottom"/>
          </w:tcPr>
          <w:p>
            <w:pPr>
              <w:ind w:left="360"/>
              <w:spacing w:after="0"/>
              <w:rPr>
                <w:sz w:val="20"/>
                <w:szCs w:val="20"/>
                <w:color w:val="auto"/>
              </w:rPr>
            </w:pPr>
            <w:r>
              <w:rPr>
                <w:rFonts w:ascii="Arial" w:cs="Arial" w:eastAsia="Arial" w:hAnsi="Arial"/>
                <w:sz w:val="18"/>
                <w:szCs w:val="18"/>
                <w:color w:val="auto"/>
                <w:w w:val="92"/>
              </w:rPr>
              <w:t>Tender and Support Agreement by and among Eli Lilly and Company, Bowfin Acquisition Corporation and Aisling Capital III, LP, dated</w:t>
            </w:r>
          </w:p>
        </w:tc>
      </w:tr>
      <w:tr>
        <w:trPr>
          <w:trHeight w:val="216"/>
        </w:trPr>
        <w:tc>
          <w:tcPr>
            <w:tcW w:w="780" w:type="dxa"/>
            <w:vAlign w:val="bottom"/>
          </w:tcPr>
          <w:p>
            <w:pPr>
              <w:spacing w:after="0"/>
              <w:rPr>
                <w:sz w:val="18"/>
                <w:szCs w:val="18"/>
                <w:color w:val="auto"/>
              </w:rPr>
            </w:pPr>
          </w:p>
        </w:tc>
        <w:tc>
          <w:tcPr>
            <w:tcW w:w="10240" w:type="dxa"/>
            <w:vAlign w:val="bottom"/>
          </w:tcPr>
          <w:p>
            <w:pPr>
              <w:ind w:left="360"/>
              <w:spacing w:after="0"/>
              <w:rPr>
                <w:sz w:val="20"/>
                <w:szCs w:val="20"/>
                <w:color w:val="auto"/>
              </w:rPr>
            </w:pPr>
            <w:r>
              <w:rPr>
                <w:rFonts w:ascii="Arial" w:cs="Arial" w:eastAsia="Arial" w:hAnsi="Arial"/>
                <w:sz w:val="18"/>
                <w:szCs w:val="18"/>
                <w:color w:val="auto"/>
                <w:w w:val="99"/>
              </w:rPr>
              <w:t>January 5, 2019 (incorporated by reference to Exhibit 10.1 to the Current Report on Form 8-K filed by Loxo Oncology, Inc. on</w:t>
            </w:r>
          </w:p>
        </w:tc>
      </w:tr>
      <w:tr>
        <w:trPr>
          <w:trHeight w:val="230"/>
        </w:trPr>
        <w:tc>
          <w:tcPr>
            <w:tcW w:w="780" w:type="dxa"/>
            <w:vAlign w:val="bottom"/>
          </w:tcPr>
          <w:p>
            <w:pPr>
              <w:spacing w:after="0"/>
              <w:rPr>
                <w:sz w:val="20"/>
                <w:szCs w:val="20"/>
                <w:color w:val="auto"/>
              </w:rPr>
            </w:pPr>
          </w:p>
        </w:tc>
        <w:tc>
          <w:tcPr>
            <w:tcW w:w="10240" w:type="dxa"/>
            <w:vAlign w:val="bottom"/>
          </w:tcPr>
          <w:p>
            <w:pPr>
              <w:ind w:left="360"/>
              <w:spacing w:after="0"/>
              <w:rPr>
                <w:sz w:val="20"/>
                <w:szCs w:val="20"/>
                <w:color w:val="auto"/>
              </w:rPr>
            </w:pPr>
            <w:r>
              <w:rPr>
                <w:rFonts w:ascii="Arial" w:cs="Arial" w:eastAsia="Arial" w:hAnsi="Arial"/>
                <w:sz w:val="18"/>
                <w:szCs w:val="18"/>
                <w:color w:val="auto"/>
              </w:rPr>
              <w:t>January 7, 2019).*</w:t>
            </w:r>
          </w:p>
        </w:tc>
      </w:tr>
      <w:tr>
        <w:trPr>
          <w:trHeight w:val="324"/>
        </w:trPr>
        <w:tc>
          <w:tcPr>
            <w:tcW w:w="780" w:type="dxa"/>
            <w:vAlign w:val="bottom"/>
          </w:tcPr>
          <w:p>
            <w:pPr>
              <w:spacing w:after="0"/>
              <w:rPr>
                <w:sz w:val="20"/>
                <w:szCs w:val="20"/>
                <w:color w:val="auto"/>
              </w:rPr>
            </w:pPr>
            <w:r>
              <w:rPr>
                <w:rFonts w:ascii="Arial" w:cs="Arial" w:eastAsia="Arial" w:hAnsi="Arial"/>
                <w:sz w:val="18"/>
                <w:szCs w:val="18"/>
                <w:color w:val="auto"/>
              </w:rPr>
              <w:t>(d)(3)</w:t>
            </w:r>
          </w:p>
        </w:tc>
        <w:tc>
          <w:tcPr>
            <w:tcW w:w="10240" w:type="dxa"/>
            <w:vAlign w:val="bottom"/>
          </w:tcPr>
          <w:p>
            <w:pPr>
              <w:ind w:left="360"/>
              <w:spacing w:after="0"/>
              <w:rPr>
                <w:sz w:val="20"/>
                <w:szCs w:val="20"/>
                <w:color w:val="auto"/>
              </w:rPr>
            </w:pPr>
            <w:r>
              <w:rPr>
                <w:rFonts w:ascii="Arial" w:cs="Arial" w:eastAsia="Arial" w:hAnsi="Arial"/>
                <w:sz w:val="18"/>
                <w:szCs w:val="18"/>
                <w:color w:val="auto"/>
              </w:rPr>
              <w:t>Non-Disclosure Agreement between Loxo Oncology, Inc. and Eli Lilly and Company dated December 22, 2018.*</w:t>
            </w:r>
          </w:p>
        </w:tc>
      </w:tr>
    </w:tbl>
    <w:p>
      <w:pPr>
        <w:spacing w:after="0" w:line="94" w:lineRule="exact"/>
        <w:rPr>
          <w:sz w:val="20"/>
          <w:szCs w:val="20"/>
          <w:color w:val="auto"/>
        </w:rPr>
      </w:pPr>
    </w:p>
    <w:p>
      <w:pPr>
        <w:ind w:left="1140" w:hanging="113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140" w:hanging="113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694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78" w:lineRule="exact"/>
        <w:rPr>
          <w:sz w:val="20"/>
          <w:szCs w:val="20"/>
          <w:color w:val="auto"/>
        </w:rPr>
      </w:pPr>
    </w:p>
    <w:p>
      <w:pPr>
        <w:ind w:left="440" w:hanging="43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Previously filed.</w:t>
      </w: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7"/>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2019-12-21T00:25:57Z</dcterms:created>
  <dcterms:modified xsi:type="dcterms:W3CDTF">2019-12-21T00:25:57Z</dcterms:modified>
</cp:coreProperties>
</file>