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ind w:left="3900" w:right="720" w:hanging="1898"/>
        <w:spacing w:after="0" w:line="317" w:lineRule="auto"/>
        <w:tabs>
          <w:tab w:leader="none" w:pos="3880" w:val="left"/>
        </w:tabs>
        <w:rPr>
          <w:sz w:val="20"/>
          <w:szCs w:val="20"/>
          <w:color w:val="auto"/>
        </w:rPr>
      </w:pPr>
      <w:r>
        <w:rPr>
          <w:rFonts w:ascii="Arial" w:cs="Arial" w:eastAsia="Arial" w:hAnsi="Arial"/>
          <w:sz w:val="16"/>
          <w:szCs w:val="16"/>
          <w:color w:val="auto"/>
        </w:rPr>
        <w:t>An Indiana corporation</w:t>
      </w:r>
      <w:r>
        <w:rPr>
          <w:sz w:val="20"/>
          <w:szCs w:val="20"/>
          <w:color w:val="auto"/>
        </w:rPr>
        <w:tab/>
      </w:r>
      <w:r>
        <w:rPr>
          <w:rFonts w:ascii="Arial" w:cs="Arial" w:eastAsia="Arial" w:hAnsi="Arial"/>
          <w:sz w:val="16"/>
          <w:szCs w:val="16"/>
          <w:color w:val="auto"/>
        </w:rPr>
        <w:t>I.R.S. employer identification no. 35-0470950 Lilly Corporate Center, Indianapolis, Indiana 46285</w:t>
      </w:r>
    </w:p>
    <w:p>
      <w:pPr>
        <w:ind w:left="5580" w:hanging="420"/>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276-2000</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b w:val="1"/>
          <w:bCs w:val="1"/>
          <w:color w:val="auto"/>
        </w:rPr>
        <w:t>Securities registered pursuant to Section 12(b) of the Exchange Act:</w:t>
      </w:r>
    </w:p>
    <w:p>
      <w:pPr>
        <w:spacing w:after="0" w:line="175"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w:t>
            </w:r>
          </w:p>
        </w:tc>
        <w:tc>
          <w:tcPr>
            <w:tcW w:w="4500" w:type="dxa"/>
            <w:vAlign w:val="bottom"/>
          </w:tcPr>
          <w:p>
            <w:pPr>
              <w:spacing w:after="0"/>
              <w:rPr>
                <w:sz w:val="14"/>
                <w:szCs w:val="1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5"/>
        </w:trPr>
        <w:tc>
          <w:tcPr>
            <w:tcW w:w="578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6.57% Notes Due January 1, 2016</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7 1/8% Notes Due June 1, 2025</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5780" w:type="dxa"/>
            <w:vAlign w:val="bottom"/>
            <w:gridSpan w:val="2"/>
          </w:tcPr>
          <w:p>
            <w:pPr>
              <w:spacing w:after="0"/>
              <w:rPr>
                <w:sz w:val="20"/>
                <w:szCs w:val="20"/>
                <w:color w:val="auto"/>
              </w:rPr>
            </w:pPr>
            <w:r>
              <w:rPr>
                <w:rFonts w:ascii="Arial" w:cs="Arial" w:eastAsia="Arial" w:hAnsi="Arial"/>
                <w:sz w:val="14"/>
                <w:szCs w:val="14"/>
                <w:color w:val="auto"/>
              </w:rPr>
              <w:t>6.77% Notes Due January 1, 2036</w:t>
            </w:r>
          </w:p>
        </w:tc>
        <w:tc>
          <w:tcPr>
            <w:tcW w:w="3180" w:type="dxa"/>
            <w:vAlign w:val="bottom"/>
          </w:tcPr>
          <w:p>
            <w:pPr>
              <w:spacing w:after="0"/>
              <w:rPr>
                <w:sz w:val="20"/>
                <w:szCs w:val="20"/>
                <w:color w:val="auto"/>
              </w:rPr>
            </w:pPr>
            <w:r>
              <w:rPr>
                <w:rFonts w:ascii="Arial" w:cs="Arial" w:eastAsia="Arial" w:hAnsi="Arial"/>
                <w:sz w:val="14"/>
                <w:szCs w:val="14"/>
                <w:color w:val="auto"/>
              </w:rPr>
              <w:t>New York Stock Exchange</w:t>
            </w:r>
          </w:p>
        </w:tc>
      </w:tr>
    </w:tbl>
    <w:p>
      <w:pPr>
        <w:spacing w:after="0" w:line="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12(g) of the Exchange Act: None</w:t>
      </w:r>
    </w:p>
    <w:p>
      <w:pPr>
        <w:spacing w:after="0" w:line="37" w:lineRule="exact"/>
        <w:rPr>
          <w:sz w:val="24"/>
          <w:szCs w:val="24"/>
          <w:color w:val="auto"/>
        </w:rPr>
      </w:pPr>
    </w:p>
    <w:p>
      <w:pPr>
        <w:ind w:right="1220"/>
        <w:spacing w:after="0" w:line="26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under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3" w:lineRule="exact"/>
        <w:rPr>
          <w:sz w:val="24"/>
          <w:szCs w:val="24"/>
          <w:color w:val="auto"/>
        </w:rPr>
      </w:pPr>
    </w:p>
    <w:p>
      <w:pPr>
        <w:ind w:right="58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2" w:lineRule="exact"/>
        <w:rPr>
          <w:sz w:val="24"/>
          <w:szCs w:val="24"/>
          <w:color w:val="auto"/>
        </w:rPr>
      </w:pPr>
    </w:p>
    <w:p>
      <w:pPr>
        <w:ind w:right="36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jc w:val="both"/>
        <w:ind w:right="20"/>
        <w:spacing w:after="0" w:line="210"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is not contained herein, and will not be contained, to the best of Registrant’s knowledge, in the definitive proxy statement incorporated by reference in Part III of this Form 10-K or any amendment to this Form 10-K. </w:t>
      </w:r>
      <w:r>
        <w:rPr>
          <w:rFonts w:ascii="MS PGothic" w:cs="MS PGothic" w:eastAsia="MS PGothic" w:hAnsi="MS PGothic"/>
          <w:sz w:val="17"/>
          <w:szCs w:val="17"/>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under the Exchange Act. (Check one):</w:t>
      </w:r>
    </w:p>
    <w:p>
      <w:pPr>
        <w:spacing w:after="0" w:line="136" w:lineRule="exact"/>
        <w:rPr>
          <w:sz w:val="24"/>
          <w:szCs w:val="24"/>
          <w:color w:val="auto"/>
        </w:rPr>
      </w:pPr>
    </w:p>
    <w:p>
      <w:pPr>
        <w:ind w:left="40"/>
        <w:spacing w:after="0" w:line="184" w:lineRule="exact"/>
        <w:tabs>
          <w:tab w:leader="none" w:pos="2860" w:val="left"/>
          <w:tab w:leader="none" w:pos="5060" w:val="left"/>
          <w:tab w:leader="none" w:pos="6700" w:val="left"/>
          <w:tab w:leader="none" w:pos="7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under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5" w:lineRule="exact"/>
        <w:rPr>
          <w:sz w:val="24"/>
          <w:szCs w:val="24"/>
          <w:color w:val="auto"/>
        </w:rPr>
      </w:pPr>
    </w:p>
    <w:p>
      <w:pPr>
        <w:spacing w:after="0" w:line="260" w:lineRule="auto"/>
        <w:rPr>
          <w:sz w:val="20"/>
          <w:szCs w:val="20"/>
          <w:color w:val="auto"/>
        </w:rPr>
      </w:pPr>
      <w:r>
        <w:rPr>
          <w:rFonts w:ascii="Arial" w:cs="Arial" w:eastAsia="Arial" w:hAnsi="Arial"/>
          <w:sz w:val="17"/>
          <w:szCs w:val="17"/>
          <w:color w:val="auto"/>
        </w:rPr>
        <w:t>Aggregate market value of the common equity held by non-affiliates computed by reference to the price at which the common equity was last sold as of the last business day of the Registrant’s most recently completed second fiscal quarter (Common Stock): approximately $60,777,000,000</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Number of shares of common stock outstanding as of February 13, 2015: 1,111,103,942</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to be filed on or about March 23, 2014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1</w:t>
      </w:r>
    </w:p>
    <w:p>
      <w:pPr>
        <w:sectPr>
          <w:pgSz w:w="11900" w:h="16838" w:orient="portrait"/>
          <w:cols w:equalWidth="0" w:num="1">
            <w:col w:w="11420"/>
          </w:cols>
          <w:pgMar w:left="240" w:top="985"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9"/>
              </w:rPr>
              <w:t>Eli Lilly and Company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1"/>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rPr>
              <w:t>Form 10-K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9"/>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4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9"/>
              </w:rPr>
              <w:t>For the Year Ended December 31, 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12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560" w:type="dxa"/>
            <w:vAlign w:val="bottom"/>
            <w:gridSpan w:val="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700" w:type="dxa"/>
            <w:vAlign w:val="bottom"/>
            <w:gridSpan w:val="2"/>
          </w:tcPr>
          <w:p>
            <w:pPr>
              <w:spacing w:after="0"/>
              <w:rPr>
                <w:sz w:val="24"/>
                <w:szCs w:val="24"/>
                <w:color w:val="auto"/>
              </w:rPr>
            </w:pPr>
          </w:p>
        </w:tc>
        <w:tc>
          <w:tcPr>
            <w:tcW w:w="74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660" w:type="dxa"/>
            <w:vAlign w:val="bottom"/>
            <w:gridSpan w:val="19"/>
          </w:tcPr>
          <w:p>
            <w:pPr>
              <w:spacing w:after="0"/>
              <w:rPr>
                <w:sz w:val="24"/>
                <w:szCs w:val="24"/>
                <w:color w:val="auto"/>
              </w:rPr>
            </w:pPr>
          </w:p>
        </w:tc>
        <w:tc>
          <w:tcPr>
            <w:tcW w:w="300" w:type="dxa"/>
            <w:vAlign w:val="bottom"/>
            <w:gridSpan w:val="3"/>
          </w:tcPr>
          <w:p>
            <w:pPr>
              <w:jc w:val="center"/>
              <w:ind w:left="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1A.</w:t>
              </w:r>
            </w:hyperlink>
          </w:p>
        </w:tc>
        <w:tc>
          <w:tcPr>
            <w:tcW w:w="620" w:type="dxa"/>
            <w:vAlign w:val="bottom"/>
          </w:tcPr>
          <w:p>
            <w:pPr>
              <w:spacing w:after="0"/>
              <w:rPr>
                <w:sz w:val="21"/>
                <w:szCs w:val="21"/>
                <w:color w:val="auto"/>
              </w:rPr>
            </w:pPr>
          </w:p>
        </w:tc>
        <w:tc>
          <w:tcPr>
            <w:tcW w:w="940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18</w:t>
              </w:r>
            </w:hyperlink>
          </w:p>
        </w:tc>
        <w:tc>
          <w:tcPr>
            <w:tcW w:w="12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1B.</w:t>
              </w:r>
            </w:hyperlink>
          </w:p>
        </w:tc>
        <w:tc>
          <w:tcPr>
            <w:tcW w:w="620" w:type="dxa"/>
            <w:vAlign w:val="bottom"/>
          </w:tcPr>
          <w:p>
            <w:pPr>
              <w:spacing w:after="0"/>
              <w:rPr>
                <w:sz w:val="21"/>
                <w:szCs w:val="21"/>
                <w:color w:val="auto"/>
              </w:rPr>
            </w:pPr>
          </w:p>
        </w:tc>
        <w:tc>
          <w:tcPr>
            <w:tcW w:w="94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c>
          <w:tcPr>
            <w:tcW w:w="12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6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12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700" w:type="dxa"/>
            <w:vAlign w:val="bottom"/>
            <w:gridSpan w:val="2"/>
          </w:tcPr>
          <w:p>
            <w:pPr>
              <w:spacing w:after="0"/>
              <w:rPr>
                <w:sz w:val="21"/>
                <w:szCs w:val="21"/>
                <w:color w:val="auto"/>
              </w:rPr>
            </w:pPr>
          </w:p>
        </w:tc>
        <w:tc>
          <w:tcPr>
            <w:tcW w:w="1500" w:type="dxa"/>
            <w:vAlign w:val="bottom"/>
            <w:gridSpan w:val="5"/>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Legal Proceedings</w:t>
              </w:r>
            </w:hyperlink>
          </w:p>
        </w:tc>
        <w:tc>
          <w:tcPr>
            <w:tcW w:w="7900" w:type="dxa"/>
            <w:vAlign w:val="bottom"/>
            <w:gridSpan w:val="15"/>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c>
          <w:tcPr>
            <w:tcW w:w="120" w:type="dxa"/>
            <w:vAlign w:val="bottom"/>
          </w:tcPr>
          <w:p>
            <w:pPr>
              <w:spacing w:after="0"/>
              <w:rPr>
                <w:sz w:val="21"/>
                <w:szCs w:val="2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700" w:type="dxa"/>
            <w:vAlign w:val="bottom"/>
            <w:gridSpan w:val="2"/>
          </w:tcPr>
          <w:p>
            <w:pPr>
              <w:spacing w:after="0"/>
              <w:rPr>
                <w:sz w:val="21"/>
                <w:szCs w:val="21"/>
                <w:color w:val="auto"/>
              </w:rPr>
            </w:pPr>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c>
          <w:tcPr>
            <w:tcW w:w="120" w:type="dxa"/>
            <w:vAlign w:val="bottom"/>
          </w:tcPr>
          <w:p>
            <w:pPr>
              <w:spacing w:after="0"/>
              <w:rPr>
                <w:sz w:val="21"/>
                <w:szCs w:val="21"/>
                <w:color w:val="auto"/>
              </w:rPr>
            </w:pPr>
          </w:p>
        </w:tc>
      </w:tr>
      <w:tr>
        <w:trPr>
          <w:trHeight w:val="574"/>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8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561"/>
        </w:trPr>
        <w:tc>
          <w:tcPr>
            <w:tcW w:w="560" w:type="dxa"/>
            <w:vAlign w:val="bottom"/>
            <w:gridSpan w:val="4"/>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5.</w:t>
              </w:r>
            </w:hyperlink>
          </w:p>
        </w:tc>
        <w:tc>
          <w:tcPr>
            <w:tcW w:w="700" w:type="dxa"/>
            <w:vAlign w:val="bottom"/>
            <w:gridSpan w:val="2"/>
          </w:tcPr>
          <w:p>
            <w:pPr>
              <w:spacing w:after="0"/>
              <w:rPr>
                <w:sz w:val="24"/>
                <w:szCs w:val="24"/>
                <w:color w:val="auto"/>
              </w:rPr>
            </w:pPr>
          </w:p>
        </w:tc>
        <w:tc>
          <w:tcPr>
            <w:tcW w:w="940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the Registrant's Common Equity, Related Stockholder Matters, and Issuer Purchases</w:t>
              </w:r>
            </w:hyperlink>
          </w:p>
        </w:tc>
        <w:tc>
          <w:tcPr>
            <w:tcW w:w="160" w:type="dxa"/>
            <w:vAlign w:val="bottom"/>
          </w:tcPr>
          <w:p>
            <w:pPr>
              <w:spacing w:after="0"/>
              <w:rPr>
                <w:sz w:val="24"/>
                <w:szCs w:val="24"/>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7">
              <w:r>
                <w:rPr>
                  <w:rFonts w:ascii="Arial" w:cs="Arial" w:eastAsia="Arial" w:hAnsi="Arial"/>
                  <w:sz w:val="17"/>
                  <w:szCs w:val="17"/>
                  <w:color w:val="0000EE"/>
                  <w:w w:val="73"/>
                </w:rPr>
                <w:t>27</w:t>
              </w:r>
            </w:hyperlink>
          </w:p>
        </w:tc>
        <w:tc>
          <w:tcPr>
            <w:tcW w:w="120" w:type="dxa"/>
            <w:vAlign w:val="bottom"/>
          </w:tcPr>
          <w:p>
            <w:pPr>
              <w:spacing w:after="0"/>
              <w:rPr>
                <w:sz w:val="24"/>
                <w:szCs w:val="24"/>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500" w:type="dxa"/>
            <w:vAlign w:val="bottom"/>
            <w:tcBorders>
              <w:bottom w:val="single" w:sz="8" w:color="0000EE"/>
            </w:tcBorders>
            <w:gridSpan w:val="2"/>
          </w:tcPr>
          <w:p>
            <w:pPr>
              <w:spacing w:after="0" w:line="20" w:lineRule="exact"/>
              <w:rPr>
                <w:sz w:val="1"/>
                <w:szCs w:val="1"/>
                <w:color w:val="auto"/>
              </w:rPr>
            </w:pPr>
          </w:p>
        </w:tc>
        <w:tc>
          <w:tcPr>
            <w:tcW w:w="100" w:type="dxa"/>
            <w:vAlign w:val="bottom"/>
            <w:tcBorders>
              <w:bottom w:val="single" w:sz="8" w:color="0000EE"/>
            </w:tcBorders>
            <w:gridSpan w:val="2"/>
          </w:tcPr>
          <w:p>
            <w:pPr>
              <w:spacing w:after="0" w:line="20" w:lineRule="exact"/>
              <w:rPr>
                <w:sz w:val="1"/>
                <w:szCs w:val="1"/>
                <w:color w:val="auto"/>
              </w:rPr>
            </w:pPr>
          </w:p>
        </w:tc>
        <w:tc>
          <w:tcPr>
            <w:tcW w:w="1180" w:type="dxa"/>
            <w:vAlign w:val="bottom"/>
            <w:tcBorders>
              <w:bottom w:val="single" w:sz="8" w:color="0000EE"/>
            </w:tcBorders>
            <w:gridSpan w:val="2"/>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360" w:type="dxa"/>
            <w:vAlign w:val="bottom"/>
            <w:tcBorders>
              <w:bottom w:val="single" w:sz="8" w:color="0000EE"/>
            </w:tcBorders>
          </w:tcPr>
          <w:p>
            <w:pPr>
              <w:spacing w:after="0" w:line="20" w:lineRule="exact"/>
              <w:rPr>
                <w:sz w:val="1"/>
                <w:szCs w:val="1"/>
                <w:color w:val="auto"/>
              </w:rPr>
            </w:pPr>
          </w:p>
        </w:tc>
        <w:tc>
          <w:tcPr>
            <w:tcW w:w="10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60" w:type="dxa"/>
            <w:vAlign w:val="bottom"/>
            <w:gridSpan w:val="4"/>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700" w:type="dxa"/>
            <w:vAlign w:val="bottom"/>
            <w:gridSpan w:val="2"/>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29</w:t>
              </w:r>
            </w:hyperlink>
          </w:p>
        </w:tc>
        <w:tc>
          <w:tcPr>
            <w:tcW w:w="120" w:type="dxa"/>
            <w:vAlign w:val="bottom"/>
          </w:tcPr>
          <w:p>
            <w:pPr>
              <w:spacing w:after="0"/>
              <w:rPr>
                <w:sz w:val="20"/>
                <w:szCs w:val="20"/>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500" w:type="dxa"/>
            <w:vAlign w:val="bottom"/>
            <w:tcBorders>
              <w:bottom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60" w:type="dxa"/>
            <w:vAlign w:val="bottom"/>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7.</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Results of Operations and Financial Condition</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30</w:t>
              </w:r>
            </w:hyperlink>
          </w:p>
        </w:tc>
        <w:tc>
          <w:tcPr>
            <w:tcW w:w="120" w:type="dxa"/>
            <w:vAlign w:val="bottom"/>
          </w:tcPr>
          <w:p>
            <w:pPr>
              <w:spacing w:after="0"/>
              <w:rPr>
                <w:sz w:val="20"/>
                <w:szCs w:val="20"/>
                <w:color w:val="auto"/>
              </w:rPr>
            </w:pPr>
          </w:p>
        </w:tc>
      </w:tr>
      <w:tr>
        <w:trPr>
          <w:trHeight w:val="27"/>
        </w:trPr>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600" w:type="dxa"/>
            <w:vAlign w:val="bottom"/>
            <w:gridSpan w:val="4"/>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126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7A.</w:t>
              </w:r>
            </w:hyperlink>
          </w:p>
        </w:tc>
        <w:tc>
          <w:tcPr>
            <w:tcW w:w="94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c>
          <w:tcPr>
            <w:tcW w:w="120" w:type="dxa"/>
            <w:vAlign w:val="bottom"/>
          </w:tcPr>
          <w:p>
            <w:pPr>
              <w:spacing w:after="0"/>
              <w:rPr>
                <w:sz w:val="22"/>
                <w:szCs w:val="22"/>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60" w:type="dxa"/>
            <w:vAlign w:val="bottom"/>
            <w:gridSpan w:val="4"/>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Item 8.</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20" w:type="dxa"/>
            <w:vAlign w:val="bottom"/>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468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49">
              <w:r>
                <w:rPr>
                  <w:rFonts w:ascii="Arial" w:cs="Arial" w:eastAsia="Arial" w:hAnsi="Arial"/>
                  <w:sz w:val="17"/>
                  <w:szCs w:val="17"/>
                  <w:color w:val="0000EE"/>
                  <w:w w:val="73"/>
                </w:rPr>
                <w:t>50</w:t>
              </w:r>
            </w:hyperlink>
          </w:p>
        </w:tc>
        <w:tc>
          <w:tcPr>
            <w:tcW w:w="120" w:type="dxa"/>
            <w:vAlign w:val="bottom"/>
          </w:tcPr>
          <w:p>
            <w:pPr>
              <w:spacing w:after="0"/>
              <w:rPr>
                <w:sz w:val="21"/>
                <w:szCs w:val="2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5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Item 9.</w:t>
              </w:r>
            </w:hyperlink>
          </w:p>
        </w:tc>
        <w:tc>
          <w:tcPr>
            <w:tcW w:w="80" w:type="dxa"/>
            <w:vAlign w:val="bottom"/>
            <w:tcBorders>
              <w:bottom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71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21"/>
                <w:szCs w:val="21"/>
                <w:color w:val="auto"/>
              </w:rPr>
            </w:pPr>
          </w:p>
        </w:tc>
        <w:tc>
          <w:tcPr>
            <w:tcW w:w="300" w:type="dxa"/>
            <w:vAlign w:val="bottom"/>
            <w:gridSpan w:val="3"/>
          </w:tcPr>
          <w:p>
            <w:pPr>
              <w:jc w:val="center"/>
              <w:ind w:left="10"/>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99</w:t>
              </w:r>
            </w:hyperlink>
          </w:p>
        </w:tc>
        <w:tc>
          <w:tcPr>
            <w:tcW w:w="120" w:type="dxa"/>
            <w:vAlign w:val="bottom"/>
          </w:tcPr>
          <w:p>
            <w:pPr>
              <w:spacing w:after="0"/>
              <w:rPr>
                <w:sz w:val="21"/>
                <w:szCs w:val="21"/>
                <w:color w:val="auto"/>
              </w:rPr>
            </w:pPr>
          </w:p>
        </w:tc>
      </w:tr>
      <w:tr>
        <w:trPr>
          <w:trHeight w:val="257"/>
        </w:trPr>
        <w:tc>
          <w:tcPr>
            <w:tcW w:w="640" w:type="dxa"/>
            <w:vAlign w:val="bottom"/>
            <w:gridSpan w:val="5"/>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Item 9A.</w:t>
              </w:r>
            </w:hyperlink>
          </w:p>
        </w:tc>
        <w:tc>
          <w:tcPr>
            <w:tcW w:w="620" w:type="dxa"/>
            <w:vAlign w:val="bottom"/>
          </w:tcPr>
          <w:p>
            <w:pPr>
              <w:spacing w:after="0"/>
              <w:rPr>
                <w:sz w:val="22"/>
                <w:szCs w:val="22"/>
                <w:color w:val="auto"/>
              </w:rPr>
            </w:pPr>
          </w:p>
        </w:tc>
        <w:tc>
          <w:tcPr>
            <w:tcW w:w="2000" w:type="dxa"/>
            <w:vAlign w:val="bottom"/>
            <w:gridSpan w:val="8"/>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Controls and Procedures</w:t>
              </w:r>
            </w:hyperlink>
          </w:p>
        </w:tc>
        <w:tc>
          <w:tcPr>
            <w:tcW w:w="7400" w:type="dxa"/>
            <w:vAlign w:val="bottom"/>
            <w:gridSpan w:val="12"/>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99">
              <w:r>
                <w:rPr>
                  <w:rFonts w:ascii="Arial" w:cs="Arial" w:eastAsia="Arial" w:hAnsi="Arial"/>
                  <w:sz w:val="17"/>
                  <w:szCs w:val="17"/>
                  <w:color w:val="0000EE"/>
                  <w:w w:val="73"/>
                </w:rPr>
                <w:t>99</w:t>
              </w:r>
            </w:hyperlink>
          </w:p>
        </w:tc>
        <w:tc>
          <w:tcPr>
            <w:tcW w:w="120" w:type="dxa"/>
            <w:vAlign w:val="bottom"/>
          </w:tcPr>
          <w:p>
            <w:pPr>
              <w:spacing w:after="0"/>
              <w:rPr>
                <w:sz w:val="22"/>
                <w:szCs w:val="22"/>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Item 9B.</w:t>
              </w:r>
            </w:hyperlink>
          </w:p>
        </w:tc>
        <w:tc>
          <w:tcPr>
            <w:tcW w:w="620" w:type="dxa"/>
            <w:vAlign w:val="bottom"/>
          </w:tcPr>
          <w:p>
            <w:pPr>
              <w:spacing w:after="0"/>
              <w:rPr>
                <w:sz w:val="21"/>
                <w:szCs w:val="21"/>
                <w:color w:val="auto"/>
              </w:rPr>
            </w:pPr>
          </w:p>
        </w:tc>
        <w:tc>
          <w:tcPr>
            <w:tcW w:w="200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7400" w:type="dxa"/>
            <w:vAlign w:val="bottom"/>
            <w:gridSpan w:val="12"/>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99">
              <w:r>
                <w:rPr>
                  <w:rFonts w:ascii="Arial" w:cs="Arial" w:eastAsia="Arial" w:hAnsi="Arial"/>
                  <w:sz w:val="17"/>
                  <w:szCs w:val="17"/>
                  <w:color w:val="0000EE"/>
                  <w:w w:val="73"/>
                </w:rPr>
                <w:t>99</w:t>
              </w:r>
            </w:hyperlink>
          </w:p>
        </w:tc>
        <w:tc>
          <w:tcPr>
            <w:tcW w:w="120" w:type="dxa"/>
            <w:vAlign w:val="bottom"/>
          </w:tcPr>
          <w:p>
            <w:pPr>
              <w:spacing w:after="0"/>
              <w:rPr>
                <w:sz w:val="21"/>
                <w:szCs w:val="21"/>
                <w:color w:val="auto"/>
              </w:rPr>
            </w:pPr>
          </w:p>
        </w:tc>
      </w:tr>
      <w:tr>
        <w:trPr>
          <w:trHeight w:val="574"/>
        </w:trPr>
        <w:tc>
          <w:tcPr>
            <w:tcW w:w="640" w:type="dxa"/>
            <w:vAlign w:val="bottom"/>
            <w:tcBorders>
              <w:top w:val="single" w:sz="8" w:color="0000EE"/>
            </w:tcBorders>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126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10.</w:t>
              </w:r>
            </w:hyperlink>
          </w:p>
        </w:tc>
        <w:tc>
          <w:tcPr>
            <w:tcW w:w="940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100</w:t>
              </w:r>
            </w:hyperlink>
          </w:p>
        </w:tc>
      </w:tr>
      <w:tr>
        <w:trPr>
          <w:trHeight w:val="20"/>
        </w:trPr>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11.</w:t>
              </w:r>
            </w:hyperlink>
          </w:p>
        </w:tc>
        <w:tc>
          <w:tcPr>
            <w:tcW w:w="940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100</w:t>
              </w:r>
            </w:hyperlink>
          </w:p>
        </w:tc>
      </w:tr>
      <w:tr>
        <w:trPr>
          <w:trHeight w:val="20"/>
        </w:trPr>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gridSpan w:val="8"/>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44"/>
        </w:trPr>
        <w:tc>
          <w:tcPr>
            <w:tcW w:w="1260" w:type="dxa"/>
            <w:vAlign w:val="bottom"/>
            <w:tcBorders>
              <w:bottom w:val="single" w:sz="8" w:color="0000EE"/>
            </w:tcBorders>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12.</w:t>
              </w:r>
            </w:hyperlink>
          </w:p>
        </w:tc>
        <w:tc>
          <w:tcPr>
            <w:tcW w:w="75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Security Ownership of Certain Beneficial Owners and Management and Related Stock Matters</w:t>
              </w:r>
            </w:hyperlink>
          </w:p>
        </w:tc>
        <w:tc>
          <w:tcPr>
            <w:tcW w:w="1880" w:type="dxa"/>
            <w:vAlign w:val="bottom"/>
            <w:gridSpan w:val="2"/>
          </w:tcPr>
          <w:p>
            <w:pPr>
              <w:spacing w:after="0"/>
              <w:rPr>
                <w:sz w:val="21"/>
                <w:szCs w:val="21"/>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101</w:t>
              </w:r>
            </w:hyperlink>
          </w:p>
        </w:tc>
      </w:tr>
      <w:tr>
        <w:trPr>
          <w:trHeight w:val="257"/>
        </w:trPr>
        <w:tc>
          <w:tcPr>
            <w:tcW w:w="126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13.</w:t>
              </w:r>
            </w:hyperlink>
          </w:p>
        </w:tc>
        <w:tc>
          <w:tcPr>
            <w:tcW w:w="940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101</w:t>
              </w:r>
            </w:hyperlink>
          </w:p>
        </w:tc>
      </w:tr>
      <w:tr>
        <w:trPr>
          <w:trHeight w:val="20"/>
        </w:trPr>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14.</w:t>
              </w:r>
            </w:hyperlink>
          </w:p>
        </w:tc>
        <w:tc>
          <w:tcPr>
            <w:tcW w:w="940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101</w:t>
              </w:r>
            </w:hyperlink>
          </w:p>
        </w:tc>
      </w:tr>
      <w:tr>
        <w:trPr>
          <w:trHeight w:val="20"/>
        </w:trPr>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940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102</w:t>
              </w:r>
            </w:hyperlink>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p>
    <w:p>
      <w:pPr>
        <w:sectPr>
          <w:pgSz w:w="11900" w:h="16838" w:orient="portrait"/>
          <w:cols w:equalWidth="0" w:num="1">
            <w:col w:w="11120"/>
          </w:cols>
          <w:pgMar w:left="240" w:top="576" w:right="5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205"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Annual Report on Form 10-K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particular, information appearing under “Business,” “Risk Factors” and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1300" w:right="160" w:hanging="968"/>
        <w:spacing w:after="0" w:line="26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governmental actions regarding pricing, importation, and reimbursement for pharmaceuticals, including U.S. health care reform;</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involving current or future products as we are self-insured;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and networks;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inflation, interest rates, and foreign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6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3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Investors should not place undue reliance on forward-looking statements. You should carefully read the factors described in the “Risk Factors” section of this Annual Report on Form 10-K for a description of certain risks that could, among other things, cause our actual results to differ from these forward-looking statements.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this report. Except as is required by law, we expressly disclaim any obligation to publicly release any revisions to forward-looking statements to reflect events after the date of this report.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w:t>
      </w:r>
    </w:p>
    <w:p>
      <w:pPr>
        <w:sectPr>
          <w:pgSz w:w="11900" w:h="16838" w:orient="portrait"/>
          <w:cols w:equalWidth="0" w:num="1">
            <w:col w:w="11420"/>
          </w:cols>
          <w:pgMar w:left="240" w:top="562" w:right="2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t>Part 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  Business</w:t>
      </w:r>
    </w:p>
    <w:p>
      <w:pPr>
        <w:spacing w:after="0" w:line="208"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Eli Lilly and Company (the “company” or “registrant” or "Lilly") was incorporated in 1901 in Indiana to succeed to the drug manufacturing business founded in Indianapolis, Indiana, in 1876 by Colonel Eli Lilly. We discover, develop, manufacture, and market products in two business segments—human pharmaceutical products and animal health products.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mission of our human pharmaceutical business is to make medicines that help people live longer, healthier, more active lives. Our vision is to make a significant contribution to humanity by improving global health in the 21st century. Most of the products we sell today were discovered or developed by our own scientists, and our success depends to a great extent on our ability to continue to discover, develop, and bring to market innovative new medicines.</w:t>
      </w:r>
    </w:p>
    <w:p>
      <w:pPr>
        <w:spacing w:after="0" w:line="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animal health business, operating through our Elanco division, develops, manufactures, and markets products for both food animals and companion animals.</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manufacture and distribute our products through facilities in the United States (U.S.), Puerto Rico, and 11 other countries. Our products are sold in approximately 120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Subsequent Event - Novartis Animal Health Acquisition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 2015, we completed our acquisition of Novartis Animal Health (Novartis AH) in an all-cash transaction for approximately $ 5.4 billion. Novartis AH operates in approximately 40 countries. We acquired Novartis AH’s nine manufacturing sites, six dedicated research and development facilities, a global commercial infrastructure with a portfolio of approximately 600 products, a pipeline with more than 40 projects in development, and more than 3,000 employees. The combined organization is expected to increase our animal health product portfolio, expand our global commercial presence, and augment our animal health manufacturing and research and development. In particular, it is expected to provide Elanco with a greater commercial presence in the companion animal and swine markets, expand Elanco’s presence in equine and vaccines areas, and create an entry into the aquaculture market. As a condition to the clearance of the transaction under the Hart-Scott-Rodino Antitrust Improvement Act, following the closing of the acquisition of Novartis AH, we divested certain companion animal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Human Pharmaceutical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human pharmaceutical products include: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Humalog Mix 50/50</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insulin analogs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insulin of recombinant DNA origin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Trajenta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Jentadueto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combination tablet of linagliptin (Trajenta) and metformin hydrochloride for use in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Europe, and Japan in 2014)</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and Europe in 2014)</w:t>
      </w:r>
    </w:p>
    <w:p>
      <w:pPr>
        <w:spacing w:after="0" w:line="82" w:lineRule="exact"/>
        <w:rPr>
          <w:rFonts w:ascii="Arial" w:cs="Arial" w:eastAsia="Arial" w:hAnsi="Arial"/>
          <w:sz w:val="18"/>
          <w:szCs w:val="18"/>
          <w:color w:val="auto"/>
        </w:rPr>
      </w:pPr>
    </w:p>
    <w:p>
      <w:pPr>
        <w:ind w:left="660" w:right="2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Glyxambi</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linagliptin and empagliflozin (Jardiance) for the treatment of type 2 diabetes (approved in the U.S.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2015)</w:t>
      </w:r>
    </w:p>
    <w:p>
      <w:pPr>
        <w:spacing w:after="0" w:line="88" w:lineRule="exact"/>
        <w:rPr>
          <w:rFonts w:ascii="Arial" w:cs="Arial" w:eastAsia="Arial" w:hAnsi="Arial"/>
          <w:sz w:val="18"/>
          <w:szCs w:val="18"/>
          <w:color w:val="auto"/>
        </w:rPr>
      </w:pPr>
    </w:p>
    <w:p>
      <w:pPr>
        <w:ind w:left="660" w:right="22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p>
    <w:p>
      <w:pPr>
        <w:sectPr>
          <w:pgSz w:w="11900" w:h="16838" w:orient="portrait"/>
          <w:cols w:equalWidth="0" w:num="1">
            <w:col w:w="11400"/>
          </w:cols>
          <w:pgMar w:left="240" w:top="562" w:right="259" w:bottom="1440" w:gutter="0" w:footer="0" w:header="0"/>
        </w:sectPr>
      </w:pPr>
    </w:p>
    <w:bookmarkStart w:id="4" w:name="page5"/>
    <w:bookmarkEnd w:id="4"/>
    <w:p>
      <w:pPr>
        <w:ind w:left="660" w:right="80" w:hanging="328"/>
        <w:spacing w:after="0" w:line="24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prevention and treatment of osteoporosis in postmenopausal women and for the reduction of the risk of invasive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in postmenopausal women with osteoporosis and postmenopausal women at high risk for invasive breast cancer</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Humatrope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human growth hormone deficiency and certain pediatric growth conditions</w:t>
      </w:r>
    </w:p>
    <w:p>
      <w:pPr>
        <w:spacing w:after="0" w:line="82" w:lineRule="exact"/>
        <w:rPr>
          <w:rFonts w:ascii="Arial" w:cs="Arial" w:eastAsia="Arial" w:hAnsi="Arial"/>
          <w:sz w:val="18"/>
          <w:szCs w:val="18"/>
          <w:color w:val="auto"/>
        </w:rPr>
      </w:pPr>
    </w:p>
    <w:p>
      <w:pPr>
        <w:ind w:left="660" w:right="620" w:hanging="328"/>
        <w:spacing w:after="0" w:line="24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Axiron</w:t>
      </w:r>
      <w:r>
        <w:rPr>
          <w:rFonts w:ascii="Arial" w:cs="Arial" w:eastAsia="Arial" w:hAnsi="Arial"/>
          <w:sz w:val="21"/>
          <w:szCs w:val="21"/>
          <w:color w:val="auto"/>
          <w:vertAlign w:val="superscript"/>
        </w:rPr>
        <w:t>®</w:t>
      </w:r>
      <w:r>
        <w:rPr>
          <w:rFonts w:ascii="Arial" w:cs="Arial" w:eastAsia="Arial" w:hAnsi="Arial"/>
          <w:sz w:val="18"/>
          <w:szCs w:val="18"/>
          <w:color w:val="auto"/>
        </w:rPr>
        <w:t>, a topical solution of testosterone, applied by underarm applicator, for replacement therapy in men for certain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 deficiency or absence of testosterone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 and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for the management of fibromyalgia and of chronic musculoskeletal pain due to chronic low back pain or chronic pain due to osteoarthritis</w:t>
      </w:r>
    </w:p>
    <w:p>
      <w:pPr>
        <w:spacing w:after="0" w:line="84" w:lineRule="exact"/>
        <w:rPr>
          <w:rFonts w:ascii="Arial" w:cs="Arial" w:eastAsia="Arial" w:hAnsi="Arial"/>
          <w:sz w:val="18"/>
          <w:szCs w:val="18"/>
          <w:color w:val="auto"/>
        </w:rPr>
      </w:pPr>
    </w:p>
    <w:p>
      <w:pPr>
        <w:ind w:left="660" w:right="102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attention-deficit hyperactivity disorder</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major depressive disorder, obsessive-compulsive disorder, bulimia nervosa, and panic disorder</w:t>
      </w:r>
    </w:p>
    <w:p>
      <w:pPr>
        <w:spacing w:after="0" w:line="82" w:lineRule="exact"/>
        <w:rPr>
          <w:rFonts w:ascii="Arial" w:cs="Arial" w:eastAsia="Arial" w:hAnsi="Arial"/>
          <w:sz w:val="18"/>
          <w:szCs w:val="18"/>
          <w:color w:val="auto"/>
        </w:rPr>
      </w:pPr>
    </w:p>
    <w:p>
      <w:pPr>
        <w:ind w:left="660" w:right="40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Amyvid</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radioactive diagnostic agent for positron emission tomography imaging of beta-amyloid neuritic plaques in the brains of</w:t>
      </w:r>
      <w:r>
        <w:rPr>
          <w:rFonts w:ascii="Arial" w:cs="Arial" w:eastAsia="Arial" w:hAnsi="Arial"/>
          <w:sz w:val="18"/>
          <w:szCs w:val="18"/>
          <w:i w:val="1"/>
          <w:iCs w:val="1"/>
          <w:color w:val="auto"/>
        </w:rPr>
        <w:t xml:space="preserve"> </w:t>
      </w:r>
      <w:r>
        <w:rPr>
          <w:rFonts w:ascii="Arial" w:cs="Arial" w:eastAsia="Arial" w:hAnsi="Arial"/>
          <w:sz w:val="18"/>
          <w:szCs w:val="18"/>
          <w:color w:val="auto"/>
        </w:rPr>
        <w:t>adult patients with cognitive impairment who are being evaluated for Alzheimer's disease and other causes of cognitive decline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3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first-line treatment, in combination with another agent, of advanced non-small cell lung cancer (NSCLC)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non-squamous cell histology;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84" w:lineRule="exact"/>
        <w:rPr>
          <w:rFonts w:ascii="Arial" w:cs="Arial" w:eastAsia="Arial" w:hAnsi="Arial"/>
          <w:sz w:val="18"/>
          <w:szCs w:val="18"/>
          <w:color w:val="auto"/>
        </w:rPr>
      </w:pPr>
    </w:p>
    <w:p>
      <w:pPr>
        <w:ind w:left="660" w:right="2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both as a single agent and with another chemotherapy agent for the treatment of certain types of colorectal cancers;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 a single agent or in combination with radiation therapy for the treatment of certain types of head and neck cancers</w:t>
      </w:r>
    </w:p>
    <w:p>
      <w:pPr>
        <w:spacing w:after="0" w:line="88" w:lineRule="exact"/>
        <w:rPr>
          <w:rFonts w:ascii="Arial" w:cs="Arial" w:eastAsia="Arial" w:hAnsi="Arial"/>
          <w:sz w:val="18"/>
          <w:szCs w:val="18"/>
          <w:color w:val="auto"/>
        </w:rPr>
      </w:pPr>
    </w:p>
    <w:p>
      <w:pPr>
        <w:ind w:left="660" w:right="60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Gemzar</w:t>
      </w:r>
      <w:r>
        <w:rPr>
          <w:rFonts w:ascii="Arial" w:cs="Arial" w:eastAsia="Arial" w:hAnsi="Arial"/>
          <w:sz w:val="20"/>
          <w:szCs w:val="20"/>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pancreatic cancer; in combination with other agents, for the treatment of metastatic breast cancer,</w:t>
      </w:r>
      <w:r>
        <w:rPr>
          <w:rFonts w:ascii="Arial" w:cs="Arial" w:eastAsia="Arial" w:hAnsi="Arial"/>
          <w:sz w:val="17"/>
          <w:szCs w:val="17"/>
          <w:i w:val="1"/>
          <w:iCs w:val="1"/>
          <w:color w:val="auto"/>
        </w:rPr>
        <w:t xml:space="preserve"> </w:t>
      </w:r>
      <w:r>
        <w:rPr>
          <w:rFonts w:ascii="Arial" w:cs="Arial" w:eastAsia="Arial" w:hAnsi="Arial"/>
          <w:sz w:val="17"/>
          <w:szCs w:val="17"/>
          <w:color w:val="auto"/>
        </w:rPr>
        <w:t>NSCLC, and advanced or recurrent ovarian cancer; and in the European Union (EU) for the treatment of bladder cancer</w:t>
      </w:r>
    </w:p>
    <w:p>
      <w:pPr>
        <w:spacing w:after="0" w:line="59" w:lineRule="exact"/>
        <w:rPr>
          <w:rFonts w:ascii="Arial" w:cs="Arial" w:eastAsia="Arial" w:hAnsi="Arial"/>
          <w:sz w:val="17"/>
          <w:szCs w:val="17"/>
          <w:color w:val="auto"/>
        </w:rPr>
      </w:pPr>
    </w:p>
    <w:p>
      <w:pPr>
        <w:ind w:left="660" w:right="60" w:hanging="328"/>
        <w:spacing w:after="0" w:line="25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Cyramza</w:t>
      </w:r>
      <w:r>
        <w:rPr>
          <w:rFonts w:ascii="Arial" w:cs="Arial" w:eastAsia="Arial" w:hAnsi="Arial"/>
          <w:sz w:val="20"/>
          <w:szCs w:val="20"/>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in 2014 in the U.S. and the EU both as a single agent and in combination with another agent for advanced or</w:t>
      </w:r>
      <w:r>
        <w:rPr>
          <w:rFonts w:ascii="Arial" w:cs="Arial" w:eastAsia="Arial" w:hAnsi="Arial"/>
          <w:sz w:val="17"/>
          <w:szCs w:val="17"/>
          <w:i w:val="1"/>
          <w:iCs w:val="1"/>
          <w:color w:val="auto"/>
        </w:rPr>
        <w:t xml:space="preserve"> </w:t>
      </w:r>
      <w:r>
        <w:rPr>
          <w:rFonts w:ascii="Arial" w:cs="Arial" w:eastAsia="Arial" w:hAnsi="Arial"/>
          <w:sz w:val="17"/>
          <w:szCs w:val="17"/>
          <w:color w:val="auto"/>
        </w:rPr>
        <w:t>metastatic gastric cancer; and approved in 2014 in the U.S. in combination with another agent as a second-line treatment of metastatic</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NSCLC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Cardiovascular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erectile dysfunction and benign prostatic hyperplasia</w:t>
      </w:r>
    </w:p>
    <w:p>
      <w:pPr>
        <w:spacing w:after="0" w:line="82" w:lineRule="exact"/>
        <w:rPr>
          <w:rFonts w:ascii="Arial" w:cs="Arial" w:eastAsia="Arial" w:hAnsi="Arial"/>
          <w:sz w:val="18"/>
          <w:szCs w:val="18"/>
          <w:color w:val="auto"/>
        </w:rPr>
      </w:pPr>
    </w:p>
    <w:p>
      <w:pPr>
        <w:ind w:left="660" w:right="4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Effient</w:t>
      </w:r>
      <w:r>
        <w:rPr>
          <w:rFonts w:ascii="Arial" w:cs="Arial" w:eastAsia="Arial" w:hAnsi="Arial"/>
          <w:sz w:val="21"/>
          <w:szCs w:val="21"/>
          <w:color w:val="auto"/>
          <w:vertAlign w:val="superscript"/>
        </w:rPr>
        <w:t>®</w:t>
      </w:r>
      <w:r>
        <w:rPr>
          <w:rFonts w:ascii="Arial" w:cs="Arial" w:eastAsia="Arial" w:hAnsi="Arial"/>
          <w:sz w:val="18"/>
          <w:szCs w:val="18"/>
          <w:color w:val="auto"/>
        </w:rPr>
        <w:t>, for the reduction of thrombotic cardiovascular events (including stent thrombosis) in patients with acute coronary syndrome</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managed with an artery-opening procedure known as percutaneous coronary intervention (PCI), including patients undergoing angioplasty, atherectomy, or stent placement</w:t>
      </w:r>
    </w:p>
    <w:p>
      <w:pPr>
        <w:spacing w:after="0" w:line="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ReoPro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use as an adjunct to PCI for the prevention of cardiac ischemic complications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CC0000"/>
        </w:rPr>
        <w:t>Animal Health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food animals include:</w:t>
      </w:r>
    </w:p>
    <w:p>
      <w:pPr>
        <w:spacing w:after="0" w:line="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Rumensin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cattle feed additive that improves feed efficiency and growth and also controls and prevents coccidiosis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Posilac</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protein supplement to improve milk productivity in dairy cows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8"/>
          <w:szCs w:val="18"/>
          <w:i w:val="1"/>
          <w:iCs w:val="1"/>
          <w:color w:val="auto"/>
        </w:rPr>
        <w:t>Paylean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Optaflexx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leanness and performance enhancers for swine and cattle, respectively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8"/>
          <w:szCs w:val="18"/>
          <w:i w:val="1"/>
          <w:iCs w:val="1"/>
          <w:color w:val="auto"/>
        </w:rPr>
        <w:t>Tylan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used to control certain diseases in cattle, swine, and poultry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Micotil</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Pulmotil</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Pulmotil 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antibiotics used to treat respiratory disease in cattle, swine, and poultry, respectively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Monteban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Maxiban</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anticoccidial agents for use in poultry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Surmax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(sold as</w:t>
      </w:r>
      <w:r>
        <w:rPr>
          <w:rFonts w:ascii="Arial" w:cs="Arial" w:eastAsia="Arial" w:hAnsi="Arial"/>
          <w:sz w:val="18"/>
          <w:szCs w:val="18"/>
          <w:i w:val="1"/>
          <w:iCs w:val="1"/>
          <w:color w:val="auto"/>
        </w:rPr>
        <w:t xml:space="preserve"> Maxus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some countries), a performance enhancer for swine and poultry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companion animals include:</w:t>
      </w:r>
    </w:p>
    <w:p>
      <w:pPr>
        <w:spacing w:after="0" w:line="99" w:lineRule="exact"/>
        <w:rPr>
          <w:sz w:val="20"/>
          <w:szCs w:val="20"/>
          <w:color w:val="auto"/>
        </w:rPr>
      </w:pPr>
    </w:p>
    <w:p>
      <w:pPr>
        <w:ind w:left="660" w:right="520" w:hanging="328"/>
        <w:spacing w:after="0" w:line="24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Trifexis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monthly chewable tablet for dogs that kills fleas, prevents flea infestations, prevents heartworm disease, and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intestinal parasite infections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Comfortis</w:t>
      </w:r>
      <w:r>
        <w:rPr>
          <w:rFonts w:ascii="Arial" w:cs="Arial" w:eastAsia="Arial" w:hAnsi="Arial"/>
          <w:sz w:val="21"/>
          <w:szCs w:val="21"/>
          <w:color w:val="auto"/>
          <w:vertAlign w:val="superscript"/>
        </w:rPr>
        <w:t>®</w:t>
      </w:r>
      <w:r>
        <w:rPr>
          <w:rFonts w:ascii="Arial" w:cs="Arial" w:eastAsia="Arial" w:hAnsi="Arial"/>
          <w:sz w:val="18"/>
          <w:szCs w:val="18"/>
          <w:color w:val="auto"/>
        </w:rPr>
        <w:t>, a chewable tablet that kills fleas and prevents flea infestations on dogs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Recently acquired Novartis AH products include:</w:t>
      </w:r>
    </w:p>
    <w:p>
      <w:pPr>
        <w:spacing w:after="0" w:line="9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Denagard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for the control and treatment of respiratory and enteric diseases in swine and poultry</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Milbemax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broad spectrum intestinal wormer which, if given monthly, also offers prevention against heartworm</w:t>
      </w:r>
    </w:p>
    <w:p>
      <w:pPr>
        <w:spacing w:after="0" w:line="82"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Sentinel </w:t>
      </w:r>
      <w:r>
        <w:rPr>
          <w:rFonts w:ascii="Arial" w:cs="Arial" w:eastAsia="Arial" w:hAnsi="Arial"/>
          <w:sz w:val="18"/>
          <w:szCs w:val="18"/>
          <w:color w:val="auto"/>
        </w:rPr>
        <w:t>(outside the U.S.), a monthly tablet for the prevention of flea populations, the concurrent prevention of heartworm disease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treatment of roundworms, hookworms, and whipworms in dogs</w:t>
      </w:r>
    </w:p>
    <w:p>
      <w:pPr>
        <w:spacing w:after="0" w:line="53" w:lineRule="exact"/>
        <w:rPr>
          <w:rFonts w:ascii="Arial" w:cs="Arial" w:eastAsia="Arial" w:hAnsi="Arial"/>
          <w:sz w:val="18"/>
          <w:szCs w:val="18"/>
          <w:color w:val="auto"/>
        </w:rPr>
      </w:pPr>
    </w:p>
    <w:p>
      <w:pPr>
        <w:ind w:left="660" w:right="140" w:hanging="328"/>
        <w:spacing w:after="0" w:line="24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Atopica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chronic manifestations of atopic dermatitis in dogs and for the symptomatic treatment of chronic allergic</w:t>
      </w:r>
      <w:r>
        <w:rPr>
          <w:rFonts w:ascii="Arial" w:cs="Arial" w:eastAsia="Arial" w:hAnsi="Arial"/>
          <w:sz w:val="18"/>
          <w:szCs w:val="18"/>
          <w:i w:val="1"/>
          <w:iCs w:val="1"/>
          <w:color w:val="auto"/>
        </w:rPr>
        <w:t xml:space="preserve"> </w:t>
      </w:r>
      <w:r>
        <w:rPr>
          <w:rFonts w:ascii="Arial" w:cs="Arial" w:eastAsia="Arial" w:hAnsi="Arial"/>
          <w:sz w:val="18"/>
          <w:szCs w:val="18"/>
          <w:color w:val="auto"/>
        </w:rPr>
        <w:t>dermatitis in cats</w:t>
      </w:r>
    </w:p>
    <w:p>
      <w:pPr>
        <w:spacing w:after="0" w:line="88" w:lineRule="exact"/>
        <w:rPr>
          <w:rFonts w:ascii="Arial" w:cs="Arial" w:eastAsia="Arial" w:hAnsi="Arial"/>
          <w:sz w:val="18"/>
          <w:szCs w:val="18"/>
          <w:color w:val="auto"/>
        </w:rPr>
      </w:pPr>
    </w:p>
    <w:p>
      <w:pPr>
        <w:ind w:left="660" w:right="120" w:hanging="328"/>
        <w:spacing w:after="0" w:line="24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Fortekor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congestive heart failure in dogs and reduction of proteinurea associated with chronic kidney disease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cats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w:t>
      </w:r>
    </w:p>
    <w:p>
      <w:pPr>
        <w:spacing w:after="0" w:line="139"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 xml:space="preserve">We sell most of our products worldwide. We adapt our marketing methods and product emphasis in various countries to meet local needs. </w:t>
      </w:r>
      <w:r>
        <w:rPr>
          <w:rFonts w:ascii="Arial" w:cs="Arial" w:eastAsia="Arial" w:hAnsi="Arial"/>
          <w:sz w:val="18"/>
          <w:szCs w:val="18"/>
          <w:b w:val="1"/>
          <w:bCs w:val="1"/>
          <w:color w:val="auto"/>
        </w:rPr>
        <w:t>Human Pharmaceuticals—United States</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U.S., we distribute human pharmaceutical products principally through independent wholesale distributors, with some sales directly to pharmacies. In 2014, 2013, and 2012, three wholesale distributors in the U.S.—AmerisourceBergen Corporation, McKesson Corporation, and Cardinal Health, Inc.—each accounted for between 8 percent and 19 percent of our consolidated total revenue. No other distributor accounted for more than 10 percent of consolidated total revenue in any of those years.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promote our major human pharmaceutical products in the U.S. through sales representatives who call upon physicians and other health care professionals. We advertise in medical journals,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as appropriate to leverage our own resources and the strengths of our partners in various markets.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w:t>
      </w:r>
    </w:p>
    <w:p>
      <w:pPr>
        <w:sectPr>
          <w:pgSz w:w="11900" w:h="16838" w:orient="portrait"/>
          <w:cols w:equalWidth="0" w:num="1">
            <w:col w:w="11360"/>
          </w:cols>
          <w:pgMar w:left="240" w:top="738" w:right="299" w:bottom="1440" w:gutter="0" w:footer="0" w:header="0"/>
        </w:sectPr>
      </w:pPr>
    </w:p>
    <w:bookmarkStart w:id="6" w:name="page7"/>
    <w:bookmarkEnd w:id="6"/>
    <w:p>
      <w:pPr>
        <w:ind w:right="180"/>
        <w:spacing w:after="0" w:line="256"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(MCOs), government and long-term care institutions, hospitals, and certain retail pharmacies. We enter into arrangements with these organizations providing for discounts or rebates on our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Pharmaceuticals—Outside the United States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Outside the U.S, we promote our human pharmaceutical products primarily through sales representatives. While the products marketed vary from country to country, endocrinology products constitute the largest single group in total revenue. Distribution patterns vary from country to country. In most countries in which we operate, we maintain our own sales organizations, but in some smaller countries we market our products through independent distributors.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 Marketing Collaborations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human pharmaceutical products are marketed in arrangements with other pharmaceutical companies, including the following:</w:t>
      </w:r>
    </w:p>
    <w:p>
      <w:pPr>
        <w:spacing w:after="0" w:line="117" w:lineRule="exact"/>
        <w:rPr>
          <w:sz w:val="20"/>
          <w:szCs w:val="20"/>
          <w:color w:val="auto"/>
        </w:rPr>
      </w:pPr>
    </w:p>
    <w:p>
      <w:pPr>
        <w:ind w:left="660" w:right="18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Trajenta, Jentadueto, Jardiance, and Glyxambi are being jointly developed and commercialized with us by Boehringer Ingelheim. Our collaboration with Boehringer Ingelheim also covers two potential future diabetes products: our new insulin glargine product and a fixed-dose combination of empagliflozin and metformin hydrochloride.</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co-promote Cymbalta in Japan with Shionogi &amp; Co. Ltd.</w:t>
      </w:r>
    </w:p>
    <w:p>
      <w:pPr>
        <w:spacing w:after="0" w:line="117"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Erbitux is marketed in the U.S. and Canada by Bristol-Myers Squibb. We have the option to co-promote Erbitux in the U.S. and Canada. Outside the U.S. and Canada, Erbitux is commercialized by Merck KGaA. We receive royalties from Bristol-Myers Squibb and Merck KGaA.</w:t>
      </w:r>
    </w:p>
    <w:p>
      <w:pPr>
        <w:spacing w:after="0" w:line="93" w:lineRule="exact"/>
        <w:rPr>
          <w:rFonts w:ascii="Arial" w:cs="Arial" w:eastAsia="Arial" w:hAnsi="Arial"/>
          <w:sz w:val="18"/>
          <w:szCs w:val="18"/>
          <w:color w:val="auto"/>
        </w:rPr>
      </w:pPr>
    </w:p>
    <w:p>
      <w:pPr>
        <w:ind w:left="660" w:right="50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Effient is co-promoted with us by Daiichi Sankyo or affiliated companies in the U.S., major European markets, Brazil, Mexico, and certain other countries. We retain sole marketing rights in Canada, Australia, Russia, and certain other countries. Daiichi Sankyo retains sole marketing rights in Japan and certain other countries.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Animal Health Products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Elanco animal health business unit employs field salespeople throughout the U.S. and has an extensive sales force outside the U.S. Elanco sells its products primarily to wholesale distributors. Elanco promotes its products primarily to producers and veterinarians for food animal products and to veterinarians for companion animal products. Elanco also advertises certain companion animal products directly to pet owners.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human pharmaceutical products compete globally with products of many other companies in highly competitive markets. Our animal health products compete globally with products of animal health care companies as well as pharmaceutical, chemical, and other companies that operate animal health businesses.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Important competitive factors for both human pharmaceutical and animal health products include effectiveness, safety, and ease of use; price and demonstrated cost-effectiveness; marketing effectiveness; and research and development of new products, processes, and uses. Most new products that we introduce must compete with other branded or generic products already on the market or products that are later developed by competitors. If competitors introduce new products or delivery systems with therapeutic or cost advantages, our products can be subject to decreased sales, progressive price reductions, or both.</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our long-term competitive success depends upon discovering and developing (either alone or in collaboration with others) or acquiring innovative, cost-effective human pharmaceutical and animal health products that provide improved outcomes and deliver value to payers, together with our ability to continuously improve the productivity of our operations in a highly competitive environment. There can be no assurance that our research and development efforts will result in commercially successful products, and it is possible that our products will become uncompetitive from time to time as a result of products developed by our competitors.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w:t>
      </w:r>
    </w:p>
    <w:p>
      <w:pPr>
        <w:sectPr>
          <w:pgSz w:w="11900" w:h="16838" w:orient="portrait"/>
          <w:cols w:equalWidth="0" w:num="1">
            <w:col w:w="11420"/>
          </w:cols>
          <w:pgMar w:left="240" w:top="70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Generic Pharmaceuticals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One of the biggest competitive challenges we face is from generic pharmaceuticals. In the U.S. and the EU, the regulatory approval process for human pharmaceuticals (other than biological products (biologics)) exempts generics from costly and time-consuming clinical trials to demonstrate their safety and efficacy, allowing generic manufacturers to rely on the safety and efficacy of the innovator product. Therefore, generic manufacturers generally invest far less than we do in research and development and can price their products much lower than our branded products. Accordingly, when a branded non-biologic human pharmaceutical loses its market exclusivity, it normally faces intense price competition from generic forms of the product.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 Many of our animal health products also compete with generics.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Several of our current products, including Cyramza, Erbitux, and ReoPro, and many of the new molecular entities (NMEs) in our research pipeline are biologics. Competition for Lilly’s biologics may be affected by the approval of follow-on biologics, also known as biosimilars. A biosimilar is a biologic for which marketing approval is granted based on less than a full safety and efficacy package due to the physical/structural similarity of the biosimilar to an already-approved biologic as well as reliance on the finding of safety and efficacy of the already-approved product. Globally, governments have or are developing regulatory pathways to approve biosimilars as alternatives to innovator-developed biologics, but the patent for the existing, branded product must expire in a given market before biosimilars may enter that market.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w:t>
      </w:r>
    </w:p>
    <w:p>
      <w:pPr>
        <w:spacing w:after="0" w:line="10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Biosimilars may present both competitive challenges and opportunities. For example, with our partner Boehringer Ingelheim we have developed a new insulin glargine product which has the same amino acid sequence as the currently marketed product. Our product has received marketing approval in the EU and tentative approval in the U.S. We intend to begin European launches later in 2015 following expiration of the compound patent for insulin glargine. See Item 3, "Legal Proceedings," for information on legal proceedings relating to this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Care Organizations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growth of MCOs in the U.S. is also a major factor in the competitive marketplace for human pharmaceuticals. It is estimated that approximately two-thirds of the U.S. population now participates in some version of managed care. MCOs can include medical insurance companies, medical plan administrators, health-maintenance organizations, Medicare Part D prescription drug plans, alliances of hospitals and physicians, and other physician organizations. MCOs have been consolidating into fewer, larger entities, thus enhancing their purchasing strength and importance.</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MCOs typically maintain formularies specifying which drugs are covered under their plans. Exclusion of a drug from a formulary can lead to its sharply reduced usage in the MCO patient population. Consequently, pharmaceutical companies compete aggressively to have their branded products included. Where possible, companies compete for inclusion based upon unique features of their products, such as greater efficacy, fewer side effects, or greater patient ease of use. A lower overall cost of therapy is also an important factor. Price is becoming an increasingly important factor in MCO formulary decisions, particularly in treatment areas in which the MCO has taken the position that multiple branded products are therapeutically comparable. As noted above, generic drugs typically have lower costs than brand-name drugs. MCOs often favor generics for this reason.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p>
    <w:p>
      <w:pPr>
        <w:sectPr>
          <w:pgSz w:w="11900" w:h="16838" w:orient="portrait"/>
          <w:cols w:equalWidth="0" w:num="1">
            <w:col w:w="11400"/>
          </w:cols>
          <w:pgMar w:left="240" w:top="6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additional effective intellectual property protection in the form of data protection under pharmaceutical regulatory laws.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patent protection anticipated to be of most relevance to human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the compounds are generally filed during the Discovery Research Phase of the drug discovery process, which is described in the “Research and Development” section of Item 1, “Business.”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99" w:lineRule="exact"/>
        <w:rPr>
          <w:sz w:val="20"/>
          <w:szCs w:val="20"/>
          <w:color w:val="auto"/>
        </w:rPr>
      </w:pPr>
    </w:p>
    <w:p>
      <w:pPr>
        <w:ind w:left="660" w:right="2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is delayed during examination by the U.S. Patent and Trademark Office.</w:t>
      </w:r>
    </w:p>
    <w:p>
      <w:pPr>
        <w:spacing w:after="0" w:line="88" w:lineRule="exact"/>
        <w:rPr>
          <w:rFonts w:ascii="Arial" w:cs="Arial" w:eastAsia="Arial" w:hAnsi="Arial"/>
          <w:sz w:val="18"/>
          <w:szCs w:val="18"/>
          <w:color w:val="auto"/>
        </w:rPr>
      </w:pPr>
    </w:p>
    <w:p>
      <w:pPr>
        <w:ind w:left="660" w:right="100" w:hanging="328"/>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patents that claim inventions subject to review by the U.S. Food and Drug Administration (FDA). A single patent for a human pharmaceutical product may be eligible for patent term restoration to make up for a portion of the time invested in clinical trials and the FDA review process. Patent term restoration is limited by a formula and cannot be calculated until product approval due to uncertainty about the duration of clinical trials and the time it takes the FDA to review an application. There is a five-year cap on any restoration, and no patent may be extended for more than 14 years beyond FDA approval. Some countries outside the U.S. also offer forms of patent term restoration. For example, Supplementary Protection Certificates are sometimes available to extend the life of a European patent up to an additional five years. Similarly, in Japan, Korea, and Australia, patent terms can be extended up to five years, depending on the length of regulatory review and other factors.</w:t>
      </w:r>
    </w:p>
    <w:p>
      <w:pPr>
        <w:spacing w:after="0" w:line="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Loss of effective patent protection for human pharmaceuticals typically results in the loss of effective market exclusivity for the product, which can result in severe and rapid decline in sales of the product. However, in some cases the innovator company may be protected from approval of generic or other follow-on versions of a new medicine beyond the expiration of the compound patent through manufacturing trade secrets, later-expiring patents on methods of use or formulations, or data protection that may be available under pharmaceutical regulatory laws. The primary forms of data protection are as follows:</w:t>
      </w:r>
    </w:p>
    <w:p>
      <w:pPr>
        <w:spacing w:after="0" w:line="97" w:lineRule="exact"/>
        <w:rPr>
          <w:sz w:val="20"/>
          <w:szCs w:val="20"/>
          <w:color w:val="auto"/>
        </w:rPr>
      </w:pPr>
    </w:p>
    <w:p>
      <w:pPr>
        <w:ind w:left="660" w:right="40" w:hanging="328"/>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five years in the U.S. (12 years for new biologics as described below), 10 years in the EU, and eight years in Japan. The period begins on the date of product approval and runs concurrently with the patent term for any relevant patent.</w:t>
      </w:r>
    </w:p>
    <w:p>
      <w:pPr>
        <w:spacing w:after="0" w:line="100"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Biologics Price Competition and Innovation Act (enacted in the U.S. in 2010), the FDA has the authority to approve similar versions (biosimilars) of innovative biologics. A competitor seeking approval of a biosimilar must file an application to show its molecule is highly similar to an approved innovator biologic, address the challenges of biologics manufacturing, and include a certain amount of safety and efficacy data which the FDA will determine on a case-by-case basis. Under the data protection provisions of this law, the FDA cannot approve a biosimilar application until 12 years after initial marketing approval of the innovator biologic, subject to certain conditions.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w:t>
      </w:r>
    </w:p>
    <w:p>
      <w:pPr>
        <w:sectPr>
          <w:pgSz w:w="11900" w:h="16838" w:orient="portrait"/>
          <w:cols w:equalWidth="0" w:num="1">
            <w:col w:w="11420"/>
          </w:cols>
          <w:pgMar w:left="240" w:top="738" w:right="239" w:bottom="1440" w:gutter="0" w:footer="0" w:header="0"/>
        </w:sectPr>
      </w:pPr>
    </w:p>
    <w:bookmarkStart w:id="9" w:name="page10"/>
    <w:bookmarkEnd w:id="9"/>
    <w:p>
      <w:pPr>
        <w:ind w:left="660" w:right="120" w:hanging="328"/>
        <w:spacing w:after="0" w:line="27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U.S., the FDA has the authority to grant additional data protection for approved drugs where the sponsor conducts specified testing in pediatric or adolescent populations. If granted, this “pediatric exclusivity” provides an additional six months, which are added to the term of data protection as well as to the term of any relevant patents, to the extent these protections have not already expired.</w:t>
      </w:r>
    </w:p>
    <w:p>
      <w:pPr>
        <w:spacing w:after="0" w:line="77" w:lineRule="exact"/>
        <w:rPr>
          <w:rFonts w:ascii="Arial" w:cs="Arial" w:eastAsia="Arial" w:hAnsi="Arial"/>
          <w:sz w:val="17"/>
          <w:szCs w:val="17"/>
          <w:color w:val="auto"/>
        </w:rPr>
      </w:pPr>
    </w:p>
    <w:p>
      <w:pPr>
        <w:ind w:left="660" w:hanging="328"/>
        <w:spacing w:after="0" w:line="2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biological product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Outside the major markets, the adequacy and effectiveness of intellectual property protection for human pharmaceuticals varies widely.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Because of TRIPs transition provisions, dispute resolution mechanisms, substantive limitations, and ineffectual implementation, it is difficult to assess when and how much we will benefit commercially from this protection.</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Certain of our Elanco animal health products are covered by patents or other forms of intellectual property protection. Historically, upon loss of effective market exclusivity for our animal health products, we have not generally experienced the rapid and severe declines in revenues that are common in the human pharmaceutical segment.</w:t>
      </w:r>
    </w:p>
    <w:p>
      <w:pPr>
        <w:spacing w:after="0" w:line="9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would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sometimes may assert claims that our activities infringe patents or other intellectual property rights held by them, or allege a third-party right of ownership in our existing intellectual property.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consider intellectual property protection for certain products, processes, and uses—particularly those products discussed below—to be important to our operations. For many of our products, in addition to the compound patent, we hold other patents on manufacturing processes, formulations, or uses that may extend exclusivity beyond the expiration of the compound patent.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most relevant U.S. patent protection or data protection for our larger or recently launched patent-protected marketed products is as follows:</w:t>
      </w:r>
    </w:p>
    <w:p>
      <w:pPr>
        <w:spacing w:after="0" w:line="117" w:lineRule="exact"/>
        <w:rPr>
          <w:sz w:val="20"/>
          <w:szCs w:val="20"/>
          <w:color w:val="auto"/>
        </w:rPr>
      </w:pPr>
    </w:p>
    <w:p>
      <w:pPr>
        <w:ind w:left="660" w:right="3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Alimta is protected by a compound patent (2016) plus pediatric exclusivity (2017), and a vitamin dosage regimen patent (2021) plus pediatric exclusivity (2022).</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Cialis is protected by compound and use patents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Cyramza is protected by biologics data package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Effient is protected by a compound patent (2017) and patents covering methods of using Effient with aspirin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Forteo is protected by patents primarily covering its formulation and related processes (2018) and use patents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Jardiance is protected by a compound patent (2025 not including possible patent extension)</w:t>
      </w:r>
    </w:p>
    <w:p>
      <w:pPr>
        <w:spacing w:after="0" w:line="117"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Strattera is protected by a patent covering its use in treating attention deficit-hyperactivity disorder (2016) plus pediatric exclusivity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p>
    <w:p>
      <w:pPr>
        <w:sectPr>
          <w:pgSz w:w="11900" w:h="16838" w:orient="portrait"/>
          <w:cols w:equalWidth="0" w:num="1">
            <w:col w:w="11420"/>
          </w:cols>
          <w:pgMar w:left="240" w:top="706" w:right="239" w:bottom="1440" w:gutter="0" w:footer="0" w:header="0"/>
        </w:sectPr>
      </w:pPr>
    </w:p>
    <w:bookmarkStart w:id="10" w:name="page11"/>
    <w:bookmarkEnd w:id="10"/>
    <w:p>
      <w:pPr>
        <w:ind w:left="660" w:right="2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Trajenta and Jentadueto are protected by a compound patent (2023), and Boehringer Ingelheim has applied for a patent extension to 2025 under the patent restoration laws.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Trulicity is protected by a compound patent (2024 not including possible patent extension)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right="2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Alimta in major European countries (compound patent December 2015, vitamin dosage regimen patent 2021) and Japan (compound patent December 2015, patent covering use to treat cancer concomitantly with vitamins 2021)</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Cialis in major European countries (compound patent 2017)</w:t>
      </w:r>
    </w:p>
    <w:p>
      <w:pPr>
        <w:spacing w:after="0" w:line="117"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Cymbalta in Japan (data package protection 2018). In major European countries, our Cymbalta data package protection expired in 2014, and we expect the first entry of generic competitors in 2015.</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Forteo in Japan (data package protection 2018; patent covering its formulation and related process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Zyprexa in Japan (compound patent December 2015).</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Necitumumab, our NME that has been submitted for regulatory review, is protected by a compound patent (2025 not including possible patent extension), and upon U.S. approval, would be protected for 12 years by biologics data package protection. See Item 7, "Management’s Discussion and Analysis—Late-Stage Pipeline”, for more information about this molecule.</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Worldwide, we sell all of our major products under trademarks that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Most of our major products were discovered in our own laboratories and are not subject to significant license agreements. Two of our largest products, Cialis and Alimta, are subject to patent assignments or licenses granted to us by others.</w:t>
      </w:r>
    </w:p>
    <w:p>
      <w:pPr>
        <w:spacing w:after="0" w:line="88" w:lineRule="exact"/>
        <w:rPr>
          <w:sz w:val="20"/>
          <w:szCs w:val="20"/>
          <w:color w:val="auto"/>
        </w:rPr>
      </w:pPr>
    </w:p>
    <w:p>
      <w:pPr>
        <w:ind w:left="660" w:right="8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compound patent for Cialis is the subject of a license agreement with GlaxoSmithKline (Glaxo), which assigns to us exclusively all rights in the compound. The agreement calls for royalties of a single-digit percentage of net sales. The agreement is not subject to termination by Glaxo for any reason other than a material breach by Lilly of the royalty obligation, after a substantial cure period.</w:t>
      </w:r>
    </w:p>
    <w:p>
      <w:pPr>
        <w:spacing w:after="0" w:line="93"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compound patent for Alimta is the subject of a license agreement with Princeton University, granting us an irrevocable exclusive worldwide license to the compound patents for the lives of the patents in the respective territories. The agreement calls for royalties of a single-digit percentage of net sales. The agreement is not subject to termination by Princeton for any reason other than a material breach by Lilly of the royalty obligation, after a substantial cure period. Alimta is also the subject of a worldwide, nonexclusive license to certain patents owned by Takeda Pharmaceutical Company Limited. The agreement calls for royalties of a single-digit percentage of net sales in countries covered by a relevant patent. The agreement is subject to termination for material default and failure to cure by Lilly and in the event that Lilly becomes bankrupt or insolvent.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made a complex set of changes to both patent and new-drug-approval laws for human pharmaceuticals. Before the Hatch-Waxman Act, no drug could be approved without providing the FDA complete safety and efficacy studies, i.e., a complete New Drug Application (NDA). The Hatch-Waxman Act authorizes the FDA to approve generic versions of innovative human pharmaceuticals (other than biologics) without such information by filing an Abbreviated New Drug Application (ANDA). In an ANDA, the generic manufacturer must demonstrate only “bioequivalence” between the generic version and the NDA-approved drug—not safety and efficacy.</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ind w:right="100"/>
        <w:spacing w:after="0" w:line="252" w:lineRule="auto"/>
        <w:rPr>
          <w:sz w:val="20"/>
          <w:szCs w:val="20"/>
          <w:color w:val="auto"/>
        </w:rPr>
      </w:pPr>
      <w:r>
        <w:rPr>
          <w:rFonts w:ascii="Arial" w:cs="Arial" w:eastAsia="Arial" w:hAnsi="Arial"/>
          <w:sz w:val="18"/>
          <w:szCs w:val="18"/>
          <w:color w:val="auto"/>
        </w:rPr>
        <w:t>Absent a patent challenge, the FDA cannot approve an ANDA until after the innovator’s patents expire. However, after the innovator has marketed its product for four years, a generic manufacturer may file an ANDA alleging that one or more of the patents listed in the innovator’s NDA are invalid or not infringed. This allegation is commonly known as a “Paragraph IV certification.” The innovator must then file suit against the generic manufacturer to protect its patents. The FDA is then prohibited from approving the generic company’s application for a 30- to 42-month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human pharmaceuticals. In addition, generic companies have shown an increasing willingness to launch “at risk,” i.e., after receiving ANDA approval but before final resolution of their patent challenge. For example, we are currently in litigation with numerous generic manufacturers arising from their Paragraph IV certifications challenging the vitamin dosage regimen patent for Alimta. For more information on Hatch-Waxman litigation involving the company, see Item 8, “Financial Statements and Supplementary Data—Note 15, Contingencies” and Item 3, "Legal Proceedings."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 and we expect this trend to continue. For more information on administrative challenges and litigation involving our Alimta vitamin dosage regimen patents in Europe and Japan, see Item 8, “Financial Statements and Supplementary Data—Note 15,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Our Operations</w:t>
      </w:r>
    </w:p>
    <w:p>
      <w:pPr>
        <w:spacing w:after="0" w:line="13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operations are regulated extensively by numerous national, state, and local agencies. The lengthy process of laboratory and clinical testing, data analysis, manufacturing development, and regulatory review necessary for governmental approvals is extremely costly and can significantly delay product introductions. Promotion, marketing, manufacturing, and distribution of human pharmaceutical and animal health products are extensively regulated in all major world markets. We conduct extensive post-marketing surveillance of the safety of the products we sell. In addition, our operations are subject to complex federal, state, local, and foreign laws and regulations concerning the environment, occupational health and safety, and privacy. Animal health product regulations address the administration of the product in or on the animal, and in the case of food animal products, the impact on humans who consume the food as well as the impact on the environment at the production site. The laws and regulations affecting the manufacture and sale of current products and the discovery, development, and introduction of new products will continue to require substantial effort, expense, and capital investment.</w:t>
      </w:r>
    </w:p>
    <w:p>
      <w:pPr>
        <w:spacing w:after="0" w:line="1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Of particular importance is the FDA in the United States. Pursuant to the Federal Food, Drug, and Cosmetic Act, the FDA has jurisdiction over all of our human pharmaceutical products and certain animal health products in the U.S. and administers requirements covering the testing, safety, effectiveness, manufacturing, quality control, distribution, labeling, marketing, advertising, dissemination of information, and post-marketing surveillance of those products. The U.S. Department of Agriculture and the U.S. Environmental Protection Agency also regulate some animal health products.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FDA extensively regulates all aspects of manufacturing quality for human pharmaceuticals under its current Good Manufacturing Practices (cGMP) regulations. Outside the U.S., our products and operations are subject to similar regulatory requirements, notably by the European Medicines Agency in the EU and the Ministry of Health, Labor and Welfare in Japan. Specific regulatory requirements vary from country to country. We make substantial investments of capital and operating expenses to implement comprehensive, company-wide quality systems in our manufacturing, product development, and process development operations to ensure sustained compliance with cGMP and similar regulations. However, in the event we fail to adhere to these requirements in the future, we could be subject to interruptions in production, fines and penalties, and delays in new product approvals. Certain of our products are manufactured by third parties, and their failure to comply with these regulations could adversely affect us through failure to supply product to us or delays in new product approvals.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w:t>
      </w:r>
    </w:p>
    <w:p>
      <w:pPr>
        <w:sectPr>
          <w:pgSz w:w="11900" w:h="16838" w:orient="portrait"/>
          <w:cols w:equalWidth="0" w:num="1">
            <w:col w:w="11360"/>
          </w:cols>
          <w:pgMar w:left="240" w:top="706" w:right="299" w:bottom="1440" w:gutter="0" w:footer="0" w:header="0"/>
        </w:sectPr>
      </w:pPr>
    </w:p>
    <w:bookmarkStart w:id="12" w:name="page13"/>
    <w:bookmarkEnd w:id="12"/>
    <w:p>
      <w:pPr>
        <w:spacing w:after="0" w:line="252" w:lineRule="auto"/>
        <w:rPr>
          <w:sz w:val="20"/>
          <w:szCs w:val="20"/>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and prescribers, are subject to various other U.S. federal and state laws, including the federal anti-kickback statute and the False Claims Act and state laws governing kickbacks, false claims, unfair trade practices, and consumer protection. These laws are administered by, among others, the Department of Justice (DOJ), the Office of Inspector General of the Department of Health and Human Services, the Federal Trade Commission, the Office of Personnel Management, and state attorneys general. Over the past several years, the FDA, the DOJ, and many of these other agencies have increased their enforcement activities with respect to pharmaceutical companies and increased the inter-agency coordination of enforcement activities. Several claims brought by these agencies against Lilly and other companies under these and other laws have resulted in corporate criminal sanctions and very substantial civil settlements.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the health care providers who prescribe human pharmaceuticals are employed by the government and the purchasers of human pharmaceuticals are government entities; therefore, our interactions with these prescribers and purchasers are subject to regulation under the FCPA.</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including China, Brazil, and the United Kingdom, have enhanced their laws and regulations in this area, increased their enforcement activities, and/or increased the level of cross-border coordination and information sharing.</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possible that we could become subject to additional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Affecting Human Pharmaceutical Pricing, Reimbursement, and Access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human pharmaceuticals under state Medicaid and Medicaid Managed Care programs (minimum of 23.1 percent plus adjustments for price increases over time) and rebates to private payers who cover patients in certain types of health care facilities that serve low-income and uninsured patients (known as 340B facilities). No rebates are required at this time in the Medicare Part B (physician and hospital outpatient) program where reimbursement is set on an "average selling price plus 4.3 percent" formula. Drug manufacturers are required to provide a discount of 50 percent of the cost of branded prescription drugs for Medicare Part D participants who are in the “doughnut hole” (the coverage gap in Medicare prescription drug coverage). Additionally, an annual fee is imposed on pharmaceutical manufacturers and importers that sell branded prescription drugs to specified government programs.</w:t>
      </w:r>
    </w:p>
    <w:p>
      <w:pPr>
        <w:spacing w:after="0" w:line="9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Rebates are also negotiated in the private sector. We give rebates to private payers who provide prescription drug benefits to seniors covered by Medicare and to private payers who provide prescription drug benefits to their customers. These rebates are affected by the introduction of competitive products and generics in the same class.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13</w:t>
      </w:r>
    </w:p>
    <w:p>
      <w:pPr>
        <w:sectPr>
          <w:pgSz w:w="11900" w:h="16838" w:orient="portrait"/>
          <w:cols w:equalWidth="0" w:num="1">
            <w:col w:w="11420"/>
          </w:cols>
          <w:pgMar w:left="240" w:top="706" w:right="239" w:bottom="1440" w:gutter="0" w:footer="0" w:header="0"/>
        </w:sectPr>
      </w:pPr>
    </w:p>
    <w:bookmarkStart w:id="13" w:name="page14"/>
    <w:bookmarkEnd w:id="13"/>
    <w:p>
      <w:pPr>
        <w:ind w:right="20"/>
        <w:spacing w:after="0" w:line="252" w:lineRule="auto"/>
        <w:rPr>
          <w:sz w:val="20"/>
          <w:szCs w:val="20"/>
          <w:color w:val="auto"/>
        </w:rPr>
      </w:pPr>
      <w:r>
        <w:rPr>
          <w:rFonts w:ascii="Arial" w:cs="Arial" w:eastAsia="Arial" w:hAnsi="Arial"/>
          <w:sz w:val="18"/>
          <w:szCs w:val="18"/>
          <w:color w:val="auto"/>
        </w:rPr>
        <w:t>Globally, public and private payers are increasingly restricting access to human pharmaceuticals based on the payers' assessments of comparative effectiveness and value. The U.S. has established the Patient Centered Outcomes Research Institute (PCORI), a federally-funded, private, non-profit corporation empowered to fund and disseminate comparative effectiveness research (CER) and build infrastructure for improved outcomes analysis. While PCORI has no authority to impose formulary changes directly in government-funded health programs, they are expected to drive an increase in CER studies which payers can use for formulary decisions and/or medical societies can use to inform medical guidelines development. Many countries outside of the U.S. use formal health technology assessment processes to determine formulary placement and purchase price.</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or regulatory developments. However, in general we expect that state, federal, and international legislative and regulatory developments could have further negative effects on pricing and reimbursement for our human pharmaceutical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Research and Development</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commitment to research and development dates back more than 100 years. We invest heavily in research and development because we believe it is critical to our long-term competitiveness. At the end of 2014, we employed approximately 8,145 people in human pharmaceutical and animal health research and development activities, including a substantial number of physicians, scientists holding graduate or postgraduate degrees, and highly skilled technical personnel. Our research and development expenses were $4.73 billion in 2014, $5.53 billion in 2013, and $5.28 billion in 2012.</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internal human pharmaceutical research focuses primarily on our core areas of cancer, diabetes, and neurodegeneration, and two emerging areas, immunology and pain. We are investing in molecules with multi-pathway pharmacological efficacy (e.g., dual-action bi-specific antibodies and antibody-drug conjugates) to expand the potential of our therapeutic portfolio. We have a strong biotechnology research program, with approximately half of our clinical-stage pipeline currently consisting of biologics. In addition to discovering and developing NMEs, we seek to expand the value of existing products through new uses, formulations, and therapeutic approaches that provide additional value to patients. Across all our therapeutic areas, we are increasingly focusing our efforts on tailored therapeutics, seeking to identify and use advanced diagnostic tools and other information to identify specific subgroups of patients for whom our medicines—or potentially those of other companies—will be the best treatment option.</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human pharmaceutical products. We actively seek out external investments in research and technologies that hold the promise to complement and strengthen our own efforts. These investments can take many forms, including licensing arrangements, co-development and co-marketing agreements, co-promotion arrangements, joint ventures, and acquisitions.</w:t>
      </w:r>
    </w:p>
    <w:p>
      <w:pPr>
        <w:spacing w:after="0" w:line="10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Elanco animal health innovation strategy is focused on identifying and developing promising technologies and potential products from internal and external sources to meet unmet veterinary needs. Our animal health scientists also leverage discoveries from our human health laboratories to develop products to enhance the health and wellbeing of livestock and pets.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p>
    <w:p>
      <w:pPr>
        <w:sectPr>
          <w:pgSz w:w="11900" w:h="16838" w:orient="portrait"/>
          <w:cols w:equalWidth="0" w:num="1">
            <w:col w:w="11380"/>
          </w:cols>
          <w:pgMar w:left="240" w:top="706" w:right="279" w:bottom="1440" w:gutter="0" w:footer="0" w:header="0"/>
        </w:sectPr>
      </w:pPr>
    </w:p>
    <w:bookmarkStart w:id="14" w:name="page15"/>
    <w:bookmarkEnd w:id="14"/>
    <w:p>
      <w:pPr>
        <w:ind w:right="80"/>
        <w:spacing w:after="0" w:line="252" w:lineRule="auto"/>
        <w:rPr>
          <w:sz w:val="20"/>
          <w:szCs w:val="20"/>
          <w:color w:val="auto"/>
        </w:rPr>
      </w:pPr>
      <w:r>
        <w:rPr>
          <w:rFonts w:ascii="Arial" w:cs="Arial" w:eastAsia="Arial" w:hAnsi="Arial"/>
          <w:sz w:val="18"/>
          <w:szCs w:val="18"/>
          <w:color w:val="auto"/>
        </w:rPr>
        <w:t>Human pharmaceutical development is time-consuming, expensive, and risky. On average, only one out of many thousands of molecules discovered by researchers ultimately becomes an approved medicine. The process from discovery to regulatory approval can take 12 to 15 years or longer. Drug candidates can fail at any stage of the process, and even late-stage drug candidates sometimes fail to receive regulatory approval or achieve commercial success. After approval and launch of a product, we expend considerable resources on post-marketing surveillance and additional clinical studies to collect and understand the benefits and potential risks of medicines as they are used as therapeutics. The following describes in more detail the research and development process for human pharmaceutical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20" w:hanging="250"/>
        <w:spacing w:after="0"/>
        <w:tabs>
          <w:tab w:leader="none" w:pos="4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Research Phase</w:t>
      </w:r>
    </w:p>
    <w:p>
      <w:pPr>
        <w:spacing w:after="0" w:line="139" w:lineRule="exact"/>
        <w:rPr>
          <w:rFonts w:ascii="Arial" w:cs="Arial" w:eastAsia="Arial" w:hAnsi="Arial"/>
          <w:sz w:val="18"/>
          <w:szCs w:val="18"/>
          <w:b w:val="1"/>
          <w:bCs w:val="1"/>
          <w:color w:val="auto"/>
        </w:rPr>
      </w:pPr>
    </w:p>
    <w:p>
      <w:pPr>
        <w:ind w:left="4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earliest phase of new drug research and development, the discovery phase, can take many years. Scientists identify, design, and synthesize promising molecules, screening tens of thousands of molecules for their effect on biological “targets” that appear to play an important role in one or more diseases. Targets can be part of the body, such as a protein, receptor, or gene; or foreign, such as a virus or bacteria. Some targets have been proven to affect disease processes, but often the target is unproven and may later prove to be irrelevant to the disease or to yield insufficient clinical benefit. Molecules that have the desired effect on the target and meet other design criteria become “lead” molecules and move to the next phase of development. The probability of any one such lead molecule becoming a commercial product is extremely low.</w:t>
      </w:r>
    </w:p>
    <w:p>
      <w:pPr>
        <w:spacing w:after="0" w:line="77"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39" w:lineRule="exact"/>
        <w:rPr>
          <w:rFonts w:ascii="Arial" w:cs="Arial" w:eastAsia="Arial" w:hAnsi="Arial"/>
          <w:sz w:val="18"/>
          <w:szCs w:val="18"/>
          <w:b w:val="1"/>
          <w:bCs w:val="1"/>
          <w:color w:val="auto"/>
        </w:rPr>
      </w:pPr>
    </w:p>
    <w:p>
      <w:pPr>
        <w:ind w:left="42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early development phase involves refining lead molecules, understanding how to manufacture them efficiently, and completing initial testing for safety and efficacy. Safety testing is done first in laboratory tests and animals as necessary, to identify toxicity and other potential safety issues that would preclude use in humans. The first human tests (often referred to as Phase I) are normally conducted in small groups of healthy volunteers to assess safety and find the potential dosing range. After a safe dose has been established, the drug is administered to small populations of patients (Phase II) to look for initial signs of efficacy in treating the targeted disease and to continue to assess safety. In parallel, scientists work to identify safe, effective, and economical manufacturing processes. Long-term animal studies continue to test for potential safety issues. Of the molecules that enter the early development phase, typically less than 10 percent move on to the product phase. The early development phase normally takes several years to complete.</w:t>
      </w:r>
    </w:p>
    <w:p>
      <w:pPr>
        <w:spacing w:after="0" w:line="76"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Product Phase</w:t>
      </w:r>
    </w:p>
    <w:p>
      <w:pPr>
        <w:spacing w:after="0" w:line="139" w:lineRule="exact"/>
        <w:rPr>
          <w:rFonts w:ascii="Arial" w:cs="Arial" w:eastAsia="Arial" w:hAnsi="Arial"/>
          <w:sz w:val="18"/>
          <w:szCs w:val="18"/>
          <w:b w:val="1"/>
          <w:bCs w:val="1"/>
          <w:color w:val="auto"/>
        </w:rPr>
      </w:pPr>
    </w:p>
    <w:p>
      <w:pPr>
        <w:ind w:left="42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Product phase (Phase III) molecules have already demonstrated safety and, typically, shown initial evidence of efficacy. As a result, these molecules generally have a higher likelihood of success. The molecules are tested in much larger patient populations to demonstrate efficacy to a predetermined level of statistical significance and to continue to develop the safety profile. These trials are generally global in nature and are designed to generate the data necessary to submit the molecule to regulatory agencies for marketing approval. The potential new drug is generally compared with existing competitive therapies, placebo, or both. The resulting data is compiled and submitted to regulatory agencies around the world. Phase III testing varies by disease state, but can often last from three to four years.</w:t>
      </w:r>
    </w:p>
    <w:p>
      <w:pPr>
        <w:spacing w:after="0" w:line="63"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39" w:lineRule="exact"/>
        <w:rPr>
          <w:rFonts w:ascii="Arial" w:cs="Arial" w:eastAsia="Arial" w:hAnsi="Arial"/>
          <w:sz w:val="18"/>
          <w:szCs w:val="18"/>
          <w:b w:val="1"/>
          <w:bCs w:val="1"/>
          <w:color w:val="auto"/>
        </w:rPr>
      </w:pPr>
    </w:p>
    <w:p>
      <w:pPr>
        <w:ind w:left="42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Once a molecule is submitted to regulatory agencies, the time to final marketing approval can vary from several months to several years, depending on variables such as the disease state, the strength and complexity of the data presented, the novelty of the target or compound, and the time required for the agency(ies) to evaluate the submission. There is no guarantee that a potential medicine will receive marketing approval, or that decisions on marketing approvals or indications will be consistent across geographic areas.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ind w:right="80"/>
        <w:spacing w:after="0" w:line="251" w:lineRule="auto"/>
        <w:rPr>
          <w:sz w:val="20"/>
          <w:szCs w:val="20"/>
          <w:color w:val="auto"/>
        </w:rPr>
      </w:pPr>
      <w:r>
        <w:rPr>
          <w:rFonts w:ascii="Arial" w:cs="Arial" w:eastAsia="Arial" w:hAnsi="Arial"/>
          <w:sz w:val="18"/>
          <w:szCs w:val="18"/>
          <w:color w:val="auto"/>
        </w:rPr>
        <w:t>We believe our investments in research, both internally and in collaboration with others, have been rewarded by the large number of new molecules and new indications for existing molecules that we have in all stages of development. We currently have approximately 55 drug candidates across all stages of human testing and a larger number of projects in preclinical development. Among our new investigational molecules currently in the product phase of development or awaiting regulatory approval or launch are potential therapies for diabetes, various cancers, Alzheimer’s disease, pain, high-risk vascular disease, rheumatoid arthritis, psoriasis, and psoriatic arthritis. We are studying many other drug candidates in the earlier stages of development, including molecules targeting various cancers, diabetes, neurodegeneration, pain, immunologic diseases, anemia, cardiovascular disease, musculoskeletal disorders, and renal diseases. We are also developing new uses, formulations, or delivery methods for many of these molecules as well as several currently marketed products. See Item 7, "Management's Discussion and Analysis—Late-Stage Pipeline," for more information on certain of our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it is possible that we could experience an interruption in supply until we established new sources or, in some cases, implemented alternative processes.</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four owned sites in the U.S. as well as owned sites in Ireland, Puerto Rico, and the United Kingdom.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should allow us to meet all expected product demand while maintaining flexibility to reallocate manufacturing capacity to improve efficiency and respond to changes in supply and demand. To maintain a stable supply of our products, we take a variety of actions including a company-wide, comprehensive quality system, inventory management, and back-up sites.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However, human pharmaceutical and animal health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 or extraordinary unplanned increases in demand, we could experience an interruption in supply of certain products or product shortages until production could be resumed or expanded.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3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Our success depends in great measure upon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to assure that the product meets all regulatory requirements and Lilly standards. These tests may involve chemical and physical chemical analyses, microbiological testing, testing in animals, or a combination. Additional assurance of quality is provided by a corporate quality-assurance group that audits and monitors all aspects of quality related to human pharmaceutical and animal health manufacturing procedures and systems in the parent company, subsidiaries and affiliates, and third-party suppliers.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w:t>
      </w:r>
    </w:p>
    <w:p>
      <w:pPr>
        <w:sectPr>
          <w:pgSz w:w="11900" w:h="16838" w:orient="portrait"/>
          <w:cols w:equalWidth="0" w:num="1">
            <w:col w:w="11400"/>
          </w:cols>
          <w:pgMar w:left="240" w:top="70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sets forth certain information regarding our executive officers. Except as otherwise noted, all executive officers have been employed by the company in management or executive positions during the last five years.</w:t>
      </w:r>
    </w:p>
    <w:p>
      <w:pPr>
        <w:spacing w:after="0" w:line="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4, 2015,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and any other person pursuant to which the executive officer was selected.</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0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8660" w:type="dxa"/>
            <w:vAlign w:val="bottom"/>
            <w:tcBorders>
              <w:top w:val="single" w:sz="8" w:color="auto"/>
              <w:bottom w:val="single" w:sz="8" w:color="auto"/>
              <w:right w:val="single" w:sz="8" w:color="auto"/>
            </w:tcBorders>
          </w:tcPr>
          <w:p>
            <w:pPr>
              <w:ind w:left="3180"/>
              <w:spacing w:after="0"/>
              <w:rPr>
                <w:sz w:val="20"/>
                <w:szCs w:val="20"/>
                <w:color w:val="auto"/>
              </w:rPr>
            </w:pPr>
            <w:r>
              <w:rPr>
                <w:rFonts w:ascii="Arial" w:cs="Arial" w:eastAsia="Arial" w:hAnsi="Arial"/>
                <w:sz w:val="14"/>
                <w:szCs w:val="14"/>
                <w:b w:val="1"/>
                <w:bCs w:val="1"/>
                <w:color w:val="auto"/>
              </w:rPr>
              <w:t>Offices and Business Experience</w:t>
            </w: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John C. Lechleiter, Ph.D.</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61</w:t>
            </w:r>
          </w:p>
        </w:tc>
        <w:tc>
          <w:tcPr>
            <w:tcW w:w="8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Chairman (since January 2009), President (since October 2005), Chief Executive Officer (since April 2008), and a Director (since</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8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October 2005)</w:t>
            </w:r>
          </w:p>
        </w:tc>
        <w:tc>
          <w:tcPr>
            <w:tcW w:w="0" w:type="dxa"/>
            <w:vAlign w:val="bottom"/>
          </w:tcPr>
          <w:p>
            <w:pPr>
              <w:spacing w:after="0"/>
              <w:rPr>
                <w:sz w:val="1"/>
                <w:szCs w:val="1"/>
                <w:color w:val="auto"/>
              </w:rPr>
            </w:pPr>
          </w:p>
        </w:tc>
      </w:tr>
      <w:tr>
        <w:trPr>
          <w:trHeight w:val="87"/>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 Barnes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46</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January 2013)</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Lilly Diabetes (since November 2009)</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Maria A. Crowe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President, Manufacturing Operations (since January 2012)</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Stephen F. Fry</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Human Resources and Diversity (since February 2011)</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General Counsel (since January 2013)</w:t>
            </w: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Jan M. Lundberg, Ph.D.</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61</w:t>
            </w:r>
          </w:p>
        </w:tc>
        <w:tc>
          <w:tcPr>
            <w:tcW w:w="8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Executive Vice President, Science and Technology, and President, Lilly Research Laboratories (since January 2010). From 2002 until</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86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he joined Lilly in January 2010, Dr. Lundberg was executive vice president and head of discovery research at AstraZeneca.</w:t>
            </w:r>
          </w:p>
        </w:tc>
        <w:tc>
          <w:tcPr>
            <w:tcW w:w="0" w:type="dxa"/>
            <w:vAlign w:val="bottom"/>
          </w:tcPr>
          <w:p>
            <w:pPr>
              <w:spacing w:after="0"/>
              <w:rPr>
                <w:sz w:val="1"/>
                <w:szCs w:val="1"/>
                <w:color w:val="auto"/>
              </w:rPr>
            </w:pPr>
          </w:p>
        </w:tc>
      </w:tr>
      <w:tr>
        <w:trPr>
          <w:trHeight w:val="87"/>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Susan Mahony, Ph.D.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Lilly Oncology (since February 2011)</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Barton R. Peterson</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Corporate Affairs and Communications (since June 2009).</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Derica W. Rice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Executive Vice President, Global Services (since January 2010) and Chief Financial Officer (since May 2006)</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Lilly Bio-Medicines (since January 2012)</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Jeffrey N. Simmons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Elanco Animal Health (since January 2008)</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Fionnuala M. Walsh</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Global Quality (since July 2007)</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Alfonso Zulueta</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and President, Emerging Markets (since January 2014)</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Employees</w:t>
      </w:r>
    </w:p>
    <w:p>
      <w:pPr>
        <w:spacing w:after="0" w:line="139"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At the end of 2014, we employed approximately 39,135 people, including approximately 21,920 employees outside the United States. A substantial number of our employees have long records of continuous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Information Relating to Business Segments and Classes of Products</w:t>
      </w:r>
    </w:p>
    <w:p>
      <w:pPr>
        <w:spacing w:after="0" w:line="139" w:lineRule="exact"/>
        <w:rPr>
          <w:sz w:val="20"/>
          <w:szCs w:val="20"/>
          <w:color w:val="auto"/>
        </w:rPr>
      </w:pPr>
    </w:p>
    <w:p>
      <w:pPr>
        <w:ind w:right="1160"/>
        <w:spacing w:after="0" w:line="262" w:lineRule="auto"/>
        <w:rPr>
          <w:sz w:val="20"/>
          <w:szCs w:val="20"/>
          <w:color w:val="auto"/>
        </w:rPr>
      </w:pPr>
      <w:r>
        <w:rPr>
          <w:rFonts w:ascii="Arial" w:cs="Arial" w:eastAsia="Arial" w:hAnsi="Arial"/>
          <w:sz w:val="18"/>
          <w:szCs w:val="18"/>
          <w:color w:val="auto"/>
        </w:rPr>
        <w:t>You can find financial information relating to our business segments and classes of products in Item 8, "Financial Statements and Supplementary Data—Note 18, Segment Information." That information is incorporated here by reference.</w:t>
      </w:r>
    </w:p>
    <w:p>
      <w:pPr>
        <w:spacing w:after="0" w:line="8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relative contribution of any particular product to our consolidated revenue changes from year to year. This is due to several factors, including the introduction of new products by us and by other manufacturers and the introduction of generic pharmaceuticals upon patent expirations. Our major product revenues are generally not seasonal.</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17</w:t>
      </w:r>
    </w:p>
    <w:p>
      <w:pPr>
        <w:sectPr>
          <w:pgSz w:w="11900" w:h="16838" w:orient="portrait"/>
          <w:cols w:equalWidth="0" w:num="1">
            <w:col w:w="11420"/>
          </w:cols>
          <w:pgMar w:left="240" w:top="73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CC0000"/>
        </w:rPr>
        <w:t>Financial Information Relating to Foreign and Domestic Operations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You can find financial information relating to foreign and domestic operations in Item 8, “Financial Statements and Supplementary Data—Note 18, Segment Information.” That information is incorporated here by reference. To date, our overall operations abroad have not been significantly deterred by local restrictions on the transfer of funds from branches and subsidiaries located abroad, including the availability of U.S. dollar exchange. We cannot predict what effect these restrictions or the other risks inherent in foreign operations, including possible nationalization, might have on our future operations or what other restrictions may be imposed in the future. In addition, changing currency values can either favorably or unfavorably affect our financial position, liquidity, and results of operations. We mitigate foreign exchange risk through various hedging techniques including the use of foreign currency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Available Information on Our Website</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make available through our company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company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addition, the Corporate Governance portion of our website includes our corporate governance guidelines, board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http://www.lilly.com/about/corporate-governance/Pages/corporate-governance.aspx.</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will provide paper copies of our SEC filings free of charge upon request to the company’s secretary at the address listed on the front of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20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to the other information contained in this Form 10-K, the following risk factors should be considered carefully in evaluating our company. It is possible that our business, financial condition, liquidity, or results of operations could be materially adversely affected by any of these risks.</w:t>
      </w:r>
    </w:p>
    <w:p>
      <w:pPr>
        <w:spacing w:after="0" w:line="72" w:lineRule="exact"/>
        <w:rPr>
          <w:sz w:val="20"/>
          <w:szCs w:val="20"/>
          <w:color w:val="auto"/>
        </w:rPr>
      </w:pPr>
    </w:p>
    <w:p>
      <w:pPr>
        <w:ind w:left="340" w:right="260" w:hanging="332"/>
        <w:spacing w:after="0" w:line="26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Pharmaceutical research and development is very costly and highly uncertain; we may not succeed in developing or acquiring commercially successful products sufficient in number or value to replace revenues of products losing intellectual property protection.</w:t>
      </w:r>
    </w:p>
    <w:p>
      <w:pPr>
        <w:spacing w:after="0" w:line="82" w:lineRule="exact"/>
        <w:rPr>
          <w:rFonts w:ascii="Arial" w:cs="Arial" w:eastAsia="Arial" w:hAnsi="Arial"/>
          <w:sz w:val="18"/>
          <w:szCs w:val="18"/>
          <w:color w:val="auto"/>
        </w:rPr>
      </w:pPr>
    </w:p>
    <w:p>
      <w:pPr>
        <w:ind w:left="340"/>
        <w:spacing w:after="0" w:line="251" w:lineRule="auto"/>
        <w:rPr>
          <w:rFonts w:ascii="Arial" w:cs="Arial" w:eastAsia="Arial" w:hAnsi="Arial"/>
          <w:sz w:val="18"/>
          <w:szCs w:val="18"/>
          <w:color w:val="auto"/>
        </w:rPr>
      </w:pPr>
      <w:r>
        <w:rPr>
          <w:rFonts w:ascii="Arial" w:cs="Arial" w:eastAsia="Arial" w:hAnsi="Arial"/>
          <w:sz w:val="18"/>
          <w:szCs w:val="18"/>
          <w:color w:val="auto"/>
        </w:rPr>
        <w:t>There are many difficulties and uncertainties inherent in human pharmaceutical research and development and the introduction of new products. There is a high rate of failure inherent in new drug discovery and development. To bring a drug from the discovery phase to market typically takes over a decade and often costs well in excess of $1 billion. Failure can occur at any point in the process, including late in the process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necessary regulatory approvals or payer reimbursement, limited scope of approved uses, difficulty or excessive costs to manufacture, or infringement of the patents or intellectual property rights of others. Regulatory agencies are establishing increasingly high hurdles for the efficacy and safety of new products; delays and uncertainties in drug approval processes can result in delays in product launches and lost market opportunity. In addition, it can be very difficult to predict sales growth rates of new products.</w:t>
      </w:r>
    </w:p>
    <w:p>
      <w:pPr>
        <w:spacing w:after="0" w:line="104" w:lineRule="exact"/>
        <w:rPr>
          <w:rFonts w:ascii="Arial" w:cs="Arial" w:eastAsia="Arial" w:hAnsi="Arial"/>
          <w:sz w:val="18"/>
          <w:szCs w:val="18"/>
          <w:color w:val="auto"/>
        </w:rPr>
      </w:pPr>
    </w:p>
    <w:p>
      <w:pPr>
        <w:ind w:left="340" w:right="200"/>
        <w:spacing w:after="0" w:line="252" w:lineRule="auto"/>
        <w:rPr>
          <w:rFonts w:ascii="Arial" w:cs="Arial" w:eastAsia="Arial" w:hAnsi="Arial"/>
          <w:sz w:val="18"/>
          <w:szCs w:val="18"/>
          <w:color w:val="auto"/>
        </w:rPr>
      </w:pPr>
      <w:r>
        <w:rPr>
          <w:rFonts w:ascii="Arial" w:cs="Arial" w:eastAsia="Arial" w:hAnsi="Arial"/>
          <w:sz w:val="18"/>
          <w:szCs w:val="18"/>
          <w:color w:val="auto"/>
        </w:rPr>
        <w:t>We cannot state with certainty when or whether our products now under development will be approved or launched; whether we will be able to develop, license or otherwise acquire additional product candidates or products; or whether our products, once launched, will be commercially successful. We must maintain a continuous flow of successful new products and successful new indications or brand extensions for existing products sufficient both to cover our substantial research and development costs and to replace sales that are lost as profitable products lose intellectual property exclusivity or are displaced by competing products or therapies. Failure to do so in the short-term or long-term would have a material adverse effect on our business, results of operations, cash flows, financial position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p>
    <w:p>
      <w:pPr>
        <w:sectPr>
          <w:pgSz w:w="11900" w:h="16838" w:orient="portrait"/>
          <w:cols w:equalWidth="0" w:num="1">
            <w:col w:w="11420"/>
          </w:cols>
          <w:pgMar w:left="240" w:top="738" w:right="239" w:bottom="1440" w:gutter="0" w:footer="0" w:header="0"/>
        </w:sectPr>
      </w:pPr>
    </w:p>
    <w:bookmarkStart w:id="18" w:name="page19"/>
    <w:bookmarkEnd w:id="18"/>
    <w:p>
      <w:pPr>
        <w:ind w:left="340" w:right="300" w:hanging="332"/>
        <w:spacing w:after="0" w:line="28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We face intense competition from multinational pharmaceutical companies, biotechnology companies, and lower-cost generic and biosimilar manufacturers.</w:t>
      </w:r>
    </w:p>
    <w:p>
      <w:pPr>
        <w:spacing w:after="0" w:line="67" w:lineRule="exact"/>
        <w:rPr>
          <w:rFonts w:ascii="Arial" w:cs="Arial" w:eastAsia="Arial" w:hAnsi="Arial"/>
          <w:sz w:val="18"/>
          <w:szCs w:val="18"/>
          <w:color w:val="auto"/>
        </w:rPr>
      </w:pPr>
    </w:p>
    <w:p>
      <w:pPr>
        <w:ind w:left="340" w:right="100"/>
        <w:spacing w:after="0" w:line="252"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drugs. See Item 1, “Business—Competition,” for more details.</w:t>
      </w:r>
    </w:p>
    <w:p>
      <w:pPr>
        <w:spacing w:after="0" w:line="78" w:lineRule="exact"/>
        <w:rPr>
          <w:rFonts w:ascii="Arial" w:cs="Arial" w:eastAsia="Arial" w:hAnsi="Arial"/>
          <w:sz w:val="18"/>
          <w:szCs w:val="18"/>
          <w:color w:val="auto"/>
        </w:rPr>
      </w:pPr>
    </w:p>
    <w:p>
      <w:pPr>
        <w:jc w:val="both"/>
        <w:ind w:left="340" w:right="100" w:hanging="332"/>
        <w:spacing w:after="0" w:line="26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several years, which may result in rapid and severe declines in revenues.</w:t>
      </w:r>
    </w:p>
    <w:p>
      <w:pPr>
        <w:spacing w:after="0" w:line="82" w:lineRule="exact"/>
        <w:rPr>
          <w:rFonts w:ascii="Arial" w:cs="Arial" w:eastAsia="Arial" w:hAnsi="Arial"/>
          <w:sz w:val="18"/>
          <w:szCs w:val="18"/>
          <w:color w:val="auto"/>
        </w:rPr>
      </w:pPr>
    </w:p>
    <w:p>
      <w:pPr>
        <w:ind w:left="340" w:right="380"/>
        <w:spacing w:after="0" w:line="291" w:lineRule="auto"/>
        <w:rPr>
          <w:rFonts w:ascii="Arial" w:cs="Arial" w:eastAsia="Arial" w:hAnsi="Arial"/>
          <w:sz w:val="18"/>
          <w:szCs w:val="18"/>
          <w:color w:val="auto"/>
        </w:rPr>
      </w:pPr>
      <w:r>
        <w:rPr>
          <w:rFonts w:ascii="Arial" w:cs="Arial" w:eastAsia="Arial" w:hAnsi="Arial"/>
          <w:sz w:val="17"/>
          <w:szCs w:val="17"/>
          <w:color w:val="auto"/>
        </w:rPr>
        <w:t>A number of our top-selling human pharmaceutical products have recently lost, or will lose in the next several years, significant patent protection and/or data protection in the United States (U.S.) as well as key countries outside the U.S., as illustrated in the tables below:</w:t>
      </w:r>
    </w:p>
    <w:p>
      <w:pPr>
        <w:spacing w:after="0" w:line="12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Percent of</w:t>
            </w:r>
          </w:p>
        </w:tc>
        <w:tc>
          <w:tcPr>
            <w:tcW w:w="5940" w:type="dxa"/>
            <w:vAlign w:val="bottom"/>
            <w:tcBorders>
              <w:top w:val="single" w:sz="8" w:color="auto"/>
              <w:right w:val="single" w:sz="8" w:color="auto"/>
            </w:tcBorders>
          </w:tcPr>
          <w:p>
            <w:pPr>
              <w:spacing w:after="0"/>
              <w:rPr>
                <w:sz w:val="16"/>
                <w:szCs w:val="16"/>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U.S. Revenues</w:t>
            </w:r>
          </w:p>
        </w:tc>
        <w:tc>
          <w:tcPr>
            <w:tcW w:w="142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Worldwide</w:t>
            </w:r>
          </w:p>
        </w:tc>
        <w:tc>
          <w:tcPr>
            <w:tcW w:w="59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(2014)</w:t>
            </w:r>
          </w:p>
        </w:tc>
        <w:tc>
          <w:tcPr>
            <w:tcW w:w="1420" w:type="dxa"/>
            <w:vAlign w:val="bottom"/>
            <w:tcBorders>
              <w:right w:val="single" w:sz="8" w:color="auto"/>
            </w:tcBorders>
          </w:tcPr>
          <w:p>
            <w:pPr>
              <w:ind w:left="360"/>
              <w:spacing w:after="0"/>
              <w:rPr>
                <w:sz w:val="20"/>
                <w:szCs w:val="20"/>
                <w:color w:val="auto"/>
              </w:rPr>
            </w:pPr>
            <w:r>
              <w:rPr>
                <w:rFonts w:ascii="Arial" w:cs="Arial" w:eastAsia="Arial" w:hAnsi="Arial"/>
                <w:sz w:val="14"/>
                <w:szCs w:val="14"/>
                <w:b w:val="1"/>
                <w:bCs w:val="1"/>
                <w:color w:val="auto"/>
              </w:rPr>
              <w:t>Revenues</w:t>
            </w:r>
          </w:p>
        </w:tc>
        <w:tc>
          <w:tcPr>
            <w:tcW w:w="5940" w:type="dxa"/>
            <w:vAlign w:val="bottom"/>
            <w:tcBorders>
              <w:right w:val="single" w:sz="8" w:color="auto"/>
            </w:tcBorders>
          </w:tcPr>
          <w:p>
            <w:pPr>
              <w:spacing w:after="0"/>
              <w:rPr>
                <w:sz w:val="14"/>
                <w:szCs w:val="14"/>
                <w:color w:val="auto"/>
              </w:rPr>
            </w:pPr>
          </w:p>
        </w:tc>
      </w:tr>
      <w:tr>
        <w:trPr>
          <w:trHeight w:val="196"/>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 in millions)</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594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4"/>
                <w:szCs w:val="14"/>
                <w:b w:val="1"/>
                <w:bCs w:val="1"/>
                <w:color w:val="auto"/>
              </w:rPr>
              <w:t>Patent / Data Protection - U.S.</w:t>
            </w:r>
          </w:p>
        </w:tc>
      </w:tr>
      <w:tr>
        <w:trPr>
          <w:trHeight w:val="228"/>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1,229.5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plus pediatric exclusivity 2017;</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Vitamin dosage regimen patent plus pediatric exclusivity 2022</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60" w:type="dxa"/>
            <w:vAlign w:val="bottom"/>
          </w:tcPr>
          <w:p>
            <w:pPr>
              <w:spacing w:after="0"/>
              <w:rPr>
                <w:sz w:val="22"/>
                <w:szCs w:val="22"/>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1,039.9</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2017</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22"/>
                <w:szCs w:val="22"/>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539.0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Formulation and related process patents 2018; use patents 2019</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Strattera</w:t>
            </w:r>
          </w:p>
        </w:tc>
        <w:tc>
          <w:tcPr>
            <w:tcW w:w="160" w:type="dxa"/>
            <w:vAlign w:val="bottom"/>
          </w:tcPr>
          <w:p>
            <w:pPr>
              <w:spacing w:after="0"/>
              <w:rPr>
                <w:sz w:val="22"/>
                <w:szCs w:val="22"/>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452.5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Use patent plus pediatric exclusivity 2017</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Effient</w:t>
            </w:r>
          </w:p>
        </w:tc>
        <w:tc>
          <w:tcPr>
            <w:tcW w:w="160" w:type="dxa"/>
            <w:vAlign w:val="bottom"/>
          </w:tcPr>
          <w:p>
            <w:pPr>
              <w:spacing w:after="0"/>
              <w:rPr>
                <w:sz w:val="22"/>
                <w:szCs w:val="22"/>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394.5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2017; use patents 2022</w:t>
            </w:r>
          </w:p>
        </w:tc>
      </w:tr>
      <w:tr>
        <w:trPr>
          <w:trHeight w:val="264"/>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Evista</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207.2</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Use patents March 2014</w:t>
            </w:r>
          </w:p>
        </w:tc>
      </w:tr>
      <w:tr>
        <w:trPr>
          <w:trHeight w:val="189"/>
        </w:trPr>
        <w:tc>
          <w:tcPr>
            <w:tcW w:w="1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tcPr>
          <w:p>
            <w:pPr>
              <w:spacing w:after="0"/>
              <w:rPr>
                <w:sz w:val="16"/>
                <w:szCs w:val="16"/>
                <w:color w:val="auto"/>
              </w:rPr>
            </w:pPr>
          </w:p>
        </w:tc>
      </w:tr>
      <w:tr>
        <w:trPr>
          <w:trHeight w:val="169"/>
        </w:trPr>
        <w:tc>
          <w:tcPr>
            <w:tcW w:w="144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 Outside</w:t>
            </w:r>
          </w:p>
        </w:tc>
        <w:tc>
          <w:tcPr>
            <w:tcW w:w="1420" w:type="dxa"/>
            <w:vAlign w:val="bottom"/>
            <w:tcBorders>
              <w:right w:val="single" w:sz="8" w:color="auto"/>
            </w:tcBorders>
          </w:tcPr>
          <w:p>
            <w:pPr>
              <w:ind w:left="360"/>
              <w:spacing w:after="0"/>
              <w:rPr>
                <w:sz w:val="20"/>
                <w:szCs w:val="20"/>
                <w:color w:val="auto"/>
              </w:rPr>
            </w:pPr>
            <w:r>
              <w:rPr>
                <w:rFonts w:ascii="Arial" w:cs="Arial" w:eastAsia="Arial" w:hAnsi="Arial"/>
                <w:sz w:val="14"/>
                <w:szCs w:val="14"/>
                <w:b w:val="1"/>
                <w:bCs w:val="1"/>
                <w:color w:val="auto"/>
              </w:rPr>
              <w:t>Percent of</w:t>
            </w:r>
          </w:p>
        </w:tc>
        <w:tc>
          <w:tcPr>
            <w:tcW w:w="59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U.S.</w:t>
            </w:r>
          </w:p>
        </w:tc>
        <w:tc>
          <w:tcPr>
            <w:tcW w:w="1420" w:type="dxa"/>
            <w:vAlign w:val="bottom"/>
            <w:tcBorders>
              <w:right w:val="single" w:sz="8" w:color="auto"/>
            </w:tcBorders>
          </w:tcPr>
          <w:p>
            <w:pPr>
              <w:ind w:left="340"/>
              <w:spacing w:after="0"/>
              <w:rPr>
                <w:sz w:val="20"/>
                <w:szCs w:val="20"/>
                <w:color w:val="auto"/>
              </w:rPr>
            </w:pPr>
            <w:r>
              <w:rPr>
                <w:rFonts w:ascii="Arial" w:cs="Arial" w:eastAsia="Arial" w:hAnsi="Arial"/>
                <w:sz w:val="14"/>
                <w:szCs w:val="14"/>
                <w:b w:val="1"/>
                <w:bCs w:val="1"/>
                <w:color w:val="auto"/>
              </w:rPr>
              <w:t>Worldwide</w:t>
            </w:r>
          </w:p>
        </w:tc>
        <w:tc>
          <w:tcPr>
            <w:tcW w:w="59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(2014)</w:t>
            </w:r>
          </w:p>
        </w:tc>
        <w:tc>
          <w:tcPr>
            <w:tcW w:w="1420" w:type="dxa"/>
            <w:vAlign w:val="bottom"/>
            <w:tcBorders>
              <w:right w:val="single" w:sz="8" w:color="auto"/>
            </w:tcBorders>
          </w:tcPr>
          <w:p>
            <w:pPr>
              <w:ind w:left="360"/>
              <w:spacing w:after="0"/>
              <w:rPr>
                <w:sz w:val="20"/>
                <w:szCs w:val="20"/>
                <w:color w:val="auto"/>
              </w:rPr>
            </w:pPr>
            <w:r>
              <w:rPr>
                <w:rFonts w:ascii="Arial" w:cs="Arial" w:eastAsia="Arial" w:hAnsi="Arial"/>
                <w:sz w:val="14"/>
                <w:szCs w:val="14"/>
                <w:b w:val="1"/>
                <w:bCs w:val="1"/>
                <w:color w:val="auto"/>
              </w:rPr>
              <w:t>Revenues</w:t>
            </w:r>
          </w:p>
        </w:tc>
        <w:tc>
          <w:tcPr>
            <w:tcW w:w="5940" w:type="dxa"/>
            <w:vAlign w:val="bottom"/>
            <w:tcBorders>
              <w:right w:val="single" w:sz="8" w:color="auto"/>
            </w:tcBorders>
          </w:tcPr>
          <w:p>
            <w:pPr>
              <w:spacing w:after="0"/>
              <w:rPr>
                <w:sz w:val="14"/>
                <w:szCs w:val="14"/>
                <w:color w:val="auto"/>
              </w:rPr>
            </w:pPr>
          </w:p>
        </w:tc>
      </w:tr>
      <w:tr>
        <w:trPr>
          <w:trHeight w:val="196"/>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 in millions)</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594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Patent / Data Protection - Major Europe / Japan</w:t>
            </w:r>
          </w:p>
        </w:tc>
      </w:tr>
      <w:tr>
        <w:trPr>
          <w:trHeight w:val="228"/>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1,562.5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compound patent December 2015, vitamin</w:t>
            </w:r>
          </w:p>
        </w:tc>
      </w:tr>
      <w:tr>
        <w:trPr>
          <w:trHeight w:val="203"/>
        </w:trPr>
        <w:tc>
          <w:tcPr>
            <w:tcW w:w="14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59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dosage regimen patent 2021</w:t>
            </w:r>
          </w:p>
        </w:tc>
      </w:tr>
      <w:tr>
        <w:trPr>
          <w:trHeight w:val="203"/>
        </w:trPr>
        <w:tc>
          <w:tcPr>
            <w:tcW w:w="14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59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Japan: compound patent December 2015, use patent to treat cancer</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concomitantly with vitamins 2021</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60" w:type="dxa"/>
            <w:vAlign w:val="bottom"/>
          </w:tcPr>
          <w:p>
            <w:pPr>
              <w:spacing w:after="0"/>
              <w:rPr>
                <w:sz w:val="22"/>
                <w:szCs w:val="22"/>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1,251.1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compound patent 2017</w:t>
            </w:r>
          </w:p>
        </w:tc>
      </w:tr>
      <w:tr>
        <w:trPr>
          <w:trHeight w:val="24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Cymbalta</w:t>
            </w:r>
          </w:p>
        </w:tc>
        <w:tc>
          <w:tcPr>
            <w:tcW w:w="160" w:type="dxa"/>
            <w:vAlign w:val="bottom"/>
          </w:tcPr>
          <w:p>
            <w:pPr>
              <w:spacing w:after="0"/>
              <w:rPr>
                <w:sz w:val="21"/>
                <w:szCs w:val="21"/>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1,194.2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data package protection 2014</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2018</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Zyprexa</w:t>
            </w:r>
          </w:p>
        </w:tc>
        <w:tc>
          <w:tcPr>
            <w:tcW w:w="160" w:type="dxa"/>
            <w:vAlign w:val="bottom"/>
          </w:tcPr>
          <w:p>
            <w:pPr>
              <w:spacing w:after="0"/>
              <w:rPr>
                <w:sz w:val="22"/>
                <w:szCs w:val="22"/>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917.5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Compound patent December 2015</w:t>
            </w:r>
          </w:p>
        </w:tc>
      </w:tr>
      <w:tr>
        <w:trPr>
          <w:trHeight w:val="24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21"/>
                <w:szCs w:val="21"/>
                <w:color w:val="auto"/>
              </w:rPr>
            </w:pPr>
          </w:p>
        </w:tc>
        <w:tc>
          <w:tcPr>
            <w:tcW w:w="128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783.0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2018; formulation and related process</w:t>
            </w:r>
          </w:p>
        </w:tc>
      </w:tr>
      <w:tr>
        <w:trPr>
          <w:trHeight w:val="224"/>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5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patent 2019</w:t>
            </w:r>
          </w:p>
        </w:tc>
      </w:tr>
    </w:tbl>
    <w:p>
      <w:pPr>
        <w:spacing w:after="0" w:line="161" w:lineRule="exact"/>
        <w:rPr>
          <w:sz w:val="20"/>
          <w:szCs w:val="20"/>
          <w:color w:val="auto"/>
        </w:rPr>
      </w:pPr>
    </w:p>
    <w:p>
      <w:pPr>
        <w:ind w:left="340" w:right="160"/>
        <w:spacing w:after="0" w:line="252" w:lineRule="auto"/>
        <w:rPr>
          <w:sz w:val="20"/>
          <w:szCs w:val="20"/>
          <w:color w:val="auto"/>
        </w:rPr>
      </w:pPr>
      <w:r>
        <w:rPr>
          <w:rFonts w:ascii="Arial" w:cs="Arial" w:eastAsia="Arial" w:hAnsi="Arial"/>
          <w:sz w:val="18"/>
          <w:szCs w:val="18"/>
          <w:color w:val="auto"/>
        </w:rPr>
        <w:t>Certain other significant products no longer have effective exclusivity through patent protection or data protection. For non-biological products, loss of exclusivity (whether by expiration or as a consequence of litigation) typically results in the entry of one or more generic competitors, leading to a rapid and severe decline in revenues. For biological products (such as Humalog, Humulin, and Erbitux), loss of exclusivity may or may not result in the near-term entry of competitor versions (i.e., biosimilars) due to development timelines, manufacturing challenges, and/or uncertainties in the regulatory pathways for approval of the competitor versions. See Item 7, “Management’s Discussion and Analysis—Executive Overview—Other Matters,” and Item 1, "Business—Patents, Trademarks, and Other Intellectual Property Rights," for more details.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19</w:t>
      </w:r>
    </w:p>
    <w:p>
      <w:pPr>
        <w:sectPr>
          <w:pgSz w:w="11900" w:h="16838" w:orient="portrait"/>
          <w:cols w:equalWidth="0" w:num="1">
            <w:col w:w="11420"/>
          </w:cols>
          <w:pgMar w:left="240" w:top="684" w:right="239" w:bottom="1440" w:gutter="0" w:footer="0" w:header="0"/>
        </w:sectPr>
      </w:pPr>
    </w:p>
    <w:bookmarkStart w:id="19" w:name="page20"/>
    <w:bookmarkEnd w:id="19"/>
    <w:p>
      <w:pPr>
        <w:ind w:left="340" w:right="1100" w:hanging="332"/>
        <w:spacing w:after="0" w:line="287"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67"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93" w:lineRule="exact"/>
        <w:rPr>
          <w:rFonts w:ascii="Arial" w:cs="Arial" w:eastAsia="Arial" w:hAnsi="Arial"/>
          <w:sz w:val="18"/>
          <w:szCs w:val="18"/>
          <w:b w:val="1"/>
          <w:bCs w:val="1"/>
          <w:color w:val="auto"/>
        </w:rPr>
      </w:pPr>
    </w:p>
    <w:p>
      <w:pPr>
        <w:ind w:left="34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Intellectual property protection varies throughout the world and is subject to change over time. In the U.S., the Hatch-Waxman Act provides generic companies powerful incentives to seek to invalidate our human pharmaceutical patents; as a result, we expect that our U.S. patents on major pharmaceutical products will be routinely challenged, and there can be no assurance that our patents will be upheld. We face generic manufacturer challenges to our patents outside the U.S. as well. The entry of generic competitors typically results in rapid and severe declines in sales.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See Item 1, “Business—Patents, Trademarks, and Other Intellectual Property Rights,” Item 3, "Legal Proceedings," and Item 8, "Financial Statements and Supplementary Data—Note 15, Contingencies," for more details.</w:t>
      </w:r>
    </w:p>
    <w:p>
      <w:pPr>
        <w:spacing w:after="0" w:line="82" w:lineRule="exact"/>
        <w:rPr>
          <w:rFonts w:ascii="Arial" w:cs="Arial" w:eastAsia="Arial" w:hAnsi="Arial"/>
          <w:sz w:val="18"/>
          <w:szCs w:val="18"/>
          <w:b w:val="1"/>
          <w:bCs w:val="1"/>
          <w:color w:val="auto"/>
        </w:rPr>
      </w:pPr>
    </w:p>
    <w:p>
      <w:pPr>
        <w:ind w:left="340" w:right="40" w:hanging="332"/>
        <w:spacing w:after="0" w:line="28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Our human pharmaceutical business is subject to increasing government price controls and other public and private restrictions on pricing, reimbursement, and access for our drugs.</w:t>
      </w:r>
    </w:p>
    <w:p>
      <w:pPr>
        <w:spacing w:after="0" w:line="67" w:lineRule="exact"/>
        <w:rPr>
          <w:rFonts w:ascii="Arial" w:cs="Arial" w:eastAsia="Arial" w:hAnsi="Arial"/>
          <w:sz w:val="18"/>
          <w:szCs w:val="18"/>
          <w:color w:val="auto"/>
        </w:rPr>
      </w:pPr>
    </w:p>
    <w:p>
      <w:pPr>
        <w:ind w:left="340"/>
        <w:spacing w:after="0" w:line="251" w:lineRule="auto"/>
        <w:rPr>
          <w:rFonts w:ascii="Arial" w:cs="Arial" w:eastAsia="Arial" w:hAnsi="Arial"/>
          <w:sz w:val="18"/>
          <w:szCs w:val="18"/>
          <w:color w:val="auto"/>
        </w:rPr>
      </w:pPr>
      <w:r>
        <w:rPr>
          <w:rFonts w:ascii="Arial" w:cs="Arial" w:eastAsia="Arial" w:hAnsi="Arial"/>
          <w:sz w:val="18"/>
          <w:szCs w:val="18"/>
          <w:color w:val="auto"/>
        </w:rPr>
        <w:t>In the U.S., prices for specialty and brand name pharmaceuticals, congressional investigations into manufacturer’s pricing policies, and the federal budget process continue to drive legislative debate. These policy and political issues increase the risk that taxes, fees, rebates or other federal measures may be enacted. As a result, pharmaceutical companies may see either a reduction in revenue or increase in expenses. President Obama’s fiscal year 2016 budget includes a number of key health legislative proposals affecting biopharmaceuticals, including a reduction in biologic data exclusivity, modifications to Medicare Parts B and D, and new language that would allow the Department of Health and Human Services to negotiate prices for biologics and drugs on the specialty tier in Part D. Savings projected under these proposals are targeted as a means to fund health care expenditures, such as the Medicare Sustainable Growth Rate, and non-health care expenditures. State and federal health care proposals, including price controls, continue to be debated, and if implemented could negatively affect future consolidated results of operations.</w:t>
      </w:r>
    </w:p>
    <w:p>
      <w:pPr>
        <w:spacing w:after="0" w:line="118" w:lineRule="exact"/>
        <w:rPr>
          <w:rFonts w:ascii="Arial" w:cs="Arial" w:eastAsia="Arial" w:hAnsi="Arial"/>
          <w:sz w:val="18"/>
          <w:szCs w:val="18"/>
          <w:color w:val="auto"/>
        </w:rPr>
      </w:pPr>
    </w:p>
    <w:p>
      <w:pPr>
        <w:ind w:left="340" w:right="100"/>
        <w:spacing w:after="0" w:line="266" w:lineRule="auto"/>
        <w:rPr>
          <w:rFonts w:ascii="Arial" w:cs="Arial" w:eastAsia="Arial" w:hAnsi="Arial"/>
          <w:sz w:val="18"/>
          <w:szCs w:val="18"/>
          <w:color w:val="auto"/>
        </w:rPr>
      </w:pPr>
      <w:r>
        <w:rPr>
          <w:rFonts w:ascii="Arial" w:cs="Arial" w:eastAsia="Arial" w:hAnsi="Arial"/>
          <w:sz w:val="18"/>
          <w:szCs w:val="18"/>
          <w:color w:val="auto"/>
        </w:rPr>
        <w:t>In the U.S. private sector, the growth of managed care organizations (MCOs) is also a major factor in the competitive marketplace for human pharmaceuticals. It is estimated that approximately two-thirds of the U.S. now participates in some form of managed care. MCOs have been consolidating into fewer, larger entities, thus enhancing their purchasing strength and importance. MCOs typically maintain formularies specifying which drugs are covered under their plans. Exclusion of a drug from a formulary can lead to its sharply reduced usage in the MCO patient population. Consequently, pharmaceutical companies compete aggressively to have their branded products included. Price is becoming an increasingly important factor in MCO formulary decisions, particularly in treatment areas in which the MCO has taken the position that multiple branded products are therapeutically comparable. These downward pricing pressures could negatively affect future consolidated results of opera</w:t>
      </w:r>
      <w:r>
        <w:rPr>
          <w:rFonts w:ascii="Arial" w:cs="Arial" w:eastAsia="Arial" w:hAnsi="Arial"/>
          <w:sz w:val="19"/>
          <w:szCs w:val="19"/>
          <w:color w:val="auto"/>
        </w:rPr>
        <w:t>tions.</w:t>
      </w:r>
    </w:p>
    <w:p>
      <w:pPr>
        <w:spacing w:after="0" w:line="83"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100" w:lineRule="exact"/>
        <w:rPr>
          <w:rFonts w:ascii="Arial" w:cs="Arial" w:eastAsia="Arial" w:hAnsi="Arial"/>
          <w:sz w:val="18"/>
          <w:szCs w:val="18"/>
          <w:color w:val="auto"/>
        </w:rPr>
      </w:pPr>
    </w:p>
    <w:p>
      <w:pPr>
        <w:ind w:left="340" w:right="400"/>
        <w:spacing w:after="0" w:line="256" w:lineRule="auto"/>
        <w:rPr>
          <w:rFonts w:ascii="Arial" w:cs="Arial" w:eastAsia="Arial" w:hAnsi="Arial"/>
          <w:sz w:val="18"/>
          <w:szCs w:val="18"/>
          <w:color w:val="auto"/>
        </w:rPr>
      </w:pPr>
      <w:r>
        <w:rPr>
          <w:rFonts w:ascii="Arial" w:cs="Arial" w:eastAsia="Arial" w:hAnsi="Arial"/>
          <w:sz w:val="18"/>
          <w:szCs w:val="18"/>
          <w:color w:val="auto"/>
        </w:rPr>
        <w:t>We expect pricing, reimbursement, and access pressures from both governments and private payers inside and outside the U.S. to become more severe. See Item I, “Business—Regulations Affecting Human Pharmaceutical Pricing, Reimbursement, and Access,” for more details.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w:t>
      </w:r>
    </w:p>
    <w:p>
      <w:pPr>
        <w:sectPr>
          <w:pgSz w:w="11900" w:h="16838" w:orient="portrait"/>
          <w:cols w:equalWidth="0" w:num="1">
            <w:col w:w="11400"/>
          </w:cols>
          <w:pgMar w:left="240" w:top="684" w:right="259" w:bottom="1440" w:gutter="0" w:footer="0" w:header="0"/>
        </w:sectPr>
      </w:pPr>
    </w:p>
    <w:bookmarkStart w:id="20" w:name="page21"/>
    <w:bookmarkEnd w:id="20"/>
    <w:p>
      <w:pPr>
        <w:ind w:left="340" w:right="60" w:hanging="332"/>
        <w:spacing w:after="0" w:line="287"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67" w:lineRule="exact"/>
        <w:rPr>
          <w:rFonts w:ascii="Arial" w:cs="Arial" w:eastAsia="Arial" w:hAnsi="Arial"/>
          <w:sz w:val="18"/>
          <w:szCs w:val="18"/>
          <w:b w:val="1"/>
          <w:bCs w:val="1"/>
          <w:color w:val="auto"/>
        </w:rPr>
      </w:pPr>
    </w:p>
    <w:p>
      <w:pPr>
        <w:ind w:left="3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We are subject to income taxes in the U.S. and numerous foreign jurisdictions. Changes in the relevant tax laws, regulations, administrative practices, principles, and interpretations could adversely affect our future effective tax rates and results of operations. The U.S. and a number of other countries are actively considering changes in this regard. The Obama administration has proposed changes to the manner in which the U.S. would tax the international income of U.S.-based companies, including unremitted earnings of foreign subsidiaries. There have also been tax proposals under discussion or introduced in the U.S. Congress that could change the manner in which, and rate at which, income of U.S. companies would be taxed. While it is uncertain how the U.S. Congress may address U.S. tax policy matters in the future, reform of U.S. taxation, including taxation of international income, will continue to be a topic of discussion for the U.S. Congress and the Obama administration. Additionally, the Organisation for Economic Co-operation and Development launched and continues to advance an initiative to analyze and potentially influence international tax policy in major countries in which we operate. A significant change to the U.S. or international tax framework, including changes to the taxation of international income, could have a material adverse effect on our results of operations. See Item 8, "Financial Statements and Supplementary Data—Note 13, Income Taxes," for more details.</w:t>
      </w:r>
    </w:p>
    <w:p>
      <w:pPr>
        <w:spacing w:after="0" w:line="70" w:lineRule="exact"/>
        <w:rPr>
          <w:rFonts w:ascii="Arial" w:cs="Arial" w:eastAsia="Arial" w:hAnsi="Arial"/>
          <w:sz w:val="18"/>
          <w:szCs w:val="18"/>
          <w:b w:val="1"/>
          <w:bCs w:val="1"/>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can significantly affect our revenue and income.</w:t>
      </w:r>
    </w:p>
    <w:p>
      <w:pPr>
        <w:spacing w:after="0" w:line="139" w:lineRule="exact"/>
        <w:rPr>
          <w:rFonts w:ascii="Arial" w:cs="Arial" w:eastAsia="Arial" w:hAnsi="Arial"/>
          <w:sz w:val="18"/>
          <w:szCs w:val="18"/>
          <w:color w:val="auto"/>
        </w:rPr>
      </w:pPr>
    </w:p>
    <w:p>
      <w:pPr>
        <w:ind w:left="340" w:right="40"/>
        <w:spacing w:after="0" w:line="254"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Chinese yuan, and the Japanese yen,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w:t>
      </w:r>
    </w:p>
    <w:p>
      <w:pPr>
        <w:spacing w:after="0" w:line="74"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39" w:lineRule="exact"/>
        <w:rPr>
          <w:rFonts w:ascii="Arial" w:cs="Arial" w:eastAsia="Arial" w:hAnsi="Arial"/>
          <w:sz w:val="18"/>
          <w:szCs w:val="18"/>
          <w:b w:val="1"/>
          <w:bCs w:val="1"/>
          <w:color w:val="auto"/>
        </w:rPr>
      </w:pPr>
    </w:p>
    <w:p>
      <w:pPr>
        <w:ind w:left="34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prescribers, and patients, are subject to extensive regulation. Many companies, including Lilly, have been subject to claims related to these practices asserted by federal, state and foreign governmental authorities, private payers, and consumers. These claims have resulted in substantial expense and other significant consequences to us. It is possible that we could become subject to such investigations and that the outcome could include criminal charges and fines, penalties, or other monetary or non-monetary remedies, including exclusion from U.S. federal and other health care programs. In addition, regulatory issues concerning compliance with current Good Manufacturing Practices regulations (and comparable foreign regulations) for pharmaceutical products can lead to product recalls and seizures, interruption of production leading to product shortages, and delays in the approvals of new products pending resolution of the issues. See Item 1, “Business—Regulation of our Operations,” for more details.</w:t>
      </w:r>
    </w:p>
    <w:p>
      <w:pPr>
        <w:spacing w:after="0" w:line="82" w:lineRule="exact"/>
        <w:rPr>
          <w:rFonts w:ascii="Arial" w:cs="Arial" w:eastAsia="Arial" w:hAnsi="Arial"/>
          <w:sz w:val="18"/>
          <w:szCs w:val="18"/>
          <w:b w:val="1"/>
          <w:bCs w:val="1"/>
          <w:color w:val="auto"/>
        </w:rPr>
      </w:pPr>
    </w:p>
    <w:p>
      <w:pPr>
        <w:ind w:left="340" w:right="40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revenues and income.</w:t>
      </w:r>
    </w:p>
    <w:p>
      <w:pPr>
        <w:spacing w:after="0" w:line="67" w:lineRule="exact"/>
        <w:rPr>
          <w:rFonts w:ascii="Arial" w:cs="Arial" w:eastAsia="Arial" w:hAnsi="Arial"/>
          <w:sz w:val="18"/>
          <w:szCs w:val="18"/>
          <w:color w:val="auto"/>
        </w:rPr>
      </w:pPr>
    </w:p>
    <w:p>
      <w:pPr>
        <w:ind w:left="340" w:right="80"/>
        <w:spacing w:after="0" w:line="252" w:lineRule="auto"/>
        <w:rPr>
          <w:rFonts w:ascii="Arial" w:cs="Arial" w:eastAsia="Arial" w:hAnsi="Arial"/>
          <w:sz w:val="18"/>
          <w:szCs w:val="18"/>
          <w:color w:val="auto"/>
        </w:rPr>
      </w:pPr>
      <w:r>
        <w:rPr>
          <w:rFonts w:ascii="Arial" w:cs="Arial" w:eastAsia="Arial" w:hAnsi="Arial"/>
          <w:sz w:val="18"/>
          <w:szCs w:val="18"/>
          <w:color w:val="auto"/>
        </w:rPr>
        <w:t>Human pharmaceutical products receive regulatory approval based on data obtained in controlled clinical trials of limited duration. After approval, the products are used for longer periods of time by much larger numbers of patients;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that could reduce the product's market acceptance and result in declining sales. Serious safety or efficacy issues that arise after approval for marketing could result in voluntary or mandatory product recalls or withdrawals from the market. Safety issues could also result in costly product liability claims.</w:t>
      </w:r>
    </w:p>
    <w:p>
      <w:pPr>
        <w:spacing w:after="0" w:line="76" w:lineRule="exact"/>
        <w:rPr>
          <w:rFonts w:ascii="Arial" w:cs="Arial" w:eastAsia="Arial" w:hAnsi="Arial"/>
          <w:sz w:val="18"/>
          <w:szCs w:val="18"/>
          <w:color w:val="auto"/>
        </w:rPr>
      </w:pPr>
    </w:p>
    <w:p>
      <w:pPr>
        <w:ind w:left="340" w:right="1020" w:hanging="332"/>
        <w:spacing w:after="0" w:line="287"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We face many product liability claims and are self-insured; we could face large numbers of claims in the future, which could adversely affect our business.</w:t>
      </w:r>
    </w:p>
    <w:p>
      <w:pPr>
        <w:spacing w:after="0" w:line="54" w:lineRule="exact"/>
        <w:rPr>
          <w:rFonts w:ascii="Arial" w:cs="Arial" w:eastAsia="Arial" w:hAnsi="Arial"/>
          <w:sz w:val="18"/>
          <w:szCs w:val="18"/>
          <w:b w:val="1"/>
          <w:bCs w:val="1"/>
          <w:color w:val="auto"/>
        </w:rPr>
      </w:pPr>
    </w:p>
    <w:p>
      <w:pPr>
        <w:ind w:left="340" w:right="16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product liability claims involving primarily Byetta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Prozac, and 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See Item 8, “Financial Statements and Supplementary Data—Note 15, Contingencies,” and Item 3, “Legal Proceedings,” for more information on our current product liability litigation. Because of the nature of pharmaceutical products, we could become subject to large numbers of product liability claims for these or</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21</w:t>
      </w:r>
    </w:p>
    <w:p>
      <w:pPr>
        <w:sectPr>
          <w:pgSz w:w="11900" w:h="16838" w:orient="portrait"/>
          <w:cols w:equalWidth="0" w:num="1">
            <w:col w:w="11420"/>
          </w:cols>
          <w:pgMar w:left="240" w:top="684" w:right="239" w:bottom="1440" w:gutter="0" w:footer="0" w:header="0"/>
        </w:sectPr>
      </w:pPr>
    </w:p>
    <w:bookmarkStart w:id="21" w:name="page22"/>
    <w:bookmarkEnd w:id="21"/>
    <w:p>
      <w:pPr>
        <w:ind w:left="340" w:right="140"/>
        <w:spacing w:after="0" w:line="256" w:lineRule="auto"/>
        <w:rPr>
          <w:sz w:val="20"/>
          <w:szCs w:val="20"/>
          <w:color w:val="auto"/>
        </w:rPr>
      </w:pPr>
      <w:r>
        <w:rPr>
          <w:rFonts w:ascii="Arial" w:cs="Arial" w:eastAsia="Arial" w:hAnsi="Arial"/>
          <w:sz w:val="18"/>
          <w:szCs w:val="18"/>
          <w:color w:val="auto"/>
        </w:rPr>
        <w:t>other products in the future, which could require substantial expenditures to resolve and, if involving marketed products, could adversely affect sales of the product. Due to a very restrictive market for product liability insurance, we are self-insured for product liability losses for all our currently marketed products.</w:t>
      </w:r>
    </w:p>
    <w:p>
      <w:pPr>
        <w:spacing w:after="0" w:line="7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Manufacturing difficulties or disruptions could lead to product supply problems.</w:t>
      </w:r>
    </w:p>
    <w:p>
      <w:pPr>
        <w:spacing w:after="0" w:line="139"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Pharmaceutical manufacturing is complex and highly regulated. Manufacturing difficulties at our facilities or contracted facilities, or the failure or refusal of a contract manufacturer to supply contracted quantities, could result in product shortages, leading to lost revenue. Such difficulties or disruptions could result from quality or regulatory compliance problems, natural disasters, or inability to obtain sole-source raw or intermediate materials. In addition, given the difficulties in predicting sales of new products and the very long lead times necessary for the expansion and regulatory qualification of pharmaceutical manufacturing capacity, it is possible that we could have difficulty meeting demand for new products. See Item 1, “Business—Raw Materials and Product Supply,” for more details.</w:t>
      </w:r>
    </w:p>
    <w:p>
      <w:pPr>
        <w:spacing w:after="0" w:line="78" w:lineRule="exact"/>
        <w:rPr>
          <w:rFonts w:ascii="Arial" w:cs="Arial" w:eastAsia="Arial" w:hAnsi="Arial"/>
          <w:sz w:val="18"/>
          <w:szCs w:val="18"/>
          <w:color w:val="auto"/>
        </w:rPr>
      </w:pPr>
    </w:p>
    <w:p>
      <w:pPr>
        <w:ind w:left="340" w:right="320" w:hanging="332"/>
        <w:spacing w:after="0" w:line="28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We depend on information technology systems and infrastructure to operate our business; system inadequacies or operating failures could harm our business.</w:t>
      </w:r>
    </w:p>
    <w:p>
      <w:pPr>
        <w:spacing w:after="0" w:line="67" w:lineRule="exact"/>
        <w:rPr>
          <w:rFonts w:ascii="Arial" w:cs="Arial" w:eastAsia="Arial" w:hAnsi="Arial"/>
          <w:sz w:val="18"/>
          <w:szCs w:val="18"/>
          <w:color w:val="auto"/>
        </w:rPr>
      </w:pPr>
    </w:p>
    <w:p>
      <w:pPr>
        <w:ind w:left="340" w:right="40"/>
        <w:spacing w:after="0" w:line="252" w:lineRule="auto"/>
        <w:rPr>
          <w:rFonts w:ascii="Arial" w:cs="Arial" w:eastAsia="Arial" w:hAnsi="Arial"/>
          <w:sz w:val="18"/>
          <w:szCs w:val="18"/>
          <w:color w:val="auto"/>
        </w:rPr>
      </w:pPr>
      <w:r>
        <w:rPr>
          <w:rFonts w:ascii="Arial" w:cs="Arial" w:eastAsia="Arial" w:hAnsi="Arial"/>
          <w:sz w:val="18"/>
          <w:szCs w:val="18"/>
          <w:color w:val="auto"/>
        </w:rPr>
        <w:t>We rely to a large extent on the efficient and uninterrupted operation of complex information technology systems and networks, some of which are within the company and some of which are outsourced. These systems and networks are potentially vulnerable to damage or interruption from a variety of sources, including energy or telecommunications failures, breakdowns, natural disasters, terrorism, war, computer malware or other malicious intrusions, and random attacks. To date, system interruptions have been infrequent and have not had a material impact on our consolidated results of operations. We have implemented extensive measures to prevent, respond to, and minimize the impact of system interruptions. However, there can be no assurance that these efforts will prevent future interruptions that would have a material adverse effect on our business.</w:t>
      </w:r>
    </w:p>
    <w:p>
      <w:pPr>
        <w:spacing w:after="0" w:line="77" w:lineRule="exact"/>
        <w:rPr>
          <w:rFonts w:ascii="Arial" w:cs="Arial" w:eastAsia="Arial" w:hAnsi="Arial"/>
          <w:sz w:val="18"/>
          <w:szCs w:val="18"/>
          <w:color w:val="auto"/>
        </w:rPr>
      </w:pPr>
    </w:p>
    <w:p>
      <w:pPr>
        <w:ind w:left="340" w:right="680" w:hanging="332"/>
        <w:spacing w:after="0" w:line="287"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loss, theft, or inadvertent disclosure of our confidential data could impair our valuable intellectual property, harm our competitive position, and expose us to regulatory penalties and other costs.</w:t>
      </w:r>
    </w:p>
    <w:p>
      <w:pPr>
        <w:spacing w:after="0" w:line="67" w:lineRule="exact"/>
        <w:rPr>
          <w:rFonts w:ascii="Arial" w:cs="Arial" w:eastAsia="Arial" w:hAnsi="Arial"/>
          <w:sz w:val="18"/>
          <w:szCs w:val="18"/>
          <w:b w:val="1"/>
          <w:bCs w:val="1"/>
          <w:color w:val="auto"/>
        </w:rPr>
      </w:pPr>
    </w:p>
    <w:p>
      <w:pPr>
        <w:ind w:left="34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 great deal of confidential information owned by both Lilly and our alliances is stored in our information systems, networks, and facilities at third parties. This includes valuable trade secrets and intellectual property, corporate strategic plans, marketing plans, customer information, and personally identifiable information (such as employee and patient information). Some of this information is created, accessed, and/or maintained by third parties. The confidentiality of this information may be breached in a variety of ways, including but not limited to negligent or wrongful conduct by employees or others with permitted access to our systems and data, or wrongful conduct by certain governments, hackers, unethical competitors, or former workforce members. The rapid growth of social media exacerbates the risk of information security breaches.</w:t>
      </w:r>
    </w:p>
    <w:p>
      <w:pPr>
        <w:spacing w:after="0" w:line="99" w:lineRule="exact"/>
        <w:rPr>
          <w:rFonts w:ascii="Arial" w:cs="Arial" w:eastAsia="Arial" w:hAnsi="Arial"/>
          <w:sz w:val="18"/>
          <w:szCs w:val="18"/>
          <w:b w:val="1"/>
          <w:bCs w:val="1"/>
          <w:color w:val="auto"/>
        </w:rPr>
      </w:pPr>
    </w:p>
    <w:p>
      <w:pPr>
        <w:ind w:left="340" w:right="1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theft or unauthorized disclosure of confidential information could impair our ability to secure and maintain intellectual property rights, cause damage to company operations and reputation, and cause us to lose other competitive advantages. Unauthorized disclosure of personally identifiable information could expose us to sanctions for violations of data privacy laws and regulations and could damage the public trust in our company. Information security breaches may be very difficult to detect, and once detected, their impact may be very difficult to assess. To date, the information security breaches of which we have become aware have been infrequent in occurrence and, to the extent we have been able to measure their financial impact on our consolidated results of operations, such impact has not been material. We have invested and continue to invest to prevent, monitor, detect, and respond to information security breaches by strengthening our employee awareness and training, information technology systems, and business processes, and strengthening data protection requirements for third parties that handle our confidential information. However, despite these efforts, we expect information security breaches to continue, and there can be no assurance that these efforts will prevent information security breaches that would have a material adverse effect on our business.</w:t>
      </w:r>
    </w:p>
    <w:p>
      <w:pPr>
        <w:spacing w:after="0" w:line="81" w:lineRule="exact"/>
        <w:rPr>
          <w:rFonts w:ascii="Arial" w:cs="Arial" w:eastAsia="Arial" w:hAnsi="Arial"/>
          <w:sz w:val="18"/>
          <w:szCs w:val="18"/>
          <w:b w:val="1"/>
          <w:bCs w:val="1"/>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39" w:lineRule="exact"/>
        <w:rPr>
          <w:rFonts w:ascii="Arial" w:cs="Arial" w:eastAsia="Arial" w:hAnsi="Arial"/>
          <w:sz w:val="18"/>
          <w:szCs w:val="18"/>
          <w:b w:val="1"/>
          <w:bCs w:val="1"/>
          <w:color w:val="auto"/>
        </w:rPr>
      </w:pPr>
    </w:p>
    <w:p>
      <w:pPr>
        <w:ind w:left="34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utilize third parties, including suppliers, alliances with other pharmaceutical and biotechnology companies, and third-party service providers, for selected aspects of product development, the manufacture and commercialization of certain products, support for information technology systems, and certain financial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w:t>
      </w:r>
    </w:p>
    <w:p>
      <w:pPr>
        <w:sectPr>
          <w:pgSz w:w="11900" w:h="16838" w:orient="portrait"/>
          <w:cols w:equalWidth="0" w:num="1">
            <w:col w:w="11400"/>
          </w:cols>
          <w:pgMar w:left="240" w:top="706" w:right="259" w:bottom="1440" w:gutter="0" w:footer="0" w:header="0"/>
        </w:sectPr>
      </w:pPr>
    </w:p>
    <w:bookmarkStart w:id="22" w:name="page23"/>
    <w:bookmarkEnd w:id="22"/>
    <w:p>
      <w:pPr>
        <w:ind w:left="340" w:right="80"/>
        <w:spacing w:after="0" w:line="253" w:lineRule="auto"/>
        <w:rPr>
          <w:sz w:val="20"/>
          <w:szCs w:val="20"/>
          <w:color w:val="auto"/>
        </w:rPr>
      </w:pPr>
      <w:r>
        <w:rPr>
          <w:rFonts w:ascii="Arial" w:cs="Arial" w:eastAsia="Arial" w:hAnsi="Arial"/>
          <w:sz w:val="18"/>
          <w:szCs w:val="18"/>
          <w:color w:val="auto"/>
        </w:rPr>
        <w:t>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of our proprietary information, or may fail to perform at all. Failure of these third parties to meet their contractual, regulatory, confidentiality, or other obligations to us could have a material adverse effect on our business.</w:t>
      </w:r>
    </w:p>
    <w:p>
      <w:pPr>
        <w:spacing w:after="0" w:line="75" w:lineRule="exact"/>
        <w:rPr>
          <w:sz w:val="20"/>
          <w:szCs w:val="20"/>
          <w:color w:val="auto"/>
        </w:rPr>
      </w:pPr>
    </w:p>
    <w:p>
      <w:pPr>
        <w:ind w:left="340" w:right="680" w:hanging="332"/>
        <w:spacing w:after="0" w:line="28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Our animal health segment faces risks related to increased generic competition, food and animal safety concerns, factors affecting global agricultural markets, and other risks.</w:t>
      </w:r>
    </w:p>
    <w:p>
      <w:pPr>
        <w:spacing w:after="0" w:line="67" w:lineRule="exact"/>
        <w:rPr>
          <w:rFonts w:ascii="Arial" w:cs="Arial" w:eastAsia="Arial" w:hAnsi="Arial"/>
          <w:sz w:val="18"/>
          <w:szCs w:val="18"/>
          <w:color w:val="auto"/>
        </w:rPr>
      </w:pPr>
    </w:p>
    <w:p>
      <w:pPr>
        <w:ind w:left="340" w:right="80"/>
        <w:spacing w:after="0" w:line="252" w:lineRule="auto"/>
        <w:rPr>
          <w:rFonts w:ascii="Arial" w:cs="Arial" w:eastAsia="Arial" w:hAnsi="Arial"/>
          <w:sz w:val="18"/>
          <w:szCs w:val="18"/>
          <w:color w:val="auto"/>
        </w:rPr>
      </w:pPr>
      <w:r>
        <w:rPr>
          <w:rFonts w:ascii="Arial" w:cs="Arial" w:eastAsia="Arial" w:hAnsi="Arial"/>
          <w:sz w:val="18"/>
          <w:szCs w:val="18"/>
          <w:color w:val="auto"/>
        </w:rPr>
        <w:t>The animal health operating segment may be impacted by, among other things, increased generic competition; increased sales of companion animal products by non-veterinarian retail outlets; emerging restrictions and bans on the use of antibacterials in food-producing animals; perceived adverse effects on human health linked to the consumption of food derived from animals that utilize our products; increased regulation or decreased governmental support relating to the raising, processing, or consumption of food-producing animals; an outbreak of infectious disease carried by animals; adverse weather conditions and the availability of natural resources; adverse global economic conditions affecting agricultural markets; and failure of the research and development, acquisition, and licensing efforts to generate new products. The failure to manage these risks could have a material adverse effect on our revenues.</w:t>
      </w:r>
    </w:p>
    <w:p>
      <w:pPr>
        <w:spacing w:after="0" w:line="77" w:lineRule="exact"/>
        <w:rPr>
          <w:rFonts w:ascii="Arial" w:cs="Arial" w:eastAsia="Arial" w:hAnsi="Arial"/>
          <w:sz w:val="18"/>
          <w:szCs w:val="18"/>
          <w:color w:val="auto"/>
        </w:rPr>
      </w:pPr>
    </w:p>
    <w:p>
      <w:pPr>
        <w:ind w:left="340" w:right="320" w:hanging="332"/>
        <w:spacing w:after="0" w:line="28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Integration of the newly-acquired Novartis Animal Health business could be disruptive to operations, and if not done properly, could lead to a failure to achieve the intended benefits of the acquisition.</w:t>
      </w:r>
    </w:p>
    <w:p>
      <w:pPr>
        <w:spacing w:after="0" w:line="67" w:lineRule="exact"/>
        <w:rPr>
          <w:rFonts w:ascii="Arial" w:cs="Arial" w:eastAsia="Arial" w:hAnsi="Arial"/>
          <w:sz w:val="18"/>
          <w:szCs w:val="18"/>
          <w:color w:val="auto"/>
        </w:rPr>
      </w:pPr>
    </w:p>
    <w:p>
      <w:pPr>
        <w:ind w:left="340" w:right="20"/>
        <w:spacing w:after="0" w:line="254" w:lineRule="auto"/>
        <w:rPr>
          <w:rFonts w:ascii="Arial" w:cs="Arial" w:eastAsia="Arial" w:hAnsi="Arial"/>
          <w:sz w:val="18"/>
          <w:szCs w:val="18"/>
          <w:color w:val="auto"/>
        </w:rPr>
      </w:pPr>
      <w:r>
        <w:rPr>
          <w:rFonts w:ascii="Arial" w:cs="Arial" w:eastAsia="Arial" w:hAnsi="Arial"/>
          <w:sz w:val="18"/>
          <w:szCs w:val="18"/>
          <w:color w:val="auto"/>
        </w:rPr>
        <w:t>We are in the process of integrating into our operations the Novartis Animal Health business, which we purchased in January 2015. This global integration is complex and potentially disruptive to the ongoing operations of both the ongoing Elanco business and the acquired Novartis business. Unexpected delays and difficulties in integrating the two businesses could lead to additional expenses, failure to achieve expected operating efficiencies and sales synergies, and disruption to ongoing operating results.</w:t>
      </w:r>
    </w:p>
    <w:p>
      <w:pPr>
        <w:spacing w:after="0" w:line="74"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Worsening economic conditions could adversely affect our business and operating results.</w:t>
      </w:r>
    </w:p>
    <w:p>
      <w:pPr>
        <w:spacing w:after="0" w:line="139" w:lineRule="exact"/>
        <w:rPr>
          <w:rFonts w:ascii="Arial" w:cs="Arial" w:eastAsia="Arial" w:hAnsi="Arial"/>
          <w:sz w:val="18"/>
          <w:szCs w:val="18"/>
          <w:b w:val="1"/>
          <w:bCs w:val="1"/>
          <w:color w:val="auto"/>
        </w:rPr>
      </w:pPr>
    </w:p>
    <w:p>
      <w:pPr>
        <w:ind w:left="34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While human pharmaceuticals have not generally been sensitive to overall economic cycles, prolonged economic slowdowns could lead to decreased utilization of drugs, affecting our sales volume. Declining tax revenues attributable to economic downturns increase the pressure on governments to reduce health care spending, leading to increasing government efforts to control drug prices and utilization. Additionally, some customers, including governments or other entities reliant upon government funding, may be unable to pay in a timely manner for our products. Also, if our customers, suppliers, or collaboration partners experience financial difficulties, we could experience slower customer collections, greater bad debt expense, and performance defaults by suppliers or collaboration partners.</w:t>
      </w:r>
    </w:p>
    <w:p>
      <w:pPr>
        <w:spacing w:after="0" w:line="17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2.  Properties</w:t>
      </w:r>
    </w:p>
    <w:p>
      <w:pPr>
        <w:spacing w:after="0" w:line="20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2014, we owned 12 production and distribution sites in the United States (U.S.) and Puerto Rico. Together with the corporate administrative offices, these facilities contain an aggregate of approximately 10.4 million square feet of floor area dedicated to production, distribution, and administration. Major production sites include Indianapolis and Clinton, Indiana; Carolina, Puerto Rico; and Branchburg, New Jersey.</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own production and distribution sites in 11 countries outside the U.S. and Puerto Rico, containing an aggregate of approximately 4.7 million square feet of floor area. Major production sites include facilities in France, the United Kingdom (U.K.), Spain, Ireland, Italy, and China.</w:t>
      </w:r>
    </w:p>
    <w:p>
      <w:pPr>
        <w:spacing w:after="0" w:line="8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U.S., our research and development facilities contain an aggregate of approximately 3.9 million square feet of floor area, primarily consisting of owned facilities located in Indianapolis. We also lease smaller sites in San Diego and New York City. Outside the U.S., we own smaller research and development facilities in the U.K. and Spain, and lease smaller sites in China.</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spacing w:after="0" w:line="26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3.  Legal Proceedings</w:t>
      </w:r>
    </w:p>
    <w:p>
      <w:pPr>
        <w:spacing w:after="0" w:line="20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and we anticipate that such actions could be brought against us in the future. The most significant of these matters are described below or, as noted, in Item 8, "Financial Statements and Supplementary Data—Note 15, Contingencies." While it is not possible to determine the outcome of the legal actions, investigations, and proceedings brought against us, we believe that, except as otherwise specifically noted in Item 8—Note 15, the resolution of all such matters will not have a material adverse effect on our consolidated financial position or liquidity, but could be material to our consolidated results of operations in any one accounting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Proceedings Described in Note 15 to the Consolidated Financial Statements</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See Item 8, "Financial Statements and Supplementary Data—Note 15, Contingencies," for information on various legal proceedings, including but not limited to:</w:t>
      </w:r>
    </w:p>
    <w:p>
      <w:pPr>
        <w:spacing w:after="0" w:line="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liability litigation involving Actos, Byetta, and Prozac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Product Liability Litigation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 defendant in a variety of other product liability lawsuits in the United States (U.S.).</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assert claims under the consumer protection statutes of four states and seek declaratory, injunctive, and monetary relief for various alleged economic injuries arising from discontinuing treatment with Cymbalta and purported to represent a class of all persons within the U.S. who purchased and/or paid for Cymbalta. In December 2014, the district court denied the plaintiffs' motion for class certification. Plaintiffs have filed a petition with the 9th Circuit Court of Appeals requesting permission to file an interlocutory appeal of the denial of class certification.</w:t>
      </w:r>
    </w:p>
    <w:p>
      <w:pPr>
        <w:spacing w:after="0" w:line="1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we have been named in approximately 45 individual lawsuits filed in various federal courts by claimants alleging injuries arising from discontinuation of treatment with Cymbalta. Counsel for plaintiffs filed a petition seeking to have those cases and an unspecified number of future cases coordinated into a federal multi-district litigation (MDL) in the Central District of California. In December 2014, the Judicial Panel on Multidistrict Litigation denied the plaintiffs' petition for creation of an MDL.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these Cymbalta lawsuits and claims are without merit and are prepared to defend against them vigorously.</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been named as a defendant in approximately 105 U.S. product liability lawsuits involving Axiron. In some of the cases other manufacturers of testosterone are named as co-defendants. These lawsuits have been consolidated in a federal MDL in the U.S. District Court for the Northern District of Illinois. The cases generally allege cardiovascular injuries. We believe these claims are without merit and are prepared to defend against them vigorously.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w:t>
      </w:r>
    </w:p>
    <w:p>
      <w:pPr>
        <w:sectPr>
          <w:pgSz w:w="11900" w:h="16838" w:orient="portrait"/>
          <w:cols w:equalWidth="0" w:num="1">
            <w:col w:w="11400"/>
          </w:cols>
          <w:pgMar w:left="240" w:top="706"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CC0000"/>
        </w:rPr>
        <w:t>Other Patent Litigation</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filed applications with the U.S. Food and Drug Administration (FDA) and regulators in Europe, Japan, and other countries seeking approval to market our new insulin glargine product following the expiration of the compound patent for insulin glargine (generally May 2015). In January 2014, Sanofi-Aventis U.S. LLC (Sanofi) filed a lawsuit against us in the U.S. District Court for the District of Delaware alleging patent infringement with respect to our product. Sanofi asserts infringement of three U.S. patents relating to pen injector devices and two U.S. patents relating to insulin glargine formulations. Under the Hatch-Waxman Act, the initiation of the lawsuit automatically invoked a stay of final FDA approval for a period of 30 months (until June 2016), which may be shortened in the event of an earlier court decision in our favor. In July 2014, Sanofi filed a second lawsuit against us in the same court alleging infringement of patents relating to the use of our insulin glargine formulation in a cartridge. In August 2014, we received tentative FDA approval for our insulin glargine product under the trade name Basaglar</w:t>
      </w:r>
      <w:r>
        <w:rPr>
          <w:rFonts w:ascii="Arial" w:cs="Arial" w:eastAsia="Arial" w:hAnsi="Arial"/>
          <w:sz w:val="21"/>
          <w:szCs w:val="21"/>
          <w:color w:val="auto"/>
          <w:vertAlign w:val="superscript"/>
        </w:rPr>
        <w:t>®</w:t>
      </w:r>
      <w:r>
        <w:rPr>
          <w:rFonts w:ascii="Arial" w:cs="Arial" w:eastAsia="Arial" w:hAnsi="Arial"/>
          <w:sz w:val="18"/>
          <w:szCs w:val="18"/>
          <w:color w:val="auto"/>
        </w:rPr>
        <w:t>, with final approval subject to the stay described above. Trials have been scheduled in the District of Delaware for September 2015 for the first lawsuit and March 2016 for the second lawsuit.</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Legal proceedings are also underway in France, Japan, and Canada related to various patents asserted by Sanofi against our insulin glargine product. Sanofi has also asserted certain device patents against Humalog and Humulin pen devices in France and Japan in these proceedings. Proceedings brought in the U.K., which were related to device patents, were resolved in December 2014 with a declaration of non-infringement in favor of Lilly.</w:t>
      </w:r>
    </w:p>
    <w:p>
      <w:pPr>
        <w:spacing w:after="0" w:line="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do not believe our insulin glargine product infringes any valid claim of the asserted patents, and we believe we will prevail in the various proceedings related to the patents.</w:t>
      </w:r>
    </w:p>
    <w:p>
      <w:pPr>
        <w:spacing w:after="0" w:line="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Canada, several generic companies challenged the validity of our Zyprexa patent. In September 2012, the Canadian Court of Appeals affirmed the lower court's decision that the patent was invalid for lack of utility. In 2013, our petition for leave to appeal the decision to the Supreme Court of Canada was denied. Two of the generic companies, Apotex Inc. and Teva Canada Limited, pursued claims for damages arising from Lilly’s enforcement of the patent under Canadian regulations. In April 2014, the Supreme Court of Canada dismissed Apotex's damages suit. Teva's claim for damages remains, and the total amount of damages that may be awarded to Teva will be determined through a separate trial, which is scheduled for May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 Practices Investigations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August 2003, we received notice that the staff of the Securities and Exchange Commission (SEC) was conducting an investigation into the compliance by Lilly's Polish subsidiary with the U.S. Foreign Corrupt Practices Act of 1977 (FCPA). Subsequently, we were notified that the SEC had expanded its investigation to other countries and that the Department of Justice (DOJ) was conducting a parallel investigation. In December 2012, we announced that we had reached an agreement with the SEC to settle its investigation. The settlement relates to certain activities of Lilly subsidiaries in Brazil, China, Poland, and Russia from 1994 through 2009. Without admitting or denying the allegations, we consented to pay a civil settlement amount of $29.4 million and agreed to have an independent compliance consultant conduct a 60-day review of our internal controls and compliance program related to the FCPA. In January 2015, the DOJ advised us that they have closed their investigation into this matter.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Shareholder Derivative Litigation</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2011, the company received a letter sent on behalf of shareholder Kim Barovic demanding that the board of directors cause the company to take (1) legal action against certain of its current and former officers and board members for allegedly causing damage to the company by failing to exercise proper oversight over the company’s compliance with the FCPA, and (2) all necessary actions to reform and improve certain corporate governance and internal procedures. The board established a committee of disinterested directors to consider the demands and determine what action, if any, the company should take in response. In February 2013, following its investigation, the committee determined, among other things, that it would not be in the best interests of the company to take any of the actions demanded by Ms. Barovic.</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25</w:t>
      </w:r>
    </w:p>
    <w:p>
      <w:pPr>
        <w:sectPr>
          <w:pgSz w:w="11900" w:h="16838" w:orient="portrait"/>
          <w:cols w:equalWidth="0" w:num="1">
            <w:col w:w="11420"/>
          </w:cols>
          <w:pgMar w:left="240" w:top="738" w:right="239" w:bottom="1440" w:gutter="0" w:footer="0" w:header="0"/>
        </w:sectPr>
      </w:pPr>
    </w:p>
    <w:bookmarkStart w:id="25" w:name="page26"/>
    <w:bookmarkEnd w:id="25"/>
    <w:p>
      <w:pPr>
        <w:spacing w:after="0" w:line="258" w:lineRule="auto"/>
        <w:rPr>
          <w:sz w:val="20"/>
          <w:szCs w:val="20"/>
          <w:color w:val="auto"/>
        </w:rPr>
      </w:pPr>
      <w:r>
        <w:rPr>
          <w:rFonts w:ascii="Arial" w:cs="Arial" w:eastAsia="Arial" w:hAnsi="Arial"/>
          <w:sz w:val="18"/>
          <w:szCs w:val="18"/>
          <w:color w:val="auto"/>
        </w:rPr>
        <w:t>In August 2013, Ms. Barovic brought a shareholder derivative suit (</w:t>
      </w:r>
      <w:r>
        <w:rPr>
          <w:rFonts w:ascii="Arial" w:cs="Arial" w:eastAsia="Arial" w:hAnsi="Arial"/>
          <w:sz w:val="18"/>
          <w:szCs w:val="18"/>
          <w:i w:val="1"/>
          <w:iCs w:val="1"/>
          <w:color w:val="auto"/>
        </w:rPr>
        <w:t>Barovic v. Lechleiter, et al.</w:t>
      </w:r>
      <w:r>
        <w:rPr>
          <w:rFonts w:ascii="Arial" w:cs="Arial" w:eastAsia="Arial" w:hAnsi="Arial"/>
          <w:sz w:val="18"/>
          <w:szCs w:val="18"/>
          <w:color w:val="auto"/>
        </w:rPr>
        <w:t>), filed in Marion County (Indiana) Superior Court. The suit sought to maintain the action purportedly on behalf of the company against certain current and former directors and officers of the company, alleging breach of fiduciary duty, waste of corporate assets, and unjust enrichment. The company was named in the suit as a nominal defendant. The suit did not seek damages from the company, but instead requested damages in an unspecified amount and certain equitable relief on the company’s behalf.</w:t>
      </w: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September 2014, following submission by the defendants of a motion to dismiss, Ms. Barovic agreed to voluntarily dismiss the suit without prejudice, subject to approval by the Superior Court. In October 2014, the Superior Court ordered the case dismissed without prejudice.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39"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t>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32"/>
          <w:szCs w:val="32"/>
          <w:b w:val="1"/>
          <w:bCs w:val="1"/>
          <w:color w:val="auto"/>
        </w:rPr>
        <w:t>Part II</w:t>
      </w:r>
    </w:p>
    <w:p>
      <w:pPr>
        <w:spacing w:after="0" w:line="226" w:lineRule="exact"/>
        <w:rPr>
          <w:sz w:val="20"/>
          <w:szCs w:val="20"/>
          <w:color w:val="auto"/>
        </w:rPr>
      </w:pPr>
    </w:p>
    <w:p>
      <w:pPr>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5. Market for the Registrant’s Common Equity, Related Stockholder Matters, and Issuer Purchases of Equity Securities</w:t>
      </w:r>
    </w:p>
    <w:p>
      <w:pPr>
        <w:spacing w:after="0" w:line="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You can find information relating to the principal market for our common stock and related stockholder matters at Item 6, "Selected Financial Data (unaudited)" and Item 8, "Financial Statements and Supplementary Data—Note 19, Selected Quarterly Data (unaudited).” That information is incorporated here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665"/>
              <w:spacing w:after="0"/>
              <w:rPr>
                <w:sz w:val="20"/>
                <w:szCs w:val="20"/>
                <w:color w:val="auto"/>
              </w:rPr>
            </w:pPr>
            <w:r>
              <w:rPr>
                <w:rFonts w:ascii="Arial" w:cs="Arial" w:eastAsia="Arial" w:hAnsi="Arial"/>
                <w:sz w:val="14"/>
                <w:szCs w:val="14"/>
                <w:b w:val="1"/>
                <w:bCs w:val="1"/>
                <w:color w:val="auto"/>
              </w:rPr>
              <w:t>Approximate Dollar Value</w:t>
            </w:r>
          </w:p>
        </w:tc>
        <w:tc>
          <w:tcPr>
            <w:tcW w:w="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0" w:type="dxa"/>
            <w:vAlign w:val="bottom"/>
          </w:tcPr>
          <w:p>
            <w:pPr>
              <w:jc w:val="center"/>
              <w:ind w:left="665"/>
              <w:spacing w:after="0"/>
              <w:rPr>
                <w:sz w:val="20"/>
                <w:szCs w:val="20"/>
                <w:color w:val="auto"/>
              </w:rPr>
            </w:pPr>
            <w:r>
              <w:rPr>
                <w:rFonts w:ascii="Arial" w:cs="Arial" w:eastAsia="Arial" w:hAnsi="Arial"/>
                <w:sz w:val="14"/>
                <w:szCs w:val="14"/>
                <w:b w:val="1"/>
                <w:bCs w:val="1"/>
                <w:color w:val="auto"/>
              </w:rPr>
              <w:t>of Shares that May Yet Be</w:t>
            </w:r>
          </w:p>
        </w:tc>
        <w:tc>
          <w:tcPr>
            <w:tcW w:w="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0" w:type="dxa"/>
            <w:vAlign w:val="bottom"/>
          </w:tcPr>
          <w:p>
            <w:pPr>
              <w:jc w:val="center"/>
              <w:ind w:left="665"/>
              <w:spacing w:after="0"/>
              <w:rPr>
                <w:sz w:val="20"/>
                <w:szCs w:val="20"/>
                <w:color w:val="auto"/>
              </w:rPr>
            </w:pPr>
            <w:r>
              <w:rPr>
                <w:rFonts w:ascii="Arial" w:cs="Arial" w:eastAsia="Arial" w:hAnsi="Arial"/>
                <w:sz w:val="14"/>
                <w:szCs w:val="14"/>
                <w:b w:val="1"/>
                <w:bCs w:val="1"/>
                <w:color w:val="auto"/>
              </w:rPr>
              <w:t>Purchased Under the</w:t>
            </w:r>
          </w:p>
        </w:tc>
        <w:tc>
          <w:tcPr>
            <w:tcW w:w="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14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0" w:type="dxa"/>
            <w:vAlign w:val="bottom"/>
          </w:tcPr>
          <w:p>
            <w:pPr>
              <w:jc w:val="center"/>
              <w:ind w:left="685"/>
              <w:spacing w:after="0"/>
              <w:rPr>
                <w:sz w:val="20"/>
                <w:szCs w:val="20"/>
                <w:color w:val="auto"/>
              </w:rPr>
            </w:pPr>
            <w:r>
              <w:rPr>
                <w:rFonts w:ascii="Arial" w:cs="Arial" w:eastAsia="Arial" w:hAnsi="Arial"/>
                <w:sz w:val="14"/>
                <w:szCs w:val="14"/>
                <w:b w:val="1"/>
                <w:bCs w:val="1"/>
                <w:color w:val="auto"/>
              </w:rPr>
              <w:t>Plans or Programs</w:t>
            </w:r>
          </w:p>
        </w:tc>
        <w:tc>
          <w:tcPr>
            <w:tcW w:w="740" w:type="dxa"/>
            <w:vAlign w:val="bottom"/>
          </w:tcPr>
          <w:p>
            <w:pPr>
              <w:spacing w:after="0"/>
              <w:rPr>
                <w:sz w:val="14"/>
                <w:szCs w:val="14"/>
                <w:color w:val="auto"/>
              </w:rPr>
            </w:pPr>
          </w:p>
        </w:tc>
      </w:tr>
      <w:tr>
        <w:trPr>
          <w:trHeight w:val="196"/>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jc w:val="center"/>
              <w:ind w:left="685"/>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Borders>
              <w:bottom w:val="single" w:sz="8" w:color="auto"/>
            </w:tcBorders>
          </w:tcPr>
          <w:p>
            <w:pPr>
              <w:spacing w:after="0"/>
              <w:rPr>
                <w:sz w:val="17"/>
                <w:szCs w:val="17"/>
                <w:color w:val="auto"/>
              </w:rPr>
            </w:pPr>
          </w:p>
        </w:tc>
      </w:tr>
      <w:tr>
        <w:trPr>
          <w:trHeight w:val="256"/>
        </w:trPr>
        <w:tc>
          <w:tcPr>
            <w:tcW w:w="1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October 2014</w:t>
            </w:r>
          </w:p>
        </w:tc>
        <w:tc>
          <w:tcPr>
            <w:tcW w:w="1780" w:type="dxa"/>
            <w:vAlign w:val="bottom"/>
            <w:shd w:val="clear" w:color="auto" w:fill="D8D8D8"/>
          </w:tcPr>
          <w:p>
            <w:pPr>
              <w:jc w:val="right"/>
              <w:ind w:right="38"/>
              <w:spacing w:after="0"/>
              <w:rPr>
                <w:sz w:val="20"/>
                <w:szCs w:val="20"/>
                <w:color w:val="auto"/>
              </w:rPr>
            </w:pPr>
            <w:r>
              <w:rPr>
                <w:rFonts w:ascii="Arial" w:cs="Arial" w:eastAsia="Arial" w:hAnsi="Arial"/>
                <w:sz w:val="18"/>
                <w:szCs w:val="18"/>
                <w:color w:val="auto"/>
              </w:rPr>
              <w:t>1,571.3</w:t>
            </w:r>
          </w:p>
        </w:tc>
        <w:tc>
          <w:tcPr>
            <w:tcW w:w="5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w:t>
            </w:r>
          </w:p>
        </w:tc>
        <w:tc>
          <w:tcPr>
            <w:tcW w:w="15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63.62</w:t>
            </w:r>
          </w:p>
        </w:tc>
        <w:tc>
          <w:tcPr>
            <w:tcW w:w="2380" w:type="dxa"/>
            <w:vAlign w:val="bottom"/>
            <w:shd w:val="clear" w:color="auto" w:fill="D8D8D8"/>
          </w:tcPr>
          <w:p>
            <w:pPr>
              <w:jc w:val="right"/>
              <w:ind w:right="40"/>
              <w:spacing w:after="0"/>
              <w:rPr>
                <w:sz w:val="20"/>
                <w:szCs w:val="20"/>
                <w:color w:val="auto"/>
              </w:rPr>
            </w:pPr>
            <w:r>
              <w:rPr>
                <w:rFonts w:ascii="Arial" w:cs="Arial" w:eastAsia="Arial" w:hAnsi="Arial"/>
                <w:sz w:val="18"/>
                <w:szCs w:val="18"/>
                <w:color w:val="auto"/>
              </w:rPr>
              <w:t>1,571.3</w:t>
            </w:r>
          </w:p>
        </w:tc>
        <w:tc>
          <w:tcPr>
            <w:tcW w:w="2600" w:type="dxa"/>
            <w:vAlign w:val="bottom"/>
            <w:shd w:val="clear" w:color="auto" w:fill="D8D8D8"/>
          </w:tcPr>
          <w:p>
            <w:pPr>
              <w:jc w:val="right"/>
              <w:ind w:right="1585"/>
              <w:spacing w:after="0"/>
              <w:rPr>
                <w:sz w:val="20"/>
                <w:szCs w:val="20"/>
                <w:color w:val="auto"/>
              </w:rPr>
            </w:pPr>
            <w:r>
              <w:rPr>
                <w:rFonts w:ascii="Arial" w:cs="Arial" w:eastAsia="Arial" w:hAnsi="Arial"/>
                <w:sz w:val="18"/>
                <w:szCs w:val="18"/>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3,900.0</w:t>
            </w:r>
          </w:p>
        </w:tc>
      </w:tr>
      <w:tr>
        <w:trPr>
          <w:trHeight w:val="250"/>
        </w:trPr>
        <w:tc>
          <w:tcPr>
            <w:tcW w:w="1720" w:type="dxa"/>
            <w:vAlign w:val="bottom"/>
          </w:tcPr>
          <w:p>
            <w:pPr>
              <w:ind w:left="40"/>
              <w:spacing w:after="0"/>
              <w:rPr>
                <w:sz w:val="20"/>
                <w:szCs w:val="20"/>
                <w:color w:val="auto"/>
              </w:rPr>
            </w:pPr>
            <w:r>
              <w:rPr>
                <w:rFonts w:ascii="Arial" w:cs="Arial" w:eastAsia="Arial" w:hAnsi="Arial"/>
                <w:sz w:val="18"/>
                <w:szCs w:val="18"/>
                <w:color w:val="auto"/>
              </w:rPr>
              <w:t>November 2014</w:t>
            </w:r>
          </w:p>
        </w:tc>
        <w:tc>
          <w:tcPr>
            <w:tcW w:w="1780" w:type="dxa"/>
            <w:vAlign w:val="bottom"/>
          </w:tcPr>
          <w:p>
            <w:pPr>
              <w:jc w:val="right"/>
              <w:ind w:right="38"/>
              <w:spacing w:after="0"/>
              <w:rPr>
                <w:sz w:val="20"/>
                <w:szCs w:val="20"/>
                <w:color w:val="auto"/>
              </w:rPr>
            </w:pPr>
            <w:r>
              <w:rPr>
                <w:rFonts w:ascii="Arial" w:cs="Arial" w:eastAsia="Arial" w:hAnsi="Arial"/>
                <w:sz w:val="18"/>
                <w:szCs w:val="18"/>
                <w:color w:val="auto"/>
              </w:rPr>
              <w:t>2,972.5</w:t>
            </w:r>
          </w:p>
        </w:tc>
        <w:tc>
          <w:tcPr>
            <w:tcW w:w="5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67.26</w:t>
            </w:r>
          </w:p>
        </w:tc>
        <w:tc>
          <w:tcPr>
            <w:tcW w:w="2380" w:type="dxa"/>
            <w:vAlign w:val="bottom"/>
          </w:tcPr>
          <w:p>
            <w:pPr>
              <w:jc w:val="right"/>
              <w:ind w:right="40"/>
              <w:spacing w:after="0"/>
              <w:rPr>
                <w:sz w:val="20"/>
                <w:szCs w:val="20"/>
                <w:color w:val="auto"/>
              </w:rPr>
            </w:pPr>
            <w:r>
              <w:rPr>
                <w:rFonts w:ascii="Arial" w:cs="Arial" w:eastAsia="Arial" w:hAnsi="Arial"/>
                <w:sz w:val="18"/>
                <w:szCs w:val="18"/>
                <w:color w:val="auto"/>
              </w:rPr>
              <w:t>2,972.5</w:t>
            </w:r>
          </w:p>
        </w:tc>
        <w:tc>
          <w:tcPr>
            <w:tcW w:w="2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3,700.0</w:t>
            </w:r>
          </w:p>
        </w:tc>
      </w:tr>
      <w:tr>
        <w:trPr>
          <w:trHeight w:val="263"/>
        </w:trPr>
        <w:tc>
          <w:tcPr>
            <w:tcW w:w="1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2014</w:t>
            </w:r>
          </w:p>
        </w:tc>
        <w:tc>
          <w:tcPr>
            <w:tcW w:w="178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spacing w:after="0"/>
              <w:rPr>
                <w:sz w:val="22"/>
                <w:szCs w:val="22"/>
                <w:color w:val="auto"/>
              </w:rPr>
            </w:pPr>
          </w:p>
        </w:tc>
        <w:tc>
          <w:tcPr>
            <w:tcW w:w="15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D8D8D8"/>
          </w:tcPr>
          <w:p>
            <w:pPr>
              <w:jc w:val="right"/>
              <w:ind w:right="40"/>
              <w:spacing w:after="0"/>
              <w:rPr>
                <w:sz w:val="20"/>
                <w:szCs w:val="20"/>
                <w:color w:val="auto"/>
              </w:rPr>
            </w:pPr>
            <w:r>
              <w:rPr>
                <w:rFonts w:ascii="Arial" w:cs="Arial" w:eastAsia="Arial" w:hAnsi="Arial"/>
                <w:sz w:val="18"/>
                <w:szCs w:val="18"/>
                <w:color w:val="auto"/>
              </w:rPr>
              <w:t>—</w:t>
            </w:r>
          </w:p>
        </w:tc>
        <w:tc>
          <w:tcPr>
            <w:tcW w:w="2600" w:type="dxa"/>
            <w:vAlign w:val="bottom"/>
            <w:shd w:val="clear" w:color="auto" w:fill="D8D8D8"/>
          </w:tcPr>
          <w:p>
            <w:pPr>
              <w:spacing w:after="0"/>
              <w:rPr>
                <w:sz w:val="22"/>
                <w:szCs w:val="22"/>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3,700.0</w:t>
            </w:r>
          </w:p>
        </w:tc>
      </w:tr>
      <w:tr>
        <w:trPr>
          <w:trHeight w:val="257"/>
        </w:trPr>
        <w:tc>
          <w:tcPr>
            <w:tcW w:w="1720" w:type="dxa"/>
            <w:vAlign w:val="bottom"/>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4,543.8</w:t>
            </w:r>
          </w:p>
        </w:tc>
        <w:tc>
          <w:tcPr>
            <w:tcW w:w="580" w:type="dxa"/>
            <w:vAlign w:val="bottom"/>
          </w:tcPr>
          <w:p>
            <w:pPr>
              <w:spacing w:after="0"/>
              <w:rPr>
                <w:sz w:val="22"/>
                <w:szCs w:val="22"/>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66.00</w:t>
            </w:r>
          </w:p>
        </w:tc>
        <w:tc>
          <w:tcPr>
            <w:tcW w:w="23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4,543.8</w:t>
            </w:r>
          </w:p>
        </w:tc>
        <w:tc>
          <w:tcPr>
            <w:tcW w:w="260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107"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During the fourth quarter of 2014, we repurchased $300.0 million of shares associated with our $5.00 billion share repurchase program announced in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27</w:t>
      </w:r>
    </w:p>
    <w:p>
      <w:pPr>
        <w:sectPr>
          <w:pgSz w:w="11900" w:h="16838" w:orient="portrait"/>
          <w:cols w:equalWidth="0" w:num="1">
            <w:col w:w="11420"/>
          </w:cols>
          <w:pgMar w:left="240" w:top="56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CC0000"/>
        </w:rPr>
        <w:t>PERFORMANCE GRAPH</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graph compares the return on Lilly stock with that of the Standard &amp; Poor’s 500 Stock Index and our peer group for the years 2010 through 2014. The graph assumes that, on December 31, 2009, a person invested $ 100 each in Lilly stock, the S&amp;P 500 Stock Index, and the peer groups' common stock. The graph measures total shareholder return, which takes into account both stock price and dividends. It assumes that dividends paid by a company are reinvested in that company’s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Value of $100 Invested on Last Business Day of 2009</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Comparison of Five-Year Cumulative Total Return Among Lilly, S&amp;P 500 Stock Index, and Peer Group</w:t>
      </w:r>
      <w:r>
        <w:rPr>
          <w:rFonts w:ascii="Arial" w:cs="Arial" w:eastAsia="Arial" w:hAnsi="Arial"/>
          <w:sz w:val="21"/>
          <w:szCs w:val="21"/>
          <w:b w:val="1"/>
          <w:bCs w:val="1"/>
          <w:color w:val="CC000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123825</wp:posOffset>
            </wp:positionV>
            <wp:extent cx="5316855" cy="3378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180" w:type="dxa"/>
        <w:tblCellMar>
          <w:top w:w="0" w:type="dxa"/>
          <w:left w:w="0" w:type="dxa"/>
          <w:bottom w:w="0" w:type="dxa"/>
          <w:right w:w="0" w:type="dxa"/>
        </w:tblCellMar>
      </w:tblPr>
      <w:tr>
        <w:trPr>
          <w:trHeight w:val="196"/>
        </w:trPr>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70"/>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Dec-09</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800" w:type="dxa"/>
            <w:vAlign w:val="bottom"/>
          </w:tcPr>
          <w:p>
            <w:pPr>
              <w:ind w:left="20"/>
              <w:spacing w:after="0"/>
              <w:rPr>
                <w:sz w:val="20"/>
                <w:szCs w:val="20"/>
                <w:color w:val="auto"/>
              </w:rPr>
            </w:pPr>
            <w:r>
              <w:rPr>
                <w:rFonts w:ascii="Arial" w:cs="Arial" w:eastAsia="Arial" w:hAnsi="Arial"/>
                <w:sz w:val="18"/>
                <w:szCs w:val="18"/>
                <w:color w:val="auto"/>
              </w:rPr>
              <w:t>Dec-10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103.71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99.27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115.06</w:t>
            </w:r>
          </w:p>
        </w:tc>
      </w:tr>
      <w:tr>
        <w:trPr>
          <w:trHeight w:val="277"/>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Dec-11</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129.79</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114.89</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117.49</w:t>
            </w:r>
          </w:p>
        </w:tc>
      </w:tr>
      <w:tr>
        <w:trPr>
          <w:trHeight w:val="263"/>
        </w:trPr>
        <w:tc>
          <w:tcPr>
            <w:tcW w:w="800" w:type="dxa"/>
            <w:vAlign w:val="bottom"/>
          </w:tcPr>
          <w:p>
            <w:pPr>
              <w:ind w:left="20"/>
              <w:spacing w:after="0"/>
              <w:rPr>
                <w:sz w:val="20"/>
                <w:szCs w:val="20"/>
                <w:color w:val="auto"/>
              </w:rPr>
            </w:pPr>
            <w:r>
              <w:rPr>
                <w:rFonts w:ascii="Arial" w:cs="Arial" w:eastAsia="Arial" w:hAnsi="Arial"/>
                <w:sz w:val="18"/>
                <w:szCs w:val="18"/>
                <w:color w:val="auto"/>
              </w:rPr>
              <w:t>Dec-12</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161.29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135.23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136.30</w:t>
            </w:r>
          </w:p>
        </w:tc>
      </w:tr>
      <w:tr>
        <w:trPr>
          <w:trHeight w:val="277"/>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Dec-13</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172.96</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184.35</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180.44</w:t>
            </w:r>
          </w:p>
        </w:tc>
      </w:tr>
      <w:tr>
        <w:trPr>
          <w:trHeight w:val="257"/>
        </w:trPr>
        <w:tc>
          <w:tcPr>
            <w:tcW w:w="800" w:type="dxa"/>
            <w:vAlign w:val="bottom"/>
          </w:tcPr>
          <w:p>
            <w:pPr>
              <w:ind w:left="20"/>
              <w:spacing w:after="0"/>
              <w:rPr>
                <w:sz w:val="20"/>
                <w:szCs w:val="20"/>
                <w:color w:val="auto"/>
              </w:rPr>
            </w:pPr>
            <w:r>
              <w:rPr>
                <w:rFonts w:ascii="Arial" w:cs="Arial" w:eastAsia="Arial" w:hAnsi="Arial"/>
                <w:sz w:val="18"/>
                <w:szCs w:val="18"/>
                <w:color w:val="auto"/>
              </w:rPr>
              <w:t>Dec-14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241.72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214.86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205.14</w:t>
            </w:r>
          </w:p>
        </w:tc>
      </w:tr>
    </w:tbl>
    <w:p>
      <w:pPr>
        <w:spacing w:after="0" w:line="261" w:lineRule="exact"/>
        <w:rPr>
          <w:sz w:val="20"/>
          <w:szCs w:val="20"/>
          <w:color w:val="auto"/>
        </w:rPr>
      </w:pPr>
    </w:p>
    <w:p>
      <w:pPr>
        <w:ind w:left="340" w:right="20" w:hanging="332"/>
        <w:spacing w:after="0" w:line="275"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We constructed the peer group as the industry index for this graph. It comprises the public companies in the pharmaceutical and biotech industries that we used to benchmark the compensation of executive officers for 2014: Abbott Laboratories; AbbVie Inc.; Allergan Inc.; Amgen Inc.; AstraZeneca PLC; Baxter International Inc.; Biogen Idec Inc.; Bristol-Myers Squibb Company; Celgene Corporation; Gilead Sciences Inc.; GlaxoSmithKline plc; Johnson &amp; Johnson; Medtronic, Inc.; Merck &amp; Co., Inc.; Novartis AG.; Pfizer Inc.; and Sanofi-Aventis.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i w:val="1"/>
          <w:iCs w:val="1"/>
          <w:color w:val="CC0000"/>
        </w:rPr>
        <w:t>Item 6. Selected Financial Data (unaudited)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 except revenue per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employee and per-share data)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Operations</w:t>
            </w:r>
          </w:p>
        </w:tc>
        <w:tc>
          <w:tcPr>
            <w:tcW w:w="3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19,615.6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23,113.1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22,603.4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24,286.5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23,076.0</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4,932.5</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4,908.1</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4,796.5</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5,067.9</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4,366.2</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4,733.6</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5,531.3</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5,278.1</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5,020.8</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4,884.2</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6,620.8</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7,125.6</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7,513.5</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7,879.9</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7,053.4</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328.4</w:t>
            </w:r>
          </w:p>
        </w:tc>
        <w:tc>
          <w:tcPr>
            <w:tcW w:w="3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(341.2)</w:t>
            </w:r>
          </w:p>
        </w:tc>
        <w:tc>
          <w:tcPr>
            <w:tcW w:w="380" w:type="dxa"/>
            <w:vAlign w:val="bottom"/>
          </w:tcPr>
          <w:p>
            <w:pPr>
              <w:spacing w:after="0"/>
              <w:rPr>
                <w:sz w:val="22"/>
                <w:szCs w:val="22"/>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(392.9)</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968.4</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3,000.3</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5,889.3</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5,408.2</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5,349.5</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6,525.2</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609.8</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1,204.5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1,319.6</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1,001.8</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2,390.5</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4,684.8</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4,088.6</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4,347.7</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5,069.5</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Net income as a percent of revenue</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per share—diluted</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2.23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4.32</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3.66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3.90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1.97</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5"/>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shd w:val="clear" w:color="auto" w:fill="D8D8D8"/>
          </w:tcPr>
          <w:p>
            <w:pPr>
              <w:spacing w:after="0"/>
              <w:rPr>
                <w:sz w:val="20"/>
                <w:szCs w:val="20"/>
                <w:color w:val="auto"/>
              </w:rPr>
            </w:pPr>
          </w:p>
        </w:tc>
        <w:tc>
          <w:tcPr>
            <w:tcW w:w="1260" w:type="dxa"/>
            <w:vAlign w:val="bottom"/>
            <w:vMerge w:val="restart"/>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1,074,286</w:t>
            </w:r>
          </w:p>
        </w:tc>
        <w:tc>
          <w:tcPr>
            <w:tcW w:w="380" w:type="dxa"/>
            <w:vAlign w:val="bottom"/>
            <w:shd w:val="clear" w:color="auto" w:fill="D8D8D8"/>
          </w:tcPr>
          <w:p>
            <w:pPr>
              <w:spacing w:after="0"/>
              <w:rPr>
                <w:sz w:val="20"/>
                <w:szCs w:val="20"/>
                <w:color w:val="auto"/>
              </w:rPr>
            </w:pPr>
          </w:p>
        </w:tc>
        <w:tc>
          <w:tcPr>
            <w:tcW w:w="126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D8D8D8"/>
          </w:tcPr>
          <w:p>
            <w:pPr>
              <w:ind w:left="200"/>
              <w:spacing w:after="0"/>
              <w:rPr>
                <w:sz w:val="20"/>
                <w:szCs w:val="20"/>
                <w:color w:val="auto"/>
              </w:rPr>
            </w:pPr>
            <w:r>
              <w:rPr>
                <w:rFonts w:ascii="Arial" w:cs="Arial" w:eastAsia="Arial" w:hAnsi="Arial"/>
                <w:sz w:val="18"/>
                <w:szCs w:val="18"/>
                <w:color w:val="auto"/>
              </w:rPr>
              <w:t>outstanding—diluted (thousands)</w:t>
            </w:r>
          </w:p>
        </w:tc>
        <w:tc>
          <w:tcPr>
            <w:tcW w:w="32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1,084,766</w:t>
            </w:r>
          </w:p>
        </w:tc>
        <w:tc>
          <w:tcPr>
            <w:tcW w:w="38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1,117,294</w:t>
            </w:r>
          </w:p>
        </w:tc>
        <w:tc>
          <w:tcPr>
            <w:tcW w:w="40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1,113,967</w:t>
            </w:r>
          </w:p>
        </w:tc>
        <w:tc>
          <w:tcPr>
            <w:tcW w:w="380" w:type="dxa"/>
            <w:vAlign w:val="bottom"/>
            <w:tcBorders>
              <w:bottom w:val="single" w:sz="8" w:color="auto"/>
            </w:tcBorders>
            <w:shd w:val="clear" w:color="auto" w:fill="D8D8D8"/>
          </w:tcPr>
          <w:p>
            <w:pPr>
              <w:spacing w:after="0"/>
              <w:rPr>
                <w:sz w:val="19"/>
                <w:szCs w:val="19"/>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1,105,813</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12,179.8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13,104.7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13,038.7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14,248.2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14,840.0</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11,207.5</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8,916.6</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8,389.5</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8,930.9</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6,926.9</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7,963.9</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7,975.5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7,760.2</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7,760.3</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37,178.2</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35,248.7</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34,398.9</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33,659.8</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31,001.4</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5,367.7</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4,200.3</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5,519.4</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5,464.7</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6,770.5</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15,388.1</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17,640.7</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14,773.9</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13,535.6</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12,412.8</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Supplementary Data</w:t>
            </w:r>
          </w:p>
        </w:tc>
        <w:tc>
          <w:tcPr>
            <w:tcW w:w="3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Return on total equity</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Return on assets</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6.8%</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13.4%</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1,162.6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1,012.1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905.4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672.0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1,379.0</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1,445.6</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1,462.2</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1,373.6</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 per employee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501,000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609,000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590,000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638,000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602,000</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2"/>
                <w:szCs w:val="22"/>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39,135</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37,925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38,350</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38,080</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Number of shareholders of record</w:t>
            </w:r>
          </w:p>
        </w:tc>
        <w:tc>
          <w:tcPr>
            <w:tcW w:w="3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29,300</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31,900</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33,600</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35,200</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36,700</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29" w:name="page30"/>
    <w:bookmarkEnd w:id="29"/>
    <w:p>
      <w:pPr>
        <w:ind w:left="2600" w:right="20" w:hanging="2592"/>
        <w:spacing w:after="0" w:line="286" w:lineRule="auto"/>
        <w:rPr>
          <w:sz w:val="20"/>
          <w:szCs w:val="20"/>
          <w:color w:val="auto"/>
        </w:rPr>
      </w:pPr>
      <w:r>
        <w:rPr>
          <w:rFonts w:ascii="Arial" w:cs="Arial" w:eastAsia="Arial" w:hAnsi="Arial"/>
          <w:sz w:val="32"/>
          <w:szCs w:val="32"/>
          <w:b w:val="1"/>
          <w:bCs w:val="1"/>
          <w:i w:val="1"/>
          <w:iCs w:val="1"/>
          <w:color w:val="CC0000"/>
        </w:rPr>
        <w:t>Item 7. Management’s Discussion and Analysis of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Worldwide total revenue decreased 15 percent to $ 19.62 billion in 2014, primarily as a result of the loss of United States (U.S.) patent exclusivity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December 2013 and to a lesser extent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partially offset by volume growth in several other products. In 2014, net income decreased 49 percent to $2.39 billion and EPS decreased 48 percent to $ 2.23, compared to 2013 net income and EPS of $ 4.68 billion and $4.32, respectively. The decreases were due to lower gross margin, higher asset impairment, restructuring, and other special charges and decreased other income, partially offset by lower marketing, selling, and administrative expenses, research and development expenses, and income tax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affect comparisons of our 2014 and 2013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Acquired In-Process Research &amp; Development (IPR&amp;D) (Notes 3 and 4 to the consolidated financial statements)</w:t>
      </w:r>
    </w:p>
    <w:p>
      <w:pPr>
        <w:spacing w:after="0" w:line="117" w:lineRule="exact"/>
        <w:rPr>
          <w:sz w:val="20"/>
          <w:szCs w:val="20"/>
          <w:color w:val="auto"/>
        </w:rPr>
      </w:pPr>
    </w:p>
    <w:p>
      <w:pPr>
        <w:ind w:left="660" w:right="1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recognized acquired IPR&amp;D charges of $200.2 million (pretax), or $0.12 per share, related to acquired IPR&amp;D from collaboration agreements with Adocia, AstraZeneca UK Limited, Boehringer Ingelheim, and Immunocore Limited.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(Note 4 to the consolidated financial statements)</w:t>
      </w:r>
    </w:p>
    <w:p>
      <w:pPr>
        <w:spacing w:after="0" w:line="117" w:lineRule="exact"/>
        <w:rPr>
          <w:sz w:val="20"/>
          <w:szCs w:val="20"/>
          <w:color w:val="auto"/>
        </w:rPr>
      </w:pPr>
    </w:p>
    <w:p>
      <w:pPr>
        <w:ind w:left="660" w:right="78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income of $92.0 million (pretax), or $0.06 per share, related to the transfer of our linagliptin and empagliflozin commercial rights in certain countries to Boehringer Ingelheim.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6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recognized charges of $468.7 million (pretax), or $0.38 per share, related to severance costs associated with our ongoing cost containment efforts to reduce our cost structure and global workforce and asset impairments primarily associated with the closure of a manufacturing site in Puerto Rico.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jc w:val="both"/>
        <w:ind w:left="660" w:right="2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a marketing, selling, and administrative expense of $119.0 million (non-tax deductible), or $0.11 per share, for an extra year of the U.S. Branded Prescription Drug Fee (U.S. Drug Fee) due to final regulations issued by the Internal Revenue Service (IRS) which required us to accelerate into 2014 the recording of an expense for the 2015 fee.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w:t>
      </w:r>
    </w:p>
    <w:p>
      <w:pPr>
        <w:sectPr>
          <w:pgSz w:w="11900" w:h="16838" w:orient="portrait"/>
          <w:cols w:equalWidth="0" w:num="1">
            <w:col w:w="11340"/>
          </w:cols>
          <w:pgMar w:left="240" w:top="562"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acquired IPR&amp;D charges of $57.1 million (pretax), or $0.03 per share, resulting from our acquisition of rights for a calcitonin gene-related peptide (CGRP) antibody currently being studied as a potential treatment for the prevention of frequent, recurrent migraine headaches, following a successful Phase II proof-of-concept study.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(Note 4 to the consolidated financial statements)</w:t>
      </w:r>
    </w:p>
    <w:p>
      <w:pPr>
        <w:spacing w:after="0" w:line="117" w:lineRule="exact"/>
        <w:rPr>
          <w:sz w:val="20"/>
          <w:szCs w:val="20"/>
          <w:color w:val="auto"/>
        </w:rPr>
      </w:pPr>
    </w:p>
    <w:p>
      <w:pPr>
        <w:ind w:left="660" w:right="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income of $495.4 million (pretax), or $0.29 per share, related to the transfer to Amylin Pharmaceuticals, Inc. (Amylin) of exenatide commercial rights in all markets outside the United States.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jc w:val="both"/>
        <w:ind w:left="660" w:right="18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recognized charges of $120.6 million (pretax), or $0.08 per share, primarily related to severance costs for actions taken to reduce our cost structure and global workforce, as well as asset impairment costs associated with the closure of a packaging and distribution facility in Germany.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55 potential new drugs in human testing or under regulatory review, and a larger number of projects in preclinical research.</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new molecular entities (NMEs) have been approved by regulatory authorities in the U.S., Europe, or Japan for use in the disease described. The quarter the NME initially was approved in the U.S., Europe, or Japan for any indication is shown in parentheses: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Dulaglutide* (Trulicity</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2014)</w:t>
      </w:r>
      <w:r>
        <w:rPr>
          <w:rFonts w:ascii="Arial" w:cs="Arial" w:eastAsia="Arial" w:hAnsi="Arial"/>
          <w:sz w:val="18"/>
          <w:szCs w:val="18"/>
          <w:color w:val="auto"/>
        </w:rPr>
        <w:t>—a long-acting analog of glucagon-like peptide 1 for the treatment of type 2 diabetes.</w:t>
      </w:r>
    </w:p>
    <w:p>
      <w:pPr>
        <w:spacing w:after="0" w:line="83" w:lineRule="exact"/>
        <w:rPr>
          <w:sz w:val="20"/>
          <w:szCs w:val="20"/>
          <w:color w:val="auto"/>
        </w:rPr>
      </w:pPr>
    </w:p>
    <w:p>
      <w:pPr>
        <w:ind w:left="660" w:right="960"/>
        <w:spacing w:after="0" w:line="247" w:lineRule="auto"/>
        <w:rPr>
          <w:sz w:val="20"/>
          <w:szCs w:val="20"/>
          <w:color w:val="auto"/>
        </w:rPr>
      </w:pPr>
      <w:r>
        <w:rPr>
          <w:rFonts w:ascii="Arial" w:cs="Arial" w:eastAsia="Arial" w:hAnsi="Arial"/>
          <w:sz w:val="18"/>
          <w:szCs w:val="18"/>
          <w:b w:val="1"/>
          <w:bCs w:val="1"/>
          <w:color w:val="auto"/>
        </w:rPr>
        <w:t>Empagliflozin (Jardiance</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(Q2 2014)</w:t>
      </w:r>
      <w:r>
        <w:rPr>
          <w:rFonts w:ascii="Arial" w:cs="Arial" w:eastAsia="Arial" w:hAnsi="Arial"/>
          <w:sz w:val="18"/>
          <w:szCs w:val="18"/>
          <w:color w:val="auto"/>
        </w:rPr>
        <w:t>—a sodium glucose co-transporter-2 inhibitor for the treatment of type 2 diabetes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Boehringer Ingelheim).</w:t>
      </w:r>
    </w:p>
    <w:p>
      <w:pPr>
        <w:spacing w:after="0" w:line="79" w:lineRule="exact"/>
        <w:rPr>
          <w:sz w:val="20"/>
          <w:szCs w:val="20"/>
          <w:color w:val="auto"/>
        </w:rPr>
      </w:pPr>
    </w:p>
    <w:p>
      <w:pPr>
        <w:ind w:left="660" w:right="880"/>
        <w:spacing w:after="0" w:line="287" w:lineRule="auto"/>
        <w:rPr>
          <w:sz w:val="20"/>
          <w:szCs w:val="20"/>
          <w:color w:val="auto"/>
        </w:rPr>
      </w:pPr>
      <w:r>
        <w:rPr>
          <w:rFonts w:ascii="Arial" w:cs="Arial" w:eastAsia="Arial" w:hAnsi="Arial"/>
          <w:sz w:val="18"/>
          <w:szCs w:val="18"/>
          <w:b w:val="1"/>
          <w:bCs w:val="1"/>
          <w:color w:val="auto"/>
        </w:rPr>
        <w:t>New insulin glargine product (Q3 2014)</w:t>
      </w:r>
      <w:r>
        <w:rPr>
          <w:rFonts w:ascii="Arial" w:cs="Arial" w:eastAsia="Arial" w:hAnsi="Arial"/>
          <w:sz w:val="18"/>
          <w:szCs w:val="18"/>
          <w:color w:val="auto"/>
        </w:rPr>
        <w:t>—a new insulin glargine product for the treatment of type 1 and type 2 diabetes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Boehringer Ingelheim).</w:t>
      </w:r>
    </w:p>
    <w:p>
      <w:pPr>
        <w:spacing w:after="0" w:line="45"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b w:val="1"/>
          <w:bCs w:val="1"/>
          <w:color w:val="auto"/>
        </w:rPr>
        <w:t>Ramucirumab* (Cyramza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(Q2 2014)</w:t>
      </w:r>
      <w:r>
        <w:rPr>
          <w:rFonts w:ascii="Arial" w:cs="Arial" w:eastAsia="Arial" w:hAnsi="Arial"/>
          <w:sz w:val="18"/>
          <w:szCs w:val="18"/>
          <w:color w:val="auto"/>
        </w:rPr>
        <w:t>—an anti-vascular endothelial growth factor receptor-2 monoclonal antibody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gastric cancer and non-small cell lung cancer (NSCLC).</w:t>
      </w:r>
    </w:p>
    <w:p>
      <w:pPr>
        <w:spacing w:after="0" w:line="10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following NME has been submitted for regulatory review for potential use in the disease described. The quarter the NME initially was submitted for any indication is shown in parentheses: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Necitumumab* (Q4 2014)</w:t>
      </w:r>
      <w:r>
        <w:rPr>
          <w:rFonts w:ascii="Arial" w:cs="Arial" w:eastAsia="Arial" w:hAnsi="Arial"/>
          <w:sz w:val="18"/>
          <w:szCs w:val="18"/>
          <w:color w:val="auto"/>
        </w:rPr>
        <w:t>—an anti-epidermal growth factor receptor monoclonal antibody for the treatment of squamous NSCLC.</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NMEs are currently in Phase III clinical trial testing for potential use in the diseases described. The quarter in which each NME initially entered Phase III for any indication is shown in parentheses:</w:t>
      </w:r>
    </w:p>
    <w:p>
      <w:pPr>
        <w:spacing w:after="0" w:line="66" w:lineRule="exact"/>
        <w:rPr>
          <w:sz w:val="20"/>
          <w:szCs w:val="20"/>
          <w:color w:val="auto"/>
        </w:rPr>
      </w:pPr>
    </w:p>
    <w:p>
      <w:pPr>
        <w:ind w:left="660" w:right="50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45" w:lineRule="exact"/>
        <w:rPr>
          <w:sz w:val="20"/>
          <w:szCs w:val="20"/>
          <w:color w:val="auto"/>
        </w:rPr>
      </w:pPr>
    </w:p>
    <w:p>
      <w:pPr>
        <w:ind w:left="660" w:right="900"/>
        <w:spacing w:after="0" w:line="287" w:lineRule="auto"/>
        <w:rPr>
          <w:sz w:val="20"/>
          <w:szCs w:val="20"/>
          <w:color w:val="auto"/>
        </w:rPr>
      </w:pPr>
      <w:r>
        <w:rPr>
          <w:rFonts w:ascii="Arial" w:cs="Arial" w:eastAsia="Arial" w:hAnsi="Arial"/>
          <w:sz w:val="18"/>
          <w:szCs w:val="18"/>
          <w:b w:val="1"/>
          <w:bCs w:val="1"/>
          <w:color w:val="auto"/>
        </w:rPr>
        <w:t>Baricitinib (Q4 2012)</w:t>
      </w:r>
      <w:r>
        <w:rPr>
          <w:rFonts w:ascii="Arial" w:cs="Arial" w:eastAsia="Arial" w:hAnsi="Arial"/>
          <w:sz w:val="18"/>
          <w:szCs w:val="18"/>
          <w:color w:val="auto"/>
        </w:rPr>
        <w:t>—a Janus tyrosine kinase inhibitor for the treatment of rheumatoid arthritis (in collaboration with Incyte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Basal insulin peglispro* (Q4 2011)</w:t>
      </w:r>
      <w:r>
        <w:rPr>
          <w:rFonts w:ascii="Arial" w:cs="Arial" w:eastAsia="Arial" w:hAnsi="Arial"/>
          <w:sz w:val="18"/>
          <w:szCs w:val="18"/>
          <w:color w:val="auto"/>
        </w:rPr>
        <w:t>—a novel basal insulin for the treatment of type 1 and type 2 diabetes.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Evacetrapib (Q4 2012)</w:t>
      </w:r>
      <w:r>
        <w:rPr>
          <w:rFonts w:ascii="Arial" w:cs="Arial" w:eastAsia="Arial" w:hAnsi="Arial"/>
          <w:sz w:val="18"/>
          <w:szCs w:val="18"/>
          <w:color w:val="auto"/>
        </w:rPr>
        <w:t>—a cholesteryl ester transfer protein inhibitor for the treatment of high-risk vascular disease.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Ixekizumab* (Q4 2011)</w:t>
      </w:r>
      <w:r>
        <w:rPr>
          <w:rFonts w:ascii="Arial" w:cs="Arial" w:eastAsia="Arial" w:hAnsi="Arial"/>
          <w:sz w:val="18"/>
          <w:szCs w:val="18"/>
          <w:color w:val="auto"/>
        </w:rPr>
        <w:t>—a neutralizing monoclonal antibody to interleukin-17A for the treatment of psoriasis and psoriatic arthritis.</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31</w:t>
      </w:r>
    </w:p>
    <w:p>
      <w:pPr>
        <w:sectPr>
          <w:pgSz w:w="11900" w:h="16838" w:orient="portrait"/>
          <w:cols w:equalWidth="0" w:num="1">
            <w:col w:w="11420"/>
          </w:cols>
          <w:pgMar w:left="240" w:top="738"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mild Alzheimer’s disease.</w:t>
      </w:r>
    </w:p>
    <w:p>
      <w:pPr>
        <w:spacing w:after="0" w:line="117" w:lineRule="exact"/>
        <w:rPr>
          <w:sz w:val="20"/>
          <w:szCs w:val="20"/>
          <w:color w:val="auto"/>
        </w:rPr>
      </w:pPr>
    </w:p>
    <w:p>
      <w:pPr>
        <w:jc w:val="both"/>
        <w:ind w:left="660" w:right="380"/>
        <w:spacing w:after="0" w:line="269"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 (Pfizer)). Tanezumab is currently subject to a partial clinical hold by the U.S. Food and Drug Administration (FDA) (see Note 4 to the consolidated financial statements).</w:t>
      </w:r>
    </w:p>
    <w:p>
      <w:pPr>
        <w:spacing w:after="0" w:line="8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status of each NME within our late-stage pipeline including developments since January 1, 2014: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3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3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8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Cardiovascular</w:t>
            </w:r>
          </w:p>
        </w:tc>
        <w:tc>
          <w:tcPr>
            <w:tcW w:w="1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Evacetrapib</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High-risk vascular</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3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3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September 2014 top-line results</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Type 1 diabetes</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of two clinical trials which met primary</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Basal insulin</w:t>
            </w: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223"/>
        </w:trPr>
        <w:tc>
          <w:tcPr>
            <w:tcW w:w="1640" w:type="dxa"/>
            <w:vAlign w:val="bottom"/>
            <w:tcBorders>
              <w:left w:val="single" w:sz="8" w:color="auto"/>
              <w:right w:val="single" w:sz="8" w:color="auto"/>
            </w:tcBorders>
          </w:tcPr>
          <w:p>
            <w:pPr>
              <w:ind w:left="40"/>
              <w:spacing w:after="0" w:line="197" w:lineRule="exact"/>
              <w:rPr>
                <w:sz w:val="20"/>
                <w:szCs w:val="20"/>
                <w:color w:val="auto"/>
              </w:rPr>
            </w:pPr>
            <w:r>
              <w:rPr>
                <w:rFonts w:ascii="Arial" w:cs="Arial" w:eastAsia="Arial" w:hAnsi="Arial"/>
                <w:sz w:val="18"/>
                <w:szCs w:val="18"/>
                <w:color w:val="auto"/>
              </w:rPr>
              <w:t>peglispro</w:t>
            </w: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May 2014 top-line results of</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Type 2 diabetes</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three clinical trials which met primary</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Europe and Japan in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August, May, and December 2014, respectively.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Launched in the U.S. and certain European</w:t>
            </w: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Jardiance</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countries in third quarter of 2014.</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continue"/>
          </w:tcPr>
          <w:p>
            <w:pPr>
              <w:spacing w:after="0"/>
              <w:rPr>
                <w:sz w:val="17"/>
                <w:szCs w:val="17"/>
                <w:color w:val="auto"/>
              </w:rPr>
            </w:pPr>
          </w:p>
        </w:tc>
        <w:tc>
          <w:tcPr>
            <w:tcW w:w="1840" w:type="dxa"/>
            <w:vAlign w:val="bottom"/>
            <w:tcBorders>
              <w:right w:val="single" w:sz="8" w:color="auto"/>
            </w:tcBorders>
            <w:vMerge w:val="continue"/>
          </w:tcPr>
          <w:p>
            <w:pPr>
              <w:spacing w:after="0"/>
              <w:rPr>
                <w:sz w:val="17"/>
                <w:szCs w:val="17"/>
                <w:color w:val="auto"/>
              </w:rPr>
            </w:pPr>
          </w:p>
        </w:tc>
        <w:tc>
          <w:tcPr>
            <w:tcW w:w="1360" w:type="dxa"/>
            <w:vAlign w:val="bottom"/>
            <w:tcBorders>
              <w:right w:val="single" w:sz="8" w:color="auto"/>
            </w:tcBorders>
            <w:vMerge w:val="continue"/>
          </w:tcPr>
          <w:p>
            <w:pPr>
              <w:spacing w:after="0"/>
              <w:rPr>
                <w:sz w:val="17"/>
                <w:szCs w:val="17"/>
                <w:color w:val="auto"/>
              </w:rPr>
            </w:pPr>
          </w:p>
        </w:tc>
        <w:tc>
          <w:tcPr>
            <w:tcW w:w="1360" w:type="dxa"/>
            <w:vAlign w:val="bottom"/>
            <w:tcBorders>
              <w:right w:val="single" w:sz="8" w:color="auto"/>
            </w:tcBorders>
            <w:vMerge w:val="continue"/>
          </w:tcPr>
          <w:p>
            <w:pPr>
              <w:spacing w:after="0"/>
              <w:rPr>
                <w:sz w:val="17"/>
                <w:szCs w:val="17"/>
                <w:color w:val="auto"/>
              </w:rPr>
            </w:pPr>
          </w:p>
        </w:tc>
        <w:tc>
          <w:tcPr>
            <w:tcW w:w="1380" w:type="dxa"/>
            <w:vAlign w:val="bottom"/>
            <w:tcBorders>
              <w:right w:val="single" w:sz="8" w:color="auto"/>
            </w:tcBorders>
            <w:vMerge w:val="continue"/>
          </w:tcPr>
          <w:p>
            <w:pPr>
              <w:spacing w:after="0"/>
              <w:rPr>
                <w:sz w:val="17"/>
                <w:szCs w:val="17"/>
                <w:color w:val="auto"/>
              </w:rPr>
            </w:pPr>
          </w:p>
        </w:tc>
        <w:tc>
          <w:tcPr>
            <w:tcW w:w="3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combination tablet of empagliflozin</w:t>
            </w: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linagliptin, approved in the U.S. in January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2015. Intend to submit to European regulatory</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authorities in late 2015.</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FDA tentatively approved in August 2014,</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Tentatively</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determining that it met all regulatory</w:t>
            </w:r>
          </w:p>
        </w:tc>
        <w:tc>
          <w:tcPr>
            <w:tcW w:w="0" w:type="dxa"/>
            <w:vAlign w:val="bottom"/>
          </w:tcPr>
          <w:p>
            <w:pPr>
              <w:spacing w:after="0"/>
              <w:rPr>
                <w:sz w:val="1"/>
                <w:szCs w:val="1"/>
                <w:color w:val="auto"/>
              </w:rPr>
            </w:pPr>
          </w:p>
        </w:tc>
      </w:tr>
      <w:tr>
        <w:trPr>
          <w:trHeight w:val="81"/>
        </w:trPr>
        <w:tc>
          <w:tcPr>
            <w:tcW w:w="1640" w:type="dxa"/>
            <w:vAlign w:val="bottom"/>
            <w:tcBorders>
              <w:left w:val="single" w:sz="8" w:color="auto"/>
              <w:right w:val="single" w:sz="8" w:color="auto"/>
            </w:tcBorders>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38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requirements for approval, but approval is</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3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subject to automatic stay in the U.S. of up to 30</w:t>
            </w:r>
          </w:p>
        </w:tc>
        <w:tc>
          <w:tcPr>
            <w:tcW w:w="0" w:type="dxa"/>
            <w:vAlign w:val="bottom"/>
          </w:tcPr>
          <w:p>
            <w:pPr>
              <w:spacing w:after="0"/>
              <w:rPr>
                <w:sz w:val="1"/>
                <w:szCs w:val="1"/>
                <w:color w:val="auto"/>
              </w:rPr>
            </w:pPr>
          </w:p>
        </w:tc>
      </w:tr>
      <w:tr>
        <w:trPr>
          <w:trHeight w:val="107"/>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3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64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New insulin</w:t>
            </w:r>
          </w:p>
        </w:tc>
        <w:tc>
          <w:tcPr>
            <w:tcW w:w="18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38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months as a result of the patent litigation filed</w:t>
            </w: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glargine product</w:t>
            </w:r>
          </w:p>
        </w:tc>
        <w:tc>
          <w:tcPr>
            <w:tcW w:w="18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by Sanofi. Approved in Europe and Japan in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Tentatively</w:t>
            </w: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September and December 2014, respectively.</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Type 2 diabetes</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Approved</w:t>
            </w:r>
          </w:p>
        </w:tc>
        <w:tc>
          <w:tcPr>
            <w:tcW w:w="13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Approved</w:t>
            </w:r>
          </w:p>
        </w:tc>
        <w:tc>
          <w:tcPr>
            <w:tcW w:w="38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We will work with Boehringer Ingelheim to</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38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launch in Europe and Japan on dates that do</w:t>
            </w:r>
          </w:p>
        </w:tc>
        <w:tc>
          <w:tcPr>
            <w:tcW w:w="0" w:type="dxa"/>
            <w:vAlign w:val="bottom"/>
          </w:tcPr>
          <w:p>
            <w:pPr>
              <w:spacing w:after="0"/>
              <w:rPr>
                <w:sz w:val="1"/>
                <w:szCs w:val="1"/>
                <w:color w:val="auto"/>
              </w:rPr>
            </w:pPr>
          </w:p>
        </w:tc>
      </w:tr>
      <w:tr>
        <w:trPr>
          <w:trHeight w:val="80"/>
        </w:trPr>
        <w:tc>
          <w:tcPr>
            <w:tcW w:w="1640" w:type="dxa"/>
            <w:vAlign w:val="bottom"/>
            <w:tcBorders>
              <w:left w:val="single" w:sz="8" w:color="auto"/>
              <w:right w:val="single" w:sz="8" w:color="auto"/>
            </w:tcBorders>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3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not infringe valid and enforceable patents.</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and Europe in September</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November 2014, respectively. Launched in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Trulicity</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the U.S. in October 2014 and in certain</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38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European countries in first quarter of 2015.</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Submitted to regulatory authorities in Japan in</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third quarter of 2014.</w:t>
            </w: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i w:val="1"/>
                <w:iCs w:val="1"/>
                <w:color w:val="auto"/>
              </w:rPr>
              <w:t>32</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3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3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86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December 2014 top-line results</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Baricitinib</w:t>
            </w: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Rheumatoid arthritis</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of RA-BEACON trial which met primary</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endpoint.</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August 2014 top-line results of</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three trials which met all primary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Ixekizumab</w:t>
            </w: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Psoriasis</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secondary endpoints. Intend to submit the first</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38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application to regulatory authorities in the first</w:t>
            </w:r>
          </w:p>
        </w:tc>
        <w:tc>
          <w:tcPr>
            <w:tcW w:w="0" w:type="dxa"/>
            <w:vAlign w:val="bottom"/>
          </w:tcPr>
          <w:p>
            <w:pPr>
              <w:spacing w:after="0"/>
              <w:rPr>
                <w:sz w:val="1"/>
                <w:szCs w:val="1"/>
                <w:color w:val="auto"/>
              </w:rPr>
            </w:pPr>
          </w:p>
        </w:tc>
      </w:tr>
      <w:tr>
        <w:trPr>
          <w:trHeight w:val="53"/>
        </w:trPr>
        <w:tc>
          <w:tcPr>
            <w:tcW w:w="1640" w:type="dxa"/>
            <w:vAlign w:val="bottom"/>
            <w:tcBorders>
              <w:left w:val="single" w:sz="8" w:color="auto"/>
              <w:right w:val="single" w:sz="8" w:color="auto"/>
            </w:tcBorders>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38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half of 2015.</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Psoriatic arthritis</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decision to stop development of</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Tabalumab</w:t>
            </w: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Lupus</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Terminated</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Terminated</w:t>
            </w:r>
          </w:p>
        </w:tc>
        <w:tc>
          <w:tcPr>
            <w:tcW w:w="13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Terminated</w:t>
            </w:r>
          </w:p>
        </w:tc>
        <w:tc>
          <w:tcPr>
            <w:tcW w:w="38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tabalumab in October 2014 due to lack of</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efficacy.</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Mild Alzheimer's</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3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3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On partial clinical hold; expect resolution in</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 pain</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tcBorders>
              <w:bottom w:val="single" w:sz="8" w:color="auto"/>
              <w:right w:val="single" w:sz="8" w:color="auto"/>
            </w:tcBorders>
            <w:vMerge w:val="continue"/>
          </w:tcPr>
          <w:p>
            <w:pPr>
              <w:spacing w:after="0"/>
              <w:rPr>
                <w:sz w:val="11"/>
                <w:szCs w:val="11"/>
                <w:color w:val="auto"/>
              </w:rPr>
            </w:pPr>
          </w:p>
        </w:tc>
        <w:tc>
          <w:tcPr>
            <w:tcW w:w="1380" w:type="dxa"/>
            <w:vAlign w:val="bottom"/>
            <w:tcBorders>
              <w:bottom w:val="single" w:sz="8" w:color="auto"/>
              <w:right w:val="single" w:sz="8" w:color="auto"/>
            </w:tcBorders>
            <w:vMerge w:val="continue"/>
          </w:tcPr>
          <w:p>
            <w:pPr>
              <w:spacing w:after="0"/>
              <w:rPr>
                <w:sz w:val="11"/>
                <w:szCs w:val="11"/>
                <w:color w:val="auto"/>
              </w:rPr>
            </w:pPr>
          </w:p>
        </w:tc>
        <w:tc>
          <w:tcPr>
            <w:tcW w:w="3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pain</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vMerge w:val="continue"/>
          </w:tcPr>
          <w:p>
            <w:pPr>
              <w:spacing w:after="0"/>
              <w:rPr>
                <w:sz w:val="15"/>
                <w:szCs w:val="15"/>
                <w:color w:val="auto"/>
              </w:rPr>
            </w:pPr>
          </w:p>
        </w:tc>
        <w:tc>
          <w:tcPr>
            <w:tcW w:w="1360" w:type="dxa"/>
            <w:vAlign w:val="bottom"/>
            <w:tcBorders>
              <w:bottom w:val="single" w:sz="8" w:color="auto"/>
              <w:right w:val="single" w:sz="8" w:color="auto"/>
            </w:tcBorders>
            <w:vMerge w:val="continue"/>
          </w:tcPr>
          <w:p>
            <w:pPr>
              <w:spacing w:after="0"/>
              <w:rPr>
                <w:sz w:val="15"/>
                <w:szCs w:val="15"/>
                <w:color w:val="auto"/>
              </w:rPr>
            </w:pPr>
          </w:p>
        </w:tc>
        <w:tc>
          <w:tcPr>
            <w:tcW w:w="1360" w:type="dxa"/>
            <w:vAlign w:val="bottom"/>
            <w:tcBorders>
              <w:bottom w:val="single" w:sz="8" w:color="auto"/>
              <w:right w:val="single" w:sz="8" w:color="auto"/>
            </w:tcBorders>
            <w:vMerge w:val="continue"/>
          </w:tcPr>
          <w:p>
            <w:pPr>
              <w:spacing w:after="0"/>
              <w:rPr>
                <w:sz w:val="15"/>
                <w:szCs w:val="15"/>
                <w:color w:val="auto"/>
              </w:rPr>
            </w:pPr>
          </w:p>
        </w:tc>
        <w:tc>
          <w:tcPr>
            <w:tcW w:w="1380" w:type="dxa"/>
            <w:vAlign w:val="bottom"/>
            <w:tcBorders>
              <w:bottom w:val="single" w:sz="8" w:color="auto"/>
              <w:right w:val="single" w:sz="8" w:color="auto"/>
            </w:tcBorders>
            <w:vMerge w:val="continue"/>
          </w:tcPr>
          <w:p>
            <w:pPr>
              <w:spacing w:after="0"/>
              <w:rPr>
                <w:sz w:val="15"/>
                <w:szCs w:val="15"/>
                <w:color w:val="auto"/>
              </w:rPr>
            </w:pPr>
          </w:p>
        </w:tc>
        <w:tc>
          <w:tcPr>
            <w:tcW w:w="3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240"/>
        <w:spacing w:after="0"/>
        <w:rPr>
          <w:sz w:val="20"/>
          <w:szCs w:val="20"/>
          <w:color w:val="auto"/>
        </w:rPr>
      </w:pPr>
      <w:r>
        <w:rPr>
          <w:rFonts w:ascii="Arial" w:cs="Arial" w:eastAsia="Arial" w:hAnsi="Arial"/>
          <w:sz w:val="17"/>
          <w:szCs w:val="17"/>
          <w:b w:val="1"/>
          <w:bCs w:val="1"/>
          <w:i w:val="1"/>
          <w:iCs w:val="1"/>
          <w:color w:val="auto"/>
        </w:rPr>
        <w:t>33</w:t>
      </w:r>
    </w:p>
    <w:p>
      <w:pPr>
        <w:sectPr>
          <w:pgSz w:w="11900" w:h="16838" w:orient="portrait"/>
          <w:cols w:equalWidth="0" w:num="1">
            <w:col w:w="11440"/>
          </w:cols>
          <w:pgMar w:left="240" w:top="822" w:right="2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70"/>
        </w:trPr>
        <w:tc>
          <w:tcPr>
            <w:tcW w:w="1640" w:type="dxa"/>
            <w:vAlign w:val="bottom"/>
            <w:tcBorders>
              <w:top w:val="single" w:sz="8" w:color="auto"/>
              <w:left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40" w:type="dxa"/>
            <w:vAlign w:val="bottom"/>
            <w:tcBorders>
              <w:top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360" w:type="dxa"/>
            <w:vAlign w:val="bottom"/>
            <w:tcBorders>
              <w:top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60" w:type="dxa"/>
            <w:vAlign w:val="bottom"/>
            <w:tcBorders>
              <w:top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360" w:type="dxa"/>
            <w:vAlign w:val="bottom"/>
            <w:tcBorders>
              <w:top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880" w:type="dxa"/>
            <w:vAlign w:val="bottom"/>
            <w:tcBorders>
              <w:top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abemaciclib in</w:t>
            </w: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combination with fulvestrant in August 2014.</w:t>
            </w: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cancer</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Initiated Phase III study of abemaciclib in</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8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8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combination with aromatase inhibitors in</w:t>
            </w:r>
          </w:p>
        </w:tc>
        <w:tc>
          <w:tcPr>
            <w:tcW w:w="0" w:type="dxa"/>
            <w:vAlign w:val="bottom"/>
          </w:tcPr>
          <w:p>
            <w:pPr>
              <w:spacing w:after="0"/>
              <w:rPr>
                <w:sz w:val="1"/>
                <w:szCs w:val="1"/>
                <w:color w:val="auto"/>
              </w:rPr>
            </w:pPr>
          </w:p>
        </w:tc>
      </w:tr>
      <w:tr>
        <w:trPr>
          <w:trHeight w:val="53"/>
        </w:trPr>
        <w:tc>
          <w:tcPr>
            <w:tcW w:w="1640" w:type="dxa"/>
            <w:vAlign w:val="bottom"/>
            <w:tcBorders>
              <w:left w:val="single" w:sz="8" w:color="auto"/>
              <w:right w:val="single" w:sz="8" w:color="auto"/>
            </w:tcBorders>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3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November 2014.</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abemaciclib in KRAS</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mutation-positive NSCLC in December 2014.</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3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Gastric cancer (first-</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first-line</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line)</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 in January 2015.</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3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as monotherapy in the U.S. in April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2014. Launched in the U.S. in second quarter</w:t>
            </w: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2014.</w:t>
            </w:r>
          </w:p>
        </w:tc>
        <w:tc>
          <w:tcPr>
            <w:tcW w:w="0" w:type="dxa"/>
            <w:vAlign w:val="bottom"/>
          </w:tcPr>
          <w:p>
            <w:pPr>
              <w:spacing w:after="0"/>
              <w:rPr>
                <w:sz w:val="1"/>
                <w:szCs w:val="1"/>
                <w:color w:val="auto"/>
              </w:rPr>
            </w:pPr>
          </w:p>
        </w:tc>
      </w:tr>
      <w:tr>
        <w:trPr>
          <w:trHeight w:val="391"/>
        </w:trPr>
        <w:tc>
          <w:tcPr>
            <w:tcW w:w="1640" w:type="dxa"/>
            <w:vAlign w:val="bottom"/>
            <w:tcBorders>
              <w:left w:val="single" w:sz="8" w:color="auto"/>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combination with paclitaxel in the</w:t>
            </w:r>
          </w:p>
        </w:tc>
        <w:tc>
          <w:tcPr>
            <w:tcW w:w="0" w:type="dxa"/>
            <w:vAlign w:val="bottom"/>
          </w:tcPr>
          <w:p>
            <w:pPr>
              <w:spacing w:after="0"/>
              <w:rPr>
                <w:sz w:val="1"/>
                <w:szCs w:val="1"/>
                <w:color w:val="auto"/>
              </w:rPr>
            </w:pPr>
          </w:p>
        </w:tc>
      </w:tr>
      <w:tr>
        <w:trPr>
          <w:trHeight w:val="217"/>
        </w:trPr>
        <w:tc>
          <w:tcPr>
            <w:tcW w:w="164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in November 2014.</w:t>
            </w: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(second-line)</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 Europe, approved in combination with</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paclitaxel and as monotherapy in patients for</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whom treatment in combination with paclitaxel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Cyramza</w:t>
            </w: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is not appropriate in December 2014.</w:t>
            </w:r>
          </w:p>
        </w:tc>
        <w:tc>
          <w:tcPr>
            <w:tcW w:w="0" w:type="dxa"/>
            <w:vAlign w:val="bottom"/>
          </w:tcPr>
          <w:p>
            <w:pPr>
              <w:spacing w:after="0"/>
              <w:rPr>
                <w:sz w:val="1"/>
                <w:szCs w:val="1"/>
                <w:color w:val="auto"/>
              </w:rPr>
            </w:pPr>
          </w:p>
        </w:tc>
      </w:tr>
      <w:tr>
        <w:trPr>
          <w:trHeight w:val="82"/>
        </w:trPr>
        <w:tc>
          <w:tcPr>
            <w:tcW w:w="1640" w:type="dxa"/>
            <w:vAlign w:val="bottom"/>
            <w:tcBorders>
              <w:left w:val="single" w:sz="8" w:color="auto"/>
              <w:right w:val="single" w:sz="8" w:color="auto"/>
            </w:tcBorders>
            <w:vMerge w:val="continue"/>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38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Submitted to Japanese regulatory authorities in</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3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third quarter of 2014 with regulatory action</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anticipated in first half of 2015.</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U.S. in December 2014.</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NSCLC (second-line)</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w:t>
            </w: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to European regulatory authorities in</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 quarter of 2015.</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Liver cancer</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June 2014 that REACH trial did</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not meet its primary endpoint.</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3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September 2014 that RAISE trial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Metastatic colorectal</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 its primary endpoint of overall survival.</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cancer</w:t>
            </w: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Intend to submit first application to regulatory</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authorities in first half of 2015.</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and Europe in fourth</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Necitumumab</w:t>
            </w: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Squamous NSCLC</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w:t>
            </w:r>
          </w:p>
        </w:tc>
        <w:tc>
          <w:tcPr>
            <w:tcW w:w="13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Ib/II</w:t>
            </w:r>
          </w:p>
        </w:tc>
        <w:tc>
          <w:tcPr>
            <w:tcW w:w="38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2014. Anticipate FDA action in late</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There are many difficulties and uncertainties inherent in pharmaceutical research and development (R&amp;D) and the introduction of new products. A high rate of failure is inherent in new drug discovery and development. The process to bring a drug from the discovery phase to regulatory approval can take 12 to 15 years or longer and cost more than $1 billion. Failure can occur at any point in the process, including late in the process after substantial investment. As a result, most research programs will not generate financial returns. New product candidates that appear promising in development may fail to reach the market or may have only limited commercial success. Delays and uncertainties in the regulatory approval processes in the U.S. and in other countries can result in delays in product launches and lost market opportunities. Consequently, it is very difficult to predict which products will ultimately be approved.</w:t>
      </w:r>
    </w:p>
    <w:p>
      <w:pPr>
        <w:spacing w:after="0" w:line="9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manage R&amp;D spending across our portfolio of molecules, and a delay in, or termination of, any one project will not necessarily cause a significant change in our total R&amp;D spending. Due to the risks 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34</w:t>
      </w:r>
    </w:p>
    <w:p>
      <w:pPr>
        <w:sectPr>
          <w:pgSz w:w="11900" w:h="16838" w:orient="portrait"/>
          <w:cols w:equalWidth="0" w:num="1">
            <w:col w:w="11440"/>
          </w:cols>
          <w:pgMar w:left="240" w:top="822" w:right="219" w:bottom="1440" w:gutter="0" w:footer="0" w:header="0"/>
        </w:sectPr>
      </w:pPr>
    </w:p>
    <w:bookmarkStart w:id="34" w:name="page35"/>
    <w:bookmarkEnd w:id="34"/>
    <w:p>
      <w:pPr>
        <w:spacing w:after="0" w:line="252" w:lineRule="auto"/>
        <w:rPr>
          <w:sz w:val="20"/>
          <w:szCs w:val="20"/>
          <w:color w:val="auto"/>
        </w:rPr>
      </w:pPr>
      <w:r>
        <w:rPr>
          <w:rFonts w:ascii="Arial" w:cs="Arial" w:eastAsia="Arial" w:hAnsi="Arial"/>
          <w:sz w:val="18"/>
          <w:szCs w:val="18"/>
          <w:color w:val="auto"/>
        </w:rPr>
        <w:t>uncertainties involved in the R&amp;D process, we cannot reliably estimate the nature, timing, completion dates, and costs of the efforts necessary to complete the development of our R&amp;D projects, nor can we reliably estimate the future potential revenue that will be generated from a successful R&amp;D project. Each project represents only a portion of the overall pipeline, and none is individually material to our consolidated R&amp;D expense. While we do accumulate certain R&amp;D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R&amp;D costs by project, by preclinical versus clinical spend, or by therapeutic category.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 - Novartis Animal Health Acquisition</w:t>
      </w:r>
    </w:p>
    <w:p>
      <w:pPr>
        <w:spacing w:after="0" w:line="13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On January 1, 2015, we completed our acquisition of Novartis Animal Health (Novartis AH) in an all-cash transaction for approximately $ 5.4 billion. Novartis AH operates in approximately 40 countries. We acquired Novartis AH’s nine manufacturing sites, six dedicated research and development facilities, a global commercial infrastructure with a portfolio of approximately 600 products, a pipeline with more than 40 projects in development, and more than 3,000 employees. The combined organization is expected to increase our animal health product portfolio, expand our global commercial presence, and augment our animal health manufacturing and research and development. In particular, it is expected to provide Elanco with a greater commercial presence in the companion animal and swine markets, expand Elanco’s presence in equine and vaccines areas, and create an entry into the aquaculture market. As a condition to the clearance of the transaction under the Hart-Scott-Rodino Antitrust Improvement Act, following the closing of the acquisition of Novartis AH, we divested certain companion animal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 The Novartis AH business we retained generated revenue of approximately $1.1 billion in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The loss of U.S. patent exclusivity for Cymbalta in December 2013 and Evista in March 2014, resulted in the immediate entry of generic competitors and a rapid and severe decline in revenue from the affected products, having a material adverse effect on our consolidated results of operations and cash flows.</w:t>
      </w:r>
    </w:p>
    <w:p>
      <w:pPr>
        <w:spacing w:after="0" w:line="9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lost our data package protection for Cymbalta in major European countries in 2014 and we anticipate the entry of generic competition in these countries in 2015. We expect that the entry of generic competition for Cymbalta into the markets where it has lost patent protection would cause a rapid and severe decline in revenue, which would have a material adverse effect on our consolidated results of operations and cash flows. We will also lose patent exclusivity in December 2015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w:t>
      </w:r>
    </w:p>
    <w:p>
      <w:pPr>
        <w:spacing w:after="0" w:line="32"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Additionally, as described in Note 15 to the consolidated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dosage regimen patent, which provides us with patent protection for Alimta through June 2021 in Japan and major European countries, and through May 2022 in the U.S., has been challenged in each of these jurisdictions. Our compound patent for Alimta will expire in the U.S. in January 2017, and in major European countries and Japan in December 2015. We expect that the entry of generic competition for Alimta into the markets where it has lost patent protection would cause a rapid and severe decline in revenue, which would have a material adverse effect on our consolidated results of operations and cash flows.</w:t>
      </w:r>
    </w:p>
    <w:p>
      <w:pPr>
        <w:spacing w:after="0" w:line="102" w:lineRule="exact"/>
        <w:rPr>
          <w:sz w:val="20"/>
          <w:szCs w:val="20"/>
          <w:color w:val="auto"/>
        </w:rPr>
      </w:pPr>
    </w:p>
    <w:p>
      <w:pPr>
        <w:jc w:val="both"/>
        <w:ind w:right="80"/>
        <w:spacing w:after="0" w:line="241"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May 2013. Thus far, the loss of compound patent protection for Humalog has not resulted in a rapid and severe decline in revenue. To date, no biosimilar version of Humalog has been approved in the U.S. or Europe; however, we are aware that other manufacturers have efforts underway to develop biosimilar forms of Humalog, and it is difficult to predict the likelihood, timing, and impact of biosimilars entering the market.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35</w:t>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Chinese yuan, and the Japanese yen,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In 2014, we saw significant foreign currency rate fluctuations as the U.S. dollar strengthened compared to other foreign currencies, including the euro and the Japanese yen. While there is uncertainty in the future movements in foreign exchange rates, these fluctuations could negatively impact our future consolidated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Prices for specialty and brand name pharmaceuticals, congressional investigations into manufacturer’s pricing policies, and the federal budget process continue to drive legislative debate. These policy and political issues increase the risk that taxes, fees, rebates or other federal measures may be enacted. As a result, pharmaceutical companies may see either a reduction in revenue or increase in expenses. President Obama’s fiscal year 2016 budget includes a number of key health legislative proposals affecting biopharmaceuticals, including a reduction in biologic data exclusivity, modifications to Medicare Parts B and D, and new language that would allow the Department of Health and Human Services to negotiate prices for biologics and drugs on the specialty tier in Part D. Savings projected under these proposals are targeted as a means to fund health care expenditures, such as the Medicare Sustainable Growth Rate, and non-health care expenditures. State and federal health care proposals, including price controls, continue to be debated, and if implemented could negatively affect future consolidated results of operations.</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private sector, the growth of Managed Care Organizations (MCOs) is also a major factor in the competitive marketplace for human pharmaceuticals. It is estimated that approximately two-thirds of the U.S. now participates in some form of managed care. MCO’s have been consolidating into fewer, larger entities, thus enhancing their purchasing strength and importance. MCO’s typically maintain formularies specifying which drugs are covered under their plans. Exclusion of a drug from a formulary can lead to its sharply reduced usage in the MCO patient population. Consequently, pharmaceutical companies compete aggressively to have their branded products included. Price is becoming an increasingly important factor in MCO formulary decisions, particularly in treatment areas in which the MCO has taken the position that multiple branded products are therapeutically comparable. These downward pricing pressures could negatively impact future consolidated results of operations.</w:t>
      </w:r>
    </w:p>
    <w:p>
      <w:pPr>
        <w:spacing w:after="0" w:line="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2014, the main coverage expansion provisions of the Affordable Care Act (ACA) took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changes resulting from the ACA,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w:t>
      </w:r>
    </w:p>
    <w:p>
      <w:pPr>
        <w:sectPr>
          <w:pgSz w:w="11900" w:h="16838" w:orient="portrait"/>
          <w:cols w:equalWidth="0" w:num="1">
            <w:col w:w="11400"/>
          </w:cols>
          <w:pgMar w:left="240" w:top="68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changes in this regard. For example, the Obama administration proposed changes to the manner in which the U.S. would tax the international income of U.S.-based companies, including unremitted earnings of foreign subsidiaries, and other tax proposals under discussion or introduced in the U.S. Congress could change the tax rate and manner in which U.S. companies would be taxed. Additionally, the Organisation for Economic Co-operation and Development launched and continues to advance an initiative to analyze and potentially influence international tax policy in major countries in which we operate. While outcomes of these initiatives are uncertain, changes to key elements of the U.S. or international tax framework could have a material effect on our consolidated operating results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Note 15 to the consolidated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worldwide revenue for 2014 was $19.62 billion, a decline of 15 percent compared with 2013. This decrease was comprised of 13 percent due to volume, 2 percent due to the unfavorable impact of foreign exchange rates and 1 percent due to lower prices (numbers do not add due to rounding). Total revenue in the U.S. decreased 29 percent, to $ 9.13 billion, due to lower demand for Cymbalta and Evista following patent expirations, and to a lesser extent, to wholesaler buying patterns. Revenue outside the U.S. increased 3 percent, to $10.48 billion, due to increased volume, partially offset by the unfavorable impact of foreign exchange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in 2014 compared with 2013: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740" w:type="dxa"/>
            <w:vAlign w:val="bottom"/>
          </w:tcPr>
          <w:p>
            <w:pPr>
              <w:spacing w:after="0"/>
              <w:rPr>
                <w:sz w:val="16"/>
                <w:szCs w:val="16"/>
                <w:color w:val="auto"/>
              </w:rPr>
            </w:pPr>
          </w:p>
        </w:tc>
      </w:tr>
      <w:tr>
        <w:trPr>
          <w:trHeight w:val="188"/>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2013</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Change from</w:t>
            </w:r>
          </w:p>
        </w:tc>
      </w:tr>
      <w:tr>
        <w:trPr>
          <w:trHeight w:val="27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2013</w:t>
            </w:r>
          </w:p>
        </w:tc>
      </w:tr>
      <w:tr>
        <w:trPr>
          <w:trHeight w:val="258"/>
        </w:trPr>
        <w:tc>
          <w:tcPr>
            <w:tcW w:w="3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4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6"/>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1,229.5</w:t>
            </w:r>
          </w:p>
        </w:tc>
        <w:tc>
          <w:tcPr>
            <w:tcW w:w="280" w:type="dxa"/>
            <w:vAlign w:val="bottom"/>
            <w:shd w:val="clear" w:color="auto" w:fill="D8D8D8"/>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1,562.5</w:t>
            </w:r>
          </w:p>
        </w:tc>
        <w:tc>
          <w:tcPr>
            <w:tcW w:w="3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2,792.0</w:t>
            </w:r>
          </w:p>
        </w:tc>
        <w:tc>
          <w:tcPr>
            <w:tcW w:w="300" w:type="dxa"/>
            <w:vAlign w:val="bottom"/>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2,703.0</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3</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1,627.6</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b w:val="1"/>
                <w:bCs w:val="1"/>
                <w:color w:val="auto"/>
              </w:rPr>
              <w:t>1,157.6</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2,785.2</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2,611.2</w:t>
            </w:r>
          </w:p>
        </w:tc>
        <w:tc>
          <w:tcPr>
            <w:tcW w:w="1740" w:type="dxa"/>
            <w:vAlign w:val="bottom"/>
          </w:tcPr>
          <w:p>
            <w:pPr>
              <w:jc w:val="right"/>
              <w:ind w:right="353"/>
              <w:spacing w:after="0"/>
              <w:rPr>
                <w:sz w:val="20"/>
                <w:szCs w:val="20"/>
                <w:color w:val="auto"/>
              </w:rPr>
            </w:pPr>
            <w:r>
              <w:rPr>
                <w:rFonts w:ascii="Arial" w:cs="Arial" w:eastAsia="Arial" w:hAnsi="Arial"/>
                <w:sz w:val="18"/>
                <w:szCs w:val="18"/>
                <w:color w:val="auto"/>
              </w:rPr>
              <w:t>7</w:t>
            </w:r>
          </w:p>
        </w:tc>
      </w:tr>
      <w:tr>
        <w:trPr>
          <w:trHeight w:val="277"/>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Cialis</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1,039.9</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1,251.1</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2,291.0</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2,159.4</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6</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420.5</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b w:val="1"/>
                <w:bCs w:val="1"/>
                <w:color w:val="auto"/>
              </w:rPr>
              <w:t>1,194.2</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1,614.7</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5,084.4</w:t>
            </w:r>
          </w:p>
        </w:tc>
        <w:tc>
          <w:tcPr>
            <w:tcW w:w="1740" w:type="dxa"/>
            <w:vAlign w:val="bottom"/>
          </w:tcPr>
          <w:p>
            <w:pPr>
              <w:jc w:val="right"/>
              <w:ind w:right="293"/>
              <w:spacing w:after="0"/>
              <w:rPr>
                <w:sz w:val="20"/>
                <w:szCs w:val="20"/>
                <w:color w:val="auto"/>
              </w:rPr>
            </w:pPr>
            <w:r>
              <w:rPr>
                <w:rFonts w:ascii="Arial" w:cs="Arial" w:eastAsia="Arial" w:hAnsi="Arial"/>
                <w:sz w:val="18"/>
                <w:szCs w:val="18"/>
                <w:color w:val="auto"/>
              </w:rPr>
              <w:t>(68)</w:t>
            </w:r>
          </w:p>
        </w:tc>
      </w:tr>
      <w:tr>
        <w:trPr>
          <w:trHeight w:val="277"/>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713.1</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687.0</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1,400.1</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1,315.8</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539.0</w:t>
            </w:r>
          </w:p>
        </w:tc>
        <w:tc>
          <w:tcPr>
            <w:tcW w:w="2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b w:val="1"/>
                <w:bCs w:val="1"/>
                <w:color w:val="auto"/>
              </w:rPr>
              <w:t>783.0</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1,322.0</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1,244.9</w:t>
            </w:r>
          </w:p>
        </w:tc>
        <w:tc>
          <w:tcPr>
            <w:tcW w:w="1740" w:type="dxa"/>
            <w:vAlign w:val="bottom"/>
          </w:tcPr>
          <w:p>
            <w:pPr>
              <w:jc w:val="right"/>
              <w:ind w:right="35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119.8</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917.5</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1,037.3</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1,194.8</w:t>
            </w:r>
          </w:p>
        </w:tc>
        <w:tc>
          <w:tcPr>
            <w:tcW w:w="174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(13)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452.5</w:t>
            </w:r>
          </w:p>
        </w:tc>
        <w:tc>
          <w:tcPr>
            <w:tcW w:w="2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b w:val="1"/>
                <w:bCs w:val="1"/>
                <w:color w:val="auto"/>
              </w:rPr>
              <w:t>286.0</w:t>
            </w:r>
          </w:p>
        </w:tc>
        <w:tc>
          <w:tcPr>
            <w:tcW w:w="3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738.5</w:t>
            </w:r>
          </w:p>
        </w:tc>
        <w:tc>
          <w:tcPr>
            <w:tcW w:w="3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709.2</w:t>
            </w:r>
          </w:p>
        </w:tc>
        <w:tc>
          <w:tcPr>
            <w:tcW w:w="1740" w:type="dxa"/>
            <w:vAlign w:val="bottom"/>
          </w:tcPr>
          <w:p>
            <w:pPr>
              <w:jc w:val="right"/>
              <w:ind w:right="35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394.5</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127.7</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522.2</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508.7</w:t>
            </w:r>
          </w:p>
        </w:tc>
        <w:tc>
          <w:tcPr>
            <w:tcW w:w="174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3</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207.2</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b w:val="1"/>
                <w:bCs w:val="1"/>
                <w:color w:val="auto"/>
              </w:rPr>
              <w:t>212.6</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419.8</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1,050.4</w:t>
            </w:r>
          </w:p>
        </w:tc>
        <w:tc>
          <w:tcPr>
            <w:tcW w:w="1740" w:type="dxa"/>
            <w:vAlign w:val="bottom"/>
          </w:tcPr>
          <w:p>
            <w:pPr>
              <w:jc w:val="right"/>
              <w:ind w:right="293"/>
              <w:spacing w:after="0"/>
              <w:rPr>
                <w:sz w:val="20"/>
                <w:szCs w:val="20"/>
                <w:color w:val="auto"/>
              </w:rPr>
            </w:pPr>
            <w:r>
              <w:rPr>
                <w:rFonts w:ascii="Arial" w:cs="Arial" w:eastAsia="Arial" w:hAnsi="Arial"/>
                <w:sz w:val="18"/>
                <w:szCs w:val="18"/>
                <w:color w:val="auto"/>
              </w:rPr>
              <w:t>(60)</w:t>
            </w:r>
          </w:p>
        </w:tc>
      </w:tr>
      <w:tr>
        <w:trPr>
          <w:trHeight w:val="277"/>
        </w:trPr>
        <w:tc>
          <w:tcPr>
            <w:tcW w:w="388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pharmaceutical products</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647.5</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910.3</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1,557.8</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1,672.3</w:t>
            </w:r>
          </w:p>
        </w:tc>
        <w:tc>
          <w:tcPr>
            <w:tcW w:w="174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(7)</w:t>
            </w:r>
          </w:p>
        </w:tc>
      </w:tr>
      <w:tr>
        <w:trPr>
          <w:trHeight w:val="264"/>
        </w:trPr>
        <w:tc>
          <w:tcPr>
            <w:tcW w:w="38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1,274.4</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1,072.2</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2,346.6</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2,151.5</w:t>
            </w:r>
          </w:p>
        </w:tc>
        <w:tc>
          <w:tcPr>
            <w:tcW w:w="174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9</w:t>
            </w:r>
          </w:p>
        </w:tc>
      </w:tr>
      <w:tr>
        <w:trPr>
          <w:trHeight w:val="270"/>
        </w:trPr>
        <w:tc>
          <w:tcPr>
            <w:tcW w:w="38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Total net product sales</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8,665.5</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10,161.7</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18,827.2</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22,405.6</w:t>
            </w:r>
          </w:p>
        </w:tc>
        <w:tc>
          <w:tcPr>
            <w:tcW w:w="174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(16)</w:t>
            </w:r>
          </w:p>
        </w:tc>
      </w:tr>
      <w:tr>
        <w:trPr>
          <w:trHeight w:val="270"/>
        </w:trPr>
        <w:tc>
          <w:tcPr>
            <w:tcW w:w="38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468.6</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319.8</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788.4</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707.5</w:t>
            </w:r>
          </w:p>
        </w:tc>
        <w:tc>
          <w:tcPr>
            <w:tcW w:w="174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11</w:t>
            </w:r>
          </w:p>
        </w:tc>
      </w:tr>
      <w:tr>
        <w:trPr>
          <w:trHeight w:val="271"/>
        </w:trPr>
        <w:tc>
          <w:tcPr>
            <w:tcW w:w="388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9,134.1</w:t>
            </w:r>
          </w:p>
        </w:tc>
        <w:tc>
          <w:tcPr>
            <w:tcW w:w="28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b w:val="1"/>
                <w:bCs w:val="1"/>
                <w:color w:val="auto"/>
              </w:rPr>
              <w:t>10,481.5</w:t>
            </w:r>
          </w:p>
        </w:tc>
        <w:tc>
          <w:tcPr>
            <w:tcW w:w="36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19,615.6</w:t>
            </w:r>
          </w:p>
        </w:tc>
        <w:tc>
          <w:tcPr>
            <w:tcW w:w="30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23,113.1</w:t>
            </w:r>
          </w:p>
        </w:tc>
        <w:tc>
          <w:tcPr>
            <w:tcW w:w="1740" w:type="dxa"/>
            <w:vAlign w:val="bottom"/>
            <w:tcBorders>
              <w:bottom w:val="single" w:sz="8" w:color="auto"/>
            </w:tcBorders>
            <w:shd w:val="clear" w:color="auto" w:fill="D8D8D8"/>
          </w:tcPr>
          <w:p>
            <w:pPr>
              <w:jc w:val="right"/>
              <w:ind w:right="293"/>
              <w:spacing w:after="0"/>
              <w:rPr>
                <w:sz w:val="20"/>
                <w:szCs w:val="20"/>
                <w:color w:val="auto"/>
              </w:rPr>
            </w:pPr>
            <w:r>
              <w:rPr>
                <w:rFonts w:ascii="Arial" w:cs="Arial" w:eastAsia="Arial" w:hAnsi="Arial"/>
                <w:sz w:val="18"/>
                <w:szCs w:val="18"/>
                <w:color w:val="auto"/>
              </w:rPr>
              <w:t>(15)</w:t>
            </w:r>
          </w:p>
        </w:tc>
      </w:tr>
    </w:tbl>
    <w:p>
      <w:pPr>
        <w:spacing w:after="0" w:line="59"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U.S. revenue includes revenue in Puerto Rico.</w:t>
      </w:r>
    </w:p>
    <w:p>
      <w:pPr>
        <w:spacing w:after="0" w:line="42"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Collaboration and other revenue consists primarily of royalties for Erbitux</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revenue associated with Trajenta</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37</w:t>
      </w:r>
    </w:p>
    <w:p>
      <w:pPr>
        <w:sectPr>
          <w:pgSz w:w="11900" w:h="16838" w:orient="portrait"/>
          <w:cols w:equalWidth="0" w:num="1">
            <w:col w:w="11420"/>
          </w:cols>
          <w:pgMar w:left="240" w:top="688" w:right="239" w:bottom="1440" w:gutter="0" w:footer="0" w:header="0"/>
        </w:sectPr>
      </w:pPr>
    </w:p>
    <w:bookmarkStart w:id="37" w:name="page38"/>
    <w:bookmarkEnd w:id="37"/>
    <w:p>
      <w:pPr>
        <w:ind w:right="20"/>
        <w:spacing w:after="0" w:line="262" w:lineRule="auto"/>
        <w:rPr>
          <w:sz w:val="20"/>
          <w:szCs w:val="20"/>
          <w:color w:val="auto"/>
        </w:rPr>
      </w:pPr>
      <w:r>
        <w:rPr>
          <w:rFonts w:ascii="Arial" w:cs="Arial" w:eastAsia="Arial" w:hAnsi="Arial"/>
          <w:sz w:val="18"/>
          <w:szCs w:val="18"/>
          <w:color w:val="auto"/>
        </w:rPr>
        <w:t>Sales of Alimta, a treatment for various cancers, increased 2 percent in the U.S., driven by increased volume. Sales outside the U.S. increased 5 percent, driven by increased volume, partially offset by the unfavorable impact of foreign exchange rates and lower prices.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of Humalog, our injectable human insulin analog for the treatment of diabetes, increased 7 percent in the U.S., driven by increased demand, partially offset by lower net effective selling prices as a result of payer contracts and greater Medicaid and Medicare utilization, as well as wholesaler buying patterns. Sales outside the U.S. increased 6 percent, driven by increased volume and, to a lesser extent, higher prices, partially offset by the unfavorable impact of foreign exchange rates.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Sales of Cialis, a treatment for erectile dysfunction and benign prostatic hyperplasia, increased 10 percent in the U.S., driven by higher prices, partially offset by wholesaler buying patterns. Sales outside the U.S. increased 3 percent, driven by higher prices and increased volume, partially offset by the unfavorable impact of foreign exchange rates.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of Cymbalta, a product for the treatment of major depressive disorder, diabetic peripheral neuropathic pain, generalized anxiety disorder, and in the U.S. for the treatment of chronic musculoskeletal pain and the management of fibromyalgia, decreased 89 percent in the U.S. due to the loss of U.S. patent exclusivity in December 2013. Sales outside the U.S. increased 6 percent, driven by increased volume, partially offset by the unfavorable impact of foreign exchange rates.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Sales of Humulin, an injectable human insulin for the treatment of diabetes, increased 5 percent in the U.S., primarily driven by increased demand, partially offset by wholesaler buying patterns. Sales outside the U.S. increased 8 percent, driven by increased volume, partially offset by the unfavorable impact of foreign exchange rates.</w:t>
      </w:r>
    </w:p>
    <w:p>
      <w:pPr>
        <w:spacing w:after="0" w:line="9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Sales of Forteo, an injectable treatment for osteoporosis in postmenopausal women and men at high risk for fracture and for glucocorticoid-induced osteoporosis in men and postmenopausal women, increased 5 percent in the U.S., driven by higher prices, partially offset by decreased volume. Sales outside the U.S. increased 7 percent, driven by increased volume, primarily in Japan, partially offset by the unfavorable impact of foreign exchange rates, primarily the Japanese yen.</w:t>
      </w:r>
    </w:p>
    <w:p>
      <w:pPr>
        <w:spacing w:after="0" w:line="96"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Sales of Zyprexa, a treatment for schizophrenia, acute mixed or manic episodes associated with bipolar I disorder, and bipolar maintenance, decreased 3 percent in the U.S. Sales outside the U.S. decreased 14 percent, driven by decreased volume, the unfavorable impact of foreign exchange rates, primarily the Japanese yen, and lower prices. We will lose patent exclusivity for Zyprexa in Japan in December 2015. Zyprexa sales in Japan were approximately $465 million in 2014, compared to approximately $510 million in 2013.</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of Strattera, a treatment for attention-deficit hyperactivity disorder, increased 1 percent in the U.S., driven by higher prices, partially offset by decreased volume. Sales outside the U.S. increased 9 percent, driven by increased volume, primarily in Japan, partially offset by the unfavorable impact of foreign exchange rates, primarily the Japanese yen.</w:t>
      </w:r>
    </w:p>
    <w:p>
      <w:pPr>
        <w:spacing w:after="0" w:line="9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Sales of Effient, a product for the reduction of thrombotic cardiovascular events (including stent thrombosis) in patients with acute coronary syndrome who are managed with an artery-opening procedure known as percutaneous coronary intervention, including patients undergoing angioplasty, atherectomy, or stent placement, increased 5 percent in the U.S., driven by higher prices, partially offset by wholesaler buying patterns. Sales outside the U.S. decreased 3 percent, driven by lower volume.</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Sales of Evista, a product for the prevention and treatment of osteoporosis in postmenopausal women and for reduction of risk of invasive breast cancer in postmenopausal women with osteoporosis and postmenopausal women at high risk for invasive breast cancer, decreased 73 percent in the U.S., due to the loss of U.S. patent exclusivity in March 2014. Sales outside the U.S. decreased 24 percent, driven primarily by the expiration of a supply agreement in 2013, and to a lesser extent the unfavorable impact of foreign exchange rates.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Animal health product sales in the U.S. increased 4 percent, driven by increased volume in food animal products and higher prices, partially offset by decreased volume in companion animal products due to competitive pressure. Sales outside the U.S. increased 16 percent, driven by increased volume in food animal products, due in part to the acquisition of Lohmann SE (Lohmann AH) and, to a lesser extent, higher prices, partially offset by the unfavorable impact of foreign exchange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w:t>
      </w:r>
    </w:p>
    <w:p>
      <w:pPr>
        <w:sectPr>
          <w:pgSz w:w="11900" w:h="16838" w:orient="portrait"/>
          <w:cols w:equalWidth="0" w:num="1">
            <w:col w:w="11380"/>
          </w:cols>
          <w:pgMar w:left="240" w:top="706"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Gross margin as a percent of total revenue was 74.9 percent in 2014, a decrease of 3.9 percentage points compared with 2013, driven primarily by lower sales of Cymbalta and Evista following U.S. patent expirations.</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Research and development expenses decreased 14 percent to $4.73 billion in 2014, driven primarily by lower late-stage clinical development costs. Research and development expenses in 2013 included $97.2 million of milestone payments made to Boehringer Ingelheim following regulatory submissions for empagliflozin.</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Marketing, selling, and administrative expenses decreased 7 percent to $6.62 billion in 2014, driven primarily by the reduction in U.S. sales and marketing activities for Cymbalta and Evista, as well as ongoing cost containment efforts, partially offset by an additional $119.0 million charge in 2014 associated with the U.S. Drug Fee, an annual non-tax deductible fee enacted by the Patient Protection and Affordable Care Act that is imposed on us and others engaged in the business of manufacturing or importing branded prescription drugs. The final regulations issued by the IRS in 2014, accelerated the expense recognition criteria for the fee obligation by one year, from the year in which the fee is paid to the year in which the sales used to calculate the fee occur. This change affected all entities conducting covered activities in 2014 and resulted in the need to expense two years of the U.S. Drug Fee in 2014 to account for the fee imposed and paid in 2014 and the fee that will be imposed and paid in 2015.</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recognized acquired IPR&amp;D charges of $200.2 million in 2014 resulting from our collaboration agreements with Adocia, AstraZeneca, and Immunocore Limited in addition to charges associated with the transfer of commercial rights to us, from Boehringer Ingelheim, of the new insulin glargine product in certain countries where it is not yet approved. There were $57.1 million of acquired IPR&amp;D charges in 2013 related to the acquisition of rights for the CGRP antibody. See Notes 3 and 4 to the consolidated financial statements for additional information.</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recognized asset impairment, restructuring, and other special charges of $468.7 million in 2014. These charges included $225.5 million of severance costs related to ongoing efforts to reduce our cost structure and global workforce and $243.2 million of asset impairment and other special charges consisting primarily of a $180.8 million asset impairment charge related to our decision to close and sell a manufacturing plant located in Puerto Rico. In 2013, we recognized asset impairment, restructuring, and other special charges of $120.6 million. These charges included $30.0 million of asset impairments primarily associated with the closure of a packaging and distribution facility in Germany, and $90.6 million of severance costs to reduce our cost structure and global workforce. See Note 5 to the consolidated financial statements for additional information.</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Other—net, (income) expense was income of $340.5 million in 2014, compared with income of $518.9 million in 2013. Other income in 2014 included net gains of $216.4 million on investments and $92.0 million of income related to the transfer of commercial rights to linagliptin and empagliflozin in certain countries from us to Boehringer Ingelheim. Other income in 2013 was primarily comprised of $495.4 million related to the termination of the exenatide collaboration with Amylin. See Notes 4 and 17 to the consolidated financial statements for additional information.</w:t>
      </w:r>
    </w:p>
    <w:p>
      <w:pPr>
        <w:spacing w:after="0" w:line="9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effective tax rate was 20.3 percent in 2014, compared with 20.5 percent in 2013. See Note 13 to the consolidated financial statements for additional information.</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39</w:t>
      </w:r>
    </w:p>
    <w:p>
      <w:pPr>
        <w:sectPr>
          <w:pgSz w:w="11900" w:h="16838" w:orient="portrait"/>
          <w:cols w:equalWidth="0" w:num="1">
            <w:col w:w="11420"/>
          </w:cols>
          <w:pgMar w:left="240" w:top="73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CC0000"/>
        </w:rPr>
        <w:t>Operating Results—2013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Worldwide total revenue increased 2 percent to $23.11 billion in 2013, driven by growth in several products, including Cialis, Humalog, Trajenta, Alimta, Forteo, and animal health products, partially offset by the continued erosion of Zyprexa sales following the loss of patent exclusivity in the U.S. and most major markets outside Japan. In 2013, net income increased 15 percent to $4.68 billion and EPS increased 18 percent to $4.32, compared to 2012 net income and EPS of $4.09 billion and $ 3.66, respectively. The increases were due to higher gross margin, lower marketing, selling, and administrative expenses, and, to a lesser extent, a lower effective tax rate, partially offset by higher research and development expenses and lower other income. EPS in 2013 also benefited from a lower number of shares outstanding as a result of our share repurchase programs.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2013 highlighted items are summarized in the "Executive Overview" section. The 2012 highlighted items are summarized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(Note 4 to the consolidated financial statements)</w:t>
      </w:r>
    </w:p>
    <w:p>
      <w:pPr>
        <w:spacing w:after="0" w:line="117" w:lineRule="exact"/>
        <w:rPr>
          <w:sz w:val="20"/>
          <w:szCs w:val="20"/>
          <w:color w:val="auto"/>
        </w:rPr>
      </w:pPr>
    </w:p>
    <w:p>
      <w:pPr>
        <w:ind w:left="660" w:right="2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recognized income of $787.8 million (pretax), or $0.43 per share, related to the early payment of the exenatide revenue-sharing obligation following the completion of Amylin's acquisition by Bristol-Myers Squibb.</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recognized asset impairment, restructuring, and other special charges of $281.1 million (pretax), or $0.16 per share, consisting of an intangible asset impairment related to liprotamase, restructuring charges related to initiatives to reduce our cost structure and global workforce, charges associated with the decision to stop development of a delivery device platform, and charges related to changes in returns reserve estimates for the withdrawal of Xigris</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worldwide revenue for 2013 was $23.11 billion, a 2 percent increase compared with 2012 as an increase of 5 percent due to higher prices was partially offset by a decrease of 2 percent due to the unfavorable impact of foreign exchange rates and a 1 percent decrease due to lower volume. Total revenue in the U.S. increased 5 percent, to $ 12.89 billion, due to higher prices, partially offset by volume declines for Cymbalta and Zyprexa due to the loss of patent exclusivity. Revenue outside the U.S. decreased 1 percent, to $10.22 billion, due primarily to the unfavorable impact of the continued weakness of the Japanese yen and, to a lesser extent, lower prices, partially offset by increased volume.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w:t>
      </w:r>
    </w:p>
    <w:p>
      <w:pPr>
        <w:sectPr>
          <w:pgSz w:w="11900" w:h="16838" w:orient="portrait"/>
          <w:cols w:equalWidth="0" w:num="1">
            <w:col w:w="11380"/>
          </w:cols>
          <w:pgMar w:left="240" w:top="576"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summarizes our revenue activity in 2013 compared with 2012:</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760" w:type="dxa"/>
            <w:vAlign w:val="bottom"/>
          </w:tcPr>
          <w:p>
            <w:pPr>
              <w:spacing w:after="0"/>
              <w:rPr>
                <w:sz w:val="16"/>
                <w:szCs w:val="16"/>
                <w:color w:val="auto"/>
              </w:rPr>
            </w:pPr>
          </w:p>
        </w:tc>
      </w:tr>
      <w:tr>
        <w:trPr>
          <w:trHeight w:val="188"/>
        </w:trPr>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2012</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Change from</w:t>
            </w:r>
          </w:p>
        </w:tc>
      </w:tr>
      <w:tr>
        <w:trPr>
          <w:trHeight w:val="270"/>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2012</w:t>
            </w:r>
          </w:p>
        </w:tc>
      </w:tr>
      <w:tr>
        <w:trPr>
          <w:trHeight w:val="258"/>
        </w:trPr>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4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6"/>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3,960.8</w:t>
            </w:r>
          </w:p>
        </w:tc>
        <w:tc>
          <w:tcPr>
            <w:tcW w:w="280" w:type="dxa"/>
            <w:vAlign w:val="bottom"/>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1,123.6</w:t>
            </w:r>
          </w:p>
        </w:tc>
        <w:tc>
          <w:tcPr>
            <w:tcW w:w="36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5,084.4</w:t>
            </w:r>
          </w:p>
        </w:tc>
        <w:tc>
          <w:tcPr>
            <w:tcW w:w="300" w:type="dxa"/>
            <w:vAlign w:val="bottom"/>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4,994.1</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2</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1,209.1</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1,493.9</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2,703.0</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2,594.3</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4</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1,521.4</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1,089.8</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2,611.2</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2,395.5</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9</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942.8</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1,216.6</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2,159.4</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1,926.8</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12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677.2</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638.6</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1,315.8</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1,239.1</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6</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511.4</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733.5</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1,244.9</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1,151.0</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8</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123.6</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1,071.2</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1,194.8</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1,701.4</w:t>
            </w:r>
          </w:p>
        </w:tc>
        <w:tc>
          <w:tcPr>
            <w:tcW w:w="176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(30)</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772.0</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278.4</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1,050.4</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1,010.1</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4</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446.3</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262.9</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709.2</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621.4</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14</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376.9</w:t>
            </w:r>
          </w:p>
        </w:tc>
        <w:tc>
          <w:tcPr>
            <w:tcW w:w="280" w:type="dxa"/>
            <w:vAlign w:val="bottom"/>
          </w:tcPr>
          <w:p>
            <w:pPr>
              <w:spacing w:after="0"/>
              <w:rPr>
                <w:sz w:val="22"/>
                <w:szCs w:val="22"/>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131.8</w:t>
            </w:r>
          </w:p>
        </w:tc>
        <w:tc>
          <w:tcPr>
            <w:tcW w:w="36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508.7</w:t>
            </w:r>
          </w:p>
        </w:tc>
        <w:tc>
          <w:tcPr>
            <w:tcW w:w="3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457.2</w:t>
            </w:r>
          </w:p>
        </w:tc>
        <w:tc>
          <w:tcPr>
            <w:tcW w:w="1760" w:type="dxa"/>
            <w:vAlign w:val="bottom"/>
          </w:tcPr>
          <w:p>
            <w:pPr>
              <w:jc w:val="right"/>
              <w:ind w:right="353"/>
              <w:spacing w:after="0"/>
              <w:rPr>
                <w:sz w:val="20"/>
                <w:szCs w:val="20"/>
                <w:color w:val="auto"/>
              </w:rPr>
            </w:pPr>
            <w:r>
              <w:rPr>
                <w:rFonts w:ascii="Arial" w:cs="Arial" w:eastAsia="Arial" w:hAnsi="Arial"/>
                <w:sz w:val="18"/>
                <w:szCs w:val="18"/>
                <w:color w:val="auto"/>
              </w:rPr>
              <w:t>11</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pharmaceutical products</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639.5</w:t>
            </w:r>
          </w:p>
        </w:tc>
        <w:tc>
          <w:tcPr>
            <w:tcW w:w="2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1,032.8</w:t>
            </w:r>
          </w:p>
        </w:tc>
        <w:tc>
          <w:tcPr>
            <w:tcW w:w="3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1,672.3</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1,843.0</w:t>
            </w:r>
          </w:p>
        </w:tc>
        <w:tc>
          <w:tcPr>
            <w:tcW w:w="176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(9)</w:t>
            </w:r>
          </w:p>
        </w:tc>
      </w:tr>
      <w:tr>
        <w:trPr>
          <w:trHeight w:val="264"/>
        </w:trPr>
        <w:tc>
          <w:tcPr>
            <w:tcW w:w="39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1,226.6</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924.9</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2,151.5</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2,036.5</w:t>
            </w:r>
          </w:p>
        </w:tc>
        <w:tc>
          <w:tcPr>
            <w:tcW w:w="176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6</w:t>
            </w:r>
          </w:p>
        </w:tc>
      </w:tr>
      <w:tr>
        <w:trPr>
          <w:trHeight w:val="270"/>
        </w:trPr>
        <w:tc>
          <w:tcPr>
            <w:tcW w:w="39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Total net product sales</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12,407.6</w:t>
            </w:r>
          </w:p>
        </w:tc>
        <w:tc>
          <w:tcPr>
            <w:tcW w:w="2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9,998.0</w:t>
            </w:r>
          </w:p>
        </w:tc>
        <w:tc>
          <w:tcPr>
            <w:tcW w:w="3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22,405.6</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21,970.4</w:t>
            </w:r>
          </w:p>
        </w:tc>
        <w:tc>
          <w:tcPr>
            <w:tcW w:w="176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2</w:t>
            </w:r>
          </w:p>
        </w:tc>
      </w:tr>
      <w:tr>
        <w:trPr>
          <w:trHeight w:val="270"/>
        </w:trPr>
        <w:tc>
          <w:tcPr>
            <w:tcW w:w="39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225.4</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707.5</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633.0</w:t>
            </w:r>
          </w:p>
        </w:tc>
        <w:tc>
          <w:tcPr>
            <w:tcW w:w="1760" w:type="dxa"/>
            <w:vAlign w:val="bottom"/>
            <w:tcBorders>
              <w:bottom w:val="single" w:sz="8" w:color="D8D8D8"/>
            </w:tcBorders>
          </w:tcPr>
          <w:p>
            <w:pPr>
              <w:jc w:val="right"/>
              <w:ind w:right="353"/>
              <w:spacing w:after="0"/>
              <w:rPr>
                <w:sz w:val="20"/>
                <w:szCs w:val="20"/>
                <w:color w:val="auto"/>
              </w:rPr>
            </w:pPr>
            <w:r>
              <w:rPr>
                <w:rFonts w:ascii="Arial" w:cs="Arial" w:eastAsia="Arial" w:hAnsi="Arial"/>
                <w:sz w:val="18"/>
                <w:szCs w:val="18"/>
                <w:color w:val="auto"/>
              </w:rPr>
              <w:t>12</w:t>
            </w:r>
          </w:p>
        </w:tc>
      </w:tr>
      <w:tr>
        <w:trPr>
          <w:trHeight w:val="271"/>
        </w:trPr>
        <w:tc>
          <w:tcPr>
            <w:tcW w:w="39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12,889.7</w:t>
            </w:r>
          </w:p>
        </w:tc>
        <w:tc>
          <w:tcPr>
            <w:tcW w:w="28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10,223.4</w:t>
            </w:r>
          </w:p>
        </w:tc>
        <w:tc>
          <w:tcPr>
            <w:tcW w:w="36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23,113.1</w:t>
            </w:r>
          </w:p>
        </w:tc>
        <w:tc>
          <w:tcPr>
            <w:tcW w:w="30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22,603.4</w:t>
            </w:r>
          </w:p>
        </w:tc>
        <w:tc>
          <w:tcPr>
            <w:tcW w:w="176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8"/>
                <w:szCs w:val="18"/>
                <w:color w:val="auto"/>
              </w:rPr>
              <w:t>2</w:t>
            </w:r>
          </w:p>
        </w:tc>
      </w:tr>
    </w:tbl>
    <w:p>
      <w:pPr>
        <w:spacing w:after="0" w:line="5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U.S. revenue includes revenue in Puerto Rico.</w:t>
      </w:r>
    </w:p>
    <w:p>
      <w:pPr>
        <w:spacing w:after="0" w:line="98" w:lineRule="exact"/>
        <w:rPr>
          <w:sz w:val="20"/>
          <w:szCs w:val="20"/>
          <w:color w:val="auto"/>
        </w:rPr>
      </w:pPr>
    </w:p>
    <w:p>
      <w:pPr>
        <w:ind w:left="180" w:right="160" w:hanging="172"/>
        <w:spacing w:after="0" w:line="225" w:lineRule="auto"/>
        <w:tabs>
          <w:tab w:leader="none" w:pos="1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Collaboration and other revenue in 2013 consists primarily of royalties for Erbitux and revenue associated with Trajenta. Collaboration and other revenue in 2012 also includes revenue associated with exenatide in the United States.</w:t>
      </w:r>
    </w:p>
    <w:p>
      <w:pPr>
        <w:spacing w:after="0" w:line="1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Sales of Cymbalta increased 1 percent in the U.S., driven by higher prices, largely offset by lower demand due to the loss of U.S. patent exclusivity in December 2013. Sales outside the U.S. increased 4 percent, driven primarily by increased volume, partially offset by lower prices and the unfavorable impact of foreign exchange rates.</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Sales of Alimta increased 8 percent in the U.S., due to higher prices and increased demand. Sales outside the U.S. increased 1 percent, driven by increased volume, partially offset by the unfavorable impact of foreign exchange rates and lower prices.</w:t>
      </w:r>
    </w:p>
    <w:p>
      <w:pPr>
        <w:spacing w:after="0" w:line="8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Sales of Humalog increased 11 percent in the U.S., driven by higher prices, wholesaler buying patterns, and increased demand. Sales outside the U.S. increased 6 percent, driven by increased volume, partially offset by the unfavorable impact of foreign exchange rates.</w:t>
      </w:r>
    </w:p>
    <w:p>
      <w:pPr>
        <w:spacing w:after="0" w:line="8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Sales of Cialis increased 21 percent in the U.S., driven by higher prices. Sales outside the U.S. increased 6 percent, driven by higher prices and increased volume, partially offset by the unfavorable impact of foreign exchange rates.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Sales of Humulin increased 14 percent in the U.S., driven by higher prices, partially offset by decreased demand. Sales outside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decreased 1 percent, driven by the unfavorable impact of foreign exchange rates, partially offset by increased volume.</w:t>
      </w:r>
    </w:p>
    <w:p>
      <w:pPr>
        <w:spacing w:after="0" w:line="117"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Sales of Forteo increased 5 percent in the U.S., driven primarily by higher prices. Sales outside the U.S. increased 11 percent, due to increased volume, primarily in Japan, partially offset by the unfavorable impact of foreign exchange rates.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Sales of Zyprexa decreased 66 percent in the U.S. due to continued erosion following patent expiration in late 2011. Sales outside the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decreased 20 percent, driven by the unfavorable effect of foreign exchange rates, lower volume in markets outside of Japan, and lower prices.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41</w:t>
      </w:r>
    </w:p>
    <w:p>
      <w:pPr>
        <w:sectPr>
          <w:pgSz w:w="11900" w:h="16838" w:orient="portrait"/>
          <w:cols w:equalWidth="0" w:num="1">
            <w:col w:w="11420"/>
          </w:cols>
          <w:pgMar w:left="240" w:top="706" w:right="239" w:bottom="1440" w:gutter="0" w:footer="0" w:header="0"/>
        </w:sectPr>
      </w:pPr>
    </w:p>
    <w:bookmarkStart w:id="41" w:name="page42"/>
    <w:bookmarkEnd w:id="41"/>
    <w:p>
      <w:pPr>
        <w:ind w:right="420"/>
        <w:spacing w:after="0" w:line="256" w:lineRule="auto"/>
        <w:rPr>
          <w:sz w:val="20"/>
          <w:szCs w:val="20"/>
          <w:color w:val="auto"/>
        </w:rPr>
      </w:pPr>
      <w:r>
        <w:rPr>
          <w:rFonts w:ascii="Arial" w:cs="Arial" w:eastAsia="Arial" w:hAnsi="Arial"/>
          <w:sz w:val="18"/>
          <w:szCs w:val="18"/>
          <w:color w:val="auto"/>
        </w:rPr>
        <w:t>Sales of Evista increased 10 percent in the U.S., driven by higher prices, partially offset by decreased demand. Sales outside the U.S. decreased 10 percent, driven by the unfavorable impact of foreign exchange rates and lower prices, partially offset by increased volume in Japan.</w:t>
      </w:r>
    </w:p>
    <w:p>
      <w:pPr>
        <w:spacing w:after="0" w:line="9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Sales of Strattera increased 16 percent in the U.S., driven primarily by higher prices. Sales outside the U.S. increased 11 percent, driven primarily by increased volume in Japan, partially offset by lower prices and the unfavorable impact of foreign exchange rates.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Sales of Effient increased 11 percent in the U.S., driven primarily by higher prices. Sales outside the U.S. increased 12 percent, driven primarily by increased volume.</w:t>
      </w:r>
    </w:p>
    <w:p>
      <w:pPr>
        <w:spacing w:after="0" w:line="8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Animal health product sales in the U.S. increased 6 percent driven primarily by increased volume for Trifexis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to a lesser extent, higher prices. Sales outside the U.S. increased 6 percent, driven by increased volume and, to a lesser extent, higher prices, partially offset by the unfavorable impact of foreign exchange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Gross margin as a percent of total revenue remained at 78.8 percent in 2013 as higher prices were offset by the adverse impact of foreign exchange rates on international inventories sold, which significantly decreased the cost of sales in 2012.</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Marketing, selling, and administrative expenses decreased 5 percent to $7.13 billion in 2013, driven primarily by lower selling and marketing expenses resulting from ongoing cost-containment efforts, including a reduction in U.S. sales and marketing activities in anticipation of the loss of patent exclusivity for Cymbalta and Evista, as well as the impact of foreign exchange rates.</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Research and development expenses increased 5 percent to $5.53 billion in 2013, due to higher research and clinical development expenses, including $97.2 million of milestone payments made to Boehringer Ingelheim following regulatory submissions for empagliflozin.</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recognized an acquired IPR&amp;D charge of $57.1 million in 2013 resulting from our acquisition of a CGRP antibody. There were no acquired IPR&amp;D charges in 2012. See Note 3 to the consolidated financial statements for additional information.</w:t>
      </w:r>
    </w:p>
    <w:p>
      <w:pPr>
        <w:spacing w:after="0" w:line="8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recognized asset impairment, restructuring, and other special charges of $120.6 million in 2013. These charges included $30.0 million of asset impairments primarily associated with the anticipated closure of a packaging and distribution facility in Germany, and $90.6 million of severance costs to reduce our cost structure and global workforce. In 2012, we recognized asset impairment, restructuring, and other special charges of $281.1 million. These charges included $122.6 million related to an intangible asset impairment for liprotamase, $74.5 million related to restructuring to reduce our cost structure and global workforce, $64.0 million related to the asset impairment of a delivery device platform, and $20.0 million related to the withdrawal of Xigris. See Note 5 to the consolidated financial statements for additional information.</w:t>
      </w:r>
    </w:p>
    <w:p>
      <w:pPr>
        <w:spacing w:after="0" w:line="1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Other—net, (income) expense was income of $518.9 million in 2013, compared with income of $674.0 million in 2012. The decrease was driven primarily by lower income related to the termination of the exenatide collaboration with Amylin of $495.4 million in 2013 compared with $787.8 million in 2012, partially offset by milestone payments received from Boehringer Ingelheim for regulatory submissions in the U.S., Europe, and Japan. See Notes 4 and 17 to the consolidated financial statements for additional information.</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effective tax rate was 20.5 percent in 2013, compared with 24.4 percent in 2012. The 2012 effective tax rate reflected the expiration of the R&amp;D tax credit at the end of 2011 and the tax impact of the payment received from Amylin, partially offset by the tax benefit related to the intangible asset impairment for liprotamase. The decrease in the 2013 effective tax rate reflects the reinstatement of the R&amp;D tax credit in the U.S. effective January 1, 2013 as well as the one-time impact of the reinstatement of the R&amp;D tax credit for 2012 that was recorded in the first quarter of 2013. See Note 13 to the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CONDITION</w:t>
      </w:r>
    </w:p>
    <w:p>
      <w:pPr>
        <w:spacing w:after="0" w:line="193"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As of December 31, 2014, cash and cash equivalents remained essentially unchanged at $3.87 billion compared with $3.83 billion at December 31, 2013. Significant sources of cash included cash flows from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w:t>
      </w:r>
    </w:p>
    <w:p>
      <w:pPr>
        <w:sectPr>
          <w:pgSz w:w="11900" w:h="16838" w:orient="portrait"/>
          <w:cols w:equalWidth="0" w:num="1">
            <w:col w:w="11420"/>
          </w:cols>
          <w:pgMar w:left="240" w:top="706" w:right="239" w:bottom="1440" w:gutter="0" w:footer="0" w:header="0"/>
        </w:sectPr>
      </w:pPr>
    </w:p>
    <w:bookmarkStart w:id="42" w:name="page43"/>
    <w:bookmarkEnd w:id="42"/>
    <w:p>
      <w:pPr>
        <w:ind w:right="20"/>
        <w:spacing w:after="0" w:line="252" w:lineRule="auto"/>
        <w:rPr>
          <w:sz w:val="20"/>
          <w:szCs w:val="20"/>
          <w:color w:val="auto"/>
        </w:rPr>
      </w:pPr>
      <w:r>
        <w:rPr>
          <w:rFonts w:ascii="Arial" w:cs="Arial" w:eastAsia="Arial" w:hAnsi="Arial"/>
          <w:sz w:val="18"/>
          <w:szCs w:val="18"/>
          <w:color w:val="auto"/>
        </w:rPr>
        <w:t>operations of $4.37 billion, net proceeds from investment transactions of $ 3.62 billion, and net proceeds from the issuance of short- and long-term debt of $2.64 billion. Significant uses of cash included dividends paid of $2.10 billion, purchases of property and equipment of $1.16 billion, share repurchases of $800.0 million, and the acquisition of Lohmann AH which amounted to $551.4 million. We also held $5.41 billion of cash in escrow associated with the pending close of the Novartis AH acquisition which was reflected as restricted cash as of December 31, 2014. In January 2015, we completed our acquisition of Novartis AH for approximately $5.4 billion in an all-cash transaction. See "Executive Overview—Other Matters" for additional details.</w:t>
      </w:r>
    </w:p>
    <w:p>
      <w:pPr>
        <w:spacing w:after="0" w:line="101"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$5.52 billion and $9.19 billion as of December 31, 2014 and December 31, 2013, respectively. See Note 7 to the consolidated financial statements for additional details.</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December 31, 2014, total debt was $ 8.06 billion, an increase of $2.84 billion compared with $ 5.21 billion at December 31, 2013. The increase is due primarily to the increase in short-term commercial paper borrowings of $2.68 billion used primarily to finance the acquisition of Novartis AH. At December 31, 2014, we had a total of $3.31 billion of unused committed bank credit facilities, $3.20 billion of which is available to support our commercial paper program. Subject to market conditions, we intend to replace the majority of our commercial paper borrowings with fixed-rate long term notes in the first half of 2015. See Note 10 to the consolidated financial statements for additional details. We believe that amounts accessible through existing commercial paper markets should be adequate to fund short-term borrowing needs.</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130th consecutive year, we distributed dividends to our shareholders. Dividends of $1.96 per share were paid in both 2014 and 2013. In the fourth quarter of 2014, effective for the dividend to be paid in the first quarter of 2015, the quarterly dividend was increased to $0.50 per share, resulting in an indicated annual rate for 2015 of $2.00 per share.</w:t>
      </w:r>
    </w:p>
    <w:p>
      <w:pPr>
        <w:spacing w:after="0" w:line="94"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color w:val="auto"/>
        </w:rPr>
        <w:t>Capital expenditures of $1.16 billion during 2014 were $150.5 million more than in 2013. We expect 2015 capital expenditures to be approximately $1.3 billion.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 2014, we repurchased $800.0 million of shares under the $5.00 billion share repurchase program previously announced in October 2013.</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See "Executive Overview—Other Matters" for information regarding recent and upcoming losses of patent protection for Cymbalta (U.S. and Europe), Evista (U.S.), Alimta (U.S., Europe, and Japan), and Zyprexa (Japan).</w:t>
      </w:r>
    </w:p>
    <w:p>
      <w:pPr>
        <w:spacing w:after="0" w:line="8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At December 31, 2014, we had an aggregate of $8.54 billion of cash and investments at our foreign subsidiaries. A significant portion of this amount would be subject to tax payments if such cash and investments were repatriated to the United States. We record U.S. deferred tax liabilities for certain unremitted earnings, but when foreign earnings are expected to be indefinitely reinvested outside the U.S., no accrual for U.S. income taxes is provided. We believe cash provided by operating activities in the U.S. and planned repatriations of foreign earnings for which tax has been provided should be sufficient to fund our domestic operating needs, dividends paid to shareholders, share repurchases, and capital expenditures. Various risks and uncertainties, including those discussed in "Forward-Looking Statements" and Item 1A, “Risk Factors,” may affect our operating results and cash generated from operations.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normal course of business, our operations are exposed to fluctuations in interest rates and currency values. These fluctuations can vary the costs of financing, investing, and operating. We address a portion of these risks through a controlled program of risk management that includes the use of derivative financial instruments. The objective of controlling these risks is to limit the impact on earnings of fluctuations in interest and currency exchange rates. All derivative activities are for purposes other than trading.</w:t>
      </w:r>
    </w:p>
    <w:p>
      <w:pPr>
        <w:spacing w:after="0" w:line="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2014 and 2013, including derivatives and other interest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43</w:t>
      </w:r>
    </w:p>
    <w:p>
      <w:pPr>
        <w:sectPr>
          <w:pgSz w:w="11900" w:h="16838" w:orient="portrait"/>
          <w:cols w:equalWidth="0" w:num="1">
            <w:col w:w="11420"/>
          </w:cols>
          <w:pgMar w:left="240" w:top="760" w:right="239" w:bottom="1440" w:gutter="0" w:footer="0" w:header="0"/>
        </w:sectPr>
      </w:pPr>
    </w:p>
    <w:bookmarkStart w:id="43" w:name="page44"/>
    <w:bookmarkEnd w:id="43"/>
    <w:p>
      <w:pPr>
        <w:ind w:right="580"/>
        <w:spacing w:after="0" w:line="256" w:lineRule="auto"/>
        <w:rPr>
          <w:sz w:val="20"/>
          <w:szCs w:val="20"/>
          <w:color w:val="auto"/>
        </w:rPr>
      </w:pPr>
      <w:r>
        <w:rPr>
          <w:rFonts w:ascii="Arial" w:cs="Arial" w:eastAsia="Arial" w:hAnsi="Arial"/>
          <w:sz w:val="18"/>
          <w:szCs w:val="18"/>
          <w:color w:val="auto"/>
        </w:rPr>
        <w:t>rate risk-sensitive instruments, a hypothetical 10 percent change in interest rates applied to the fair value of the instruments as of December 31, 2014 and 2013, respectively, would not have a material impact on earnings, cash flows, or fair values of interest rate risk-sensitive instruments over a one-year period.</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Chinese yuan, and the Japanese yen, and the British pound against the euro. We face foreign currency exchange exposures primarily when we enter into transactions, generally on an intercompany basis, denominated in currencies other than the functional currency of the entity.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the British pound, and the Japanese yen). Our policy outlines the minimum and maximum hedge coverage of such exposures. Gains and losses on these derivative contracts offset, in part, the impact of currency fluctuations on the existing assets and liabilities. We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2014 and 2013,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pharmaceutical product in the event that regulatory approval for marketing is obtained. Because of the contingent nature of these payments, they are not included in the table of contractual obligations below.</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Individually, these arrangements are not material in any one annual reporting period. However, if milestones for multiple products covered by these arrangements would happen to be reached in the same reporting period, the aggregate charge to expense could be material to the results of operations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w:t>
      </w:r>
    </w:p>
    <w:p>
      <w:pPr>
        <w:sectPr>
          <w:pgSz w:w="11900" w:h="16838" w:orient="portrait"/>
          <w:cols w:equalWidth="0" w:num="1">
            <w:col w:w="11400"/>
          </w:cols>
          <w:pgMar w:left="240" w:top="70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Our current noncancelable contractual obligations that will require future cash payments are as follows (in millions):</w:t>
      </w:r>
    </w:p>
    <w:p>
      <w:pPr>
        <w:spacing w:after="0" w:line="267"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26035</wp:posOffset>
            </wp:positionV>
            <wp:extent cx="426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49" w:lineRule="exact"/>
        <w:rPr>
          <w:sz w:val="20"/>
          <w:szCs w:val="20"/>
          <w:color w:val="auto"/>
        </w:rPr>
      </w:pPr>
    </w:p>
    <w:p>
      <w:pPr>
        <w:jc w:val="right"/>
        <w:ind w:right="300"/>
        <w:spacing w:after="0"/>
        <w:tabs>
          <w:tab w:leader="none" w:pos="3160" w:val="left"/>
          <w:tab w:leader="none" w:pos="1800" w:val="left"/>
          <w:tab w:leader="none" w:pos="700" w:val="left"/>
        </w:tabs>
        <w:rPr>
          <w:sz w:val="20"/>
          <w:szCs w:val="20"/>
          <w:color w:val="auto"/>
        </w:rPr>
      </w:pPr>
      <w:r>
        <w:rPr>
          <w:rFonts w:ascii="Arial" w:cs="Arial" w:eastAsia="Arial" w:hAnsi="Arial"/>
          <w:sz w:val="14"/>
          <w:szCs w:val="14"/>
          <w:b w:val="1"/>
          <w:bCs w:val="1"/>
          <w:color w:val="auto"/>
        </w:rPr>
        <w:t>Less Than</w:t>
      </w:r>
      <w:r>
        <w:rPr>
          <w:sz w:val="20"/>
          <w:szCs w:val="20"/>
          <w:color w:val="auto"/>
        </w:rPr>
        <w:tab/>
      </w: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b w:val="1"/>
          <w:bCs w:val="1"/>
          <w:color w:val="auto"/>
        </w:rPr>
        <w:t>More Than</w:t>
      </w:r>
    </w:p>
    <w:p>
      <w:pPr>
        <w:spacing w:after="0" w:line="19" w:lineRule="exact"/>
        <w:rPr>
          <w:sz w:val="20"/>
          <w:szCs w:val="20"/>
          <w:color w:val="auto"/>
        </w:rPr>
      </w:pPr>
    </w:p>
    <w:p>
      <w:pPr>
        <w:ind w:left="5140"/>
        <w:spacing w:after="0"/>
        <w:tabs>
          <w:tab w:leader="none" w:pos="6440" w:val="left"/>
          <w:tab w:leader="none" w:pos="7820" w:val="left"/>
          <w:tab w:leader="none" w:pos="9180" w:val="left"/>
          <w:tab w:leader="none" w:pos="1050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1 Year</w:t>
      </w:r>
      <w:r>
        <w:rPr>
          <w:sz w:val="20"/>
          <w:szCs w:val="20"/>
          <w:color w:val="auto"/>
        </w:rPr>
        <w:tab/>
      </w:r>
      <w:r>
        <w:rPr>
          <w:rFonts w:ascii="Arial" w:cs="Arial" w:eastAsia="Arial" w:hAnsi="Arial"/>
          <w:sz w:val="14"/>
          <w:szCs w:val="14"/>
          <w:b w:val="1"/>
          <w:bCs w:val="1"/>
          <w:color w:val="auto"/>
        </w:rPr>
        <w:t>Years</w:t>
      </w:r>
      <w:r>
        <w:rPr>
          <w:sz w:val="20"/>
          <w:szCs w:val="20"/>
          <w:color w:val="auto"/>
        </w:rPr>
        <w:tab/>
      </w:r>
      <w:r>
        <w:rPr>
          <w:rFonts w:ascii="Arial" w:cs="Arial" w:eastAsia="Arial" w:hAnsi="Arial"/>
          <w:sz w:val="14"/>
          <w:szCs w:val="14"/>
          <w:b w:val="1"/>
          <w:bCs w:val="1"/>
          <w:color w:val="auto"/>
        </w:rPr>
        <w:t>Years</w:t>
      </w:r>
      <w:r>
        <w:rPr>
          <w:sz w:val="20"/>
          <w:szCs w:val="20"/>
          <w:color w:val="auto"/>
        </w:rPr>
        <w:tab/>
      </w:r>
      <w:r>
        <w:rPr>
          <w:rFonts w:ascii="Arial" w:cs="Arial" w:eastAsia="Arial" w:hAnsi="Arial"/>
          <w:sz w:val="14"/>
          <w:szCs w:val="14"/>
          <w:b w:val="1"/>
          <w:bCs w:val="1"/>
          <w:color w:val="auto"/>
        </w:rPr>
        <w:t>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4620" w:type="dxa"/>
            <w:vAlign w:val="bottom"/>
          </w:tcPr>
          <w:p>
            <w:pPr>
              <w:spacing w:after="0"/>
              <w:rPr>
                <w:sz w:val="20"/>
                <w:szCs w:val="20"/>
                <w:color w:val="auto"/>
              </w:rPr>
            </w:pPr>
            <w:r>
              <w:rPr>
                <w:rFonts w:ascii="Arial" w:cs="Arial" w:eastAsia="Arial" w:hAnsi="Arial"/>
                <w:sz w:val="18"/>
                <w:szCs w:val="18"/>
                <w:color w:val="auto"/>
              </w:rPr>
              <w:t>Long-term debt, including interest payments</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18"/>
                <w:szCs w:val="18"/>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3"/>
                <w:szCs w:val="23"/>
                <w:color w:val="auto"/>
              </w:rPr>
            </w:pPr>
          </w:p>
        </w:tc>
      </w:tr>
      <w:tr>
        <w:trPr>
          <w:trHeight w:val="321"/>
        </w:trPr>
        <w:tc>
          <w:tcPr>
            <w:tcW w:w="4620" w:type="dxa"/>
            <w:vAlign w:val="bottom"/>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140" w:type="dxa"/>
            <w:vAlign w:val="bottom"/>
          </w:tcPr>
          <w:p>
            <w:pPr>
              <w:spacing w:after="0"/>
              <w:rPr>
                <w:sz w:val="24"/>
                <w:szCs w:val="24"/>
                <w:color w:val="auto"/>
              </w:rPr>
            </w:pPr>
          </w:p>
        </w:tc>
      </w:tr>
      <w:tr>
        <w:trPr>
          <w:trHeight w:val="272"/>
        </w:trPr>
        <w:tc>
          <w:tcPr>
            <w:tcW w:w="4620" w:type="dxa"/>
            <w:vAlign w:val="bottom"/>
          </w:tcPr>
          <w:p>
            <w:pPr>
              <w:spacing w:after="0"/>
              <w:rPr>
                <w:sz w:val="20"/>
                <w:szCs w:val="20"/>
                <w:color w:val="auto"/>
              </w:rPr>
            </w:pPr>
            <w:r>
              <w:rPr>
                <w:rFonts w:ascii="Arial" w:cs="Arial" w:eastAsia="Arial" w:hAnsi="Arial"/>
                <w:sz w:val="18"/>
                <w:szCs w:val="18"/>
                <w:color w:val="auto"/>
                <w:w w:val="99"/>
              </w:rPr>
              <w:t>Other long-term liabilities reflected on our balance sheet</w:t>
            </w:r>
            <w:r>
              <w:rPr>
                <w:rFonts w:ascii="Arial" w:cs="Arial" w:eastAsia="Arial" w:hAnsi="Arial"/>
                <w:sz w:val="21"/>
                <w:szCs w:val="21"/>
                <w:color w:val="auto"/>
                <w:w w:val="99"/>
                <w:vertAlign w:val="superscript"/>
              </w:rPr>
              <w:t>(3)</w:t>
            </w:r>
          </w:p>
        </w:tc>
        <w:tc>
          <w:tcPr>
            <w:tcW w:w="140" w:type="dxa"/>
            <w:vAlign w:val="bottom"/>
          </w:tcPr>
          <w:p>
            <w:pPr>
              <w:spacing w:after="0"/>
              <w:rPr>
                <w:sz w:val="23"/>
                <w:szCs w:val="23"/>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2,680.6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2,680.6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8,168.6</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185.9</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1,588.7</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1,143.3</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5,250.7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28.8</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602.4</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126.3</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w w:val="96"/>
              </w:rPr>
              <w:t>11,166.8</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9,957.5</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782.1</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420.6</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3,219.9</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790.7</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2,137.5</w:t>
            </w:r>
          </w:p>
        </w:tc>
      </w:tr>
      <w:tr>
        <w:trPr>
          <w:trHeight w:val="284"/>
        </w:trPr>
        <w:tc>
          <w:tcPr>
            <w:tcW w:w="840" w:type="dxa"/>
            <w:vAlign w:val="bottom"/>
          </w:tcPr>
          <w:p>
            <w:pPr>
              <w:jc w:val="right"/>
              <w:ind w:right="50"/>
              <w:spacing w:after="0"/>
              <w:rPr>
                <w:sz w:val="20"/>
                <w:szCs w:val="20"/>
                <w:color w:val="auto"/>
              </w:rPr>
            </w:pPr>
            <w:r>
              <w:rPr>
                <w:rFonts w:ascii="Arial" w:cs="Arial" w:eastAsia="Arial" w:hAnsi="Arial"/>
                <w:sz w:val="18"/>
                <w:szCs w:val="18"/>
                <w:color w:val="auto"/>
                <w:w w:val="96"/>
              </w:rPr>
              <w:t>25,867.1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12,973.0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3,392.9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1,985.7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-857250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-513715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7229475"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4800" w:space="320"/>
            <w:col w:w="6300"/>
          </w:cols>
          <w:pgMar w:left="240" w:top="706" w:right="239" w:bottom="1440" w:gutter="0" w:footer="0" w:header="0"/>
          <w:type w:val="continuous"/>
        </w:sectPr>
      </w:pPr>
    </w:p>
    <w:p>
      <w:pPr>
        <w:ind w:left="180" w:right="60" w:hanging="172"/>
        <w:spacing w:after="0" w:line="209" w:lineRule="auto"/>
        <w:tabs>
          <w:tab w:leader="none" w:pos="1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Our long-term debt obligations include both our expected principal and interest obligations and our interest rate swaps. We used the interest rate forward curve at December 31, 2014, to compute the amount of the contractual obligation for interest on the variable rate debt instruments and swaps.</w:t>
      </w:r>
    </w:p>
    <w:p>
      <w:pPr>
        <w:spacing w:after="0" w:line="7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We have included the following:</w:t>
      </w:r>
    </w:p>
    <w:p>
      <w:pPr>
        <w:spacing w:after="0" w:line="97" w:lineRule="exact"/>
        <w:rPr>
          <w:rFonts w:ascii="Arial" w:cs="Arial" w:eastAsia="Arial" w:hAnsi="Arial"/>
          <w:sz w:val="18"/>
          <w:szCs w:val="18"/>
          <w:color w:val="auto"/>
          <w:vertAlign w:val="superscript"/>
        </w:rPr>
      </w:pPr>
    </w:p>
    <w:p>
      <w:pPr>
        <w:ind w:left="820" w:right="380" w:hanging="326"/>
        <w:spacing w:after="0" w:line="258" w:lineRule="auto"/>
        <w:tabs>
          <w:tab w:leader="none" w:pos="8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Purchase obligations consisting primarily of all open purchase orders as of December 31, 2014. Some of these purchase orders may be cancelable; however, for purposes of this disclosure, we have not distinguished between cancelable and noncancelable purchase obligations.</w:t>
      </w:r>
    </w:p>
    <w:p>
      <w:pPr>
        <w:spacing w:after="0" w:line="86" w:lineRule="exact"/>
        <w:rPr>
          <w:rFonts w:ascii="Arial" w:cs="Arial" w:eastAsia="Arial" w:hAnsi="Arial"/>
          <w:sz w:val="14"/>
          <w:szCs w:val="14"/>
          <w:color w:val="auto"/>
        </w:rPr>
      </w:pPr>
    </w:p>
    <w:p>
      <w:pPr>
        <w:ind w:left="820" w:hanging="326"/>
        <w:spacing w:after="0"/>
        <w:tabs>
          <w:tab w:leader="none" w:pos="8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Contractual payment obligations with each of our significant vendors, which are noncancelable and are not contingent.</w:t>
      </w:r>
    </w:p>
    <w:p>
      <w:pPr>
        <w:spacing w:after="0" w:line="109" w:lineRule="exact"/>
        <w:rPr>
          <w:sz w:val="20"/>
          <w:szCs w:val="20"/>
          <w:color w:val="auto"/>
        </w:rPr>
      </w:pPr>
    </w:p>
    <w:p>
      <w:pPr>
        <w:ind w:left="180" w:right="280" w:hanging="172"/>
        <w:spacing w:after="0" w:line="218" w:lineRule="auto"/>
        <w:tabs>
          <w:tab w:leader="none" w:pos="18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We have included long-term liabilities consisting primarily of our nonqualified supplemental pension funding requirements and deferred compensation liabilities. We excluded long-term income taxes payable of $998.5 million, because we cannot reasonably estimate the timing of future cash outflows associated with those liabilities.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contractual obligations table is current as of December 31, 2014. We expect the amount of these obligations to change materially over time as new contracts are initiated and existing contracts are completed, terminated, or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rebates, and discounts are established in the same period the related sales are recorded.</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45</w:t>
      </w:r>
    </w:p>
    <w:p>
      <w:pPr>
        <w:sectPr>
          <w:pgSz w:w="11900" w:h="16838" w:orient="portrait"/>
          <w:cols w:equalWidth="0" w:num="1">
            <w:col w:w="11420"/>
          </w:cols>
          <w:pgMar w:left="240" w:top="706" w:right="239" w:bottom="1440" w:gutter="0" w:footer="0" w:header="0"/>
          <w:type w:val="continuous"/>
        </w:sectPr>
      </w:pPr>
    </w:p>
    <w:bookmarkStart w:id="45" w:name="page46"/>
    <w:bookmarkEnd w:id="45"/>
    <w:p>
      <w:pPr>
        <w:ind w:right="240"/>
        <w:spacing w:after="0" w:line="252" w:lineRule="auto"/>
        <w:rPr>
          <w:sz w:val="20"/>
          <w:szCs w:val="20"/>
          <w:color w:val="auto"/>
        </w:rPr>
      </w:pPr>
      <w:r>
        <w:rPr>
          <w:rFonts w:ascii="Arial" w:cs="Arial" w:eastAsia="Arial" w:hAnsi="Arial"/>
          <w:sz w:val="18"/>
          <w:szCs w:val="18"/>
          <w:color w:val="auto"/>
        </w:rPr>
        <w:t>redundant holiday stocking, and changes in wholesaler business operations. In the U.S., the current structure of our arrangements does not provide an incentive for speculative wholesaler buying and provides us with data on inventory levels at our wholesalers. When we believe wholesaler purchasing patterns have caused an unusual increase or decrease in the sales of a major product compared with underlying demand, we disclose this in our product sales discussion if we believe the amount is material to the product sales trend; however, we are not always able to accurately quantify the amount of stocking or destocking in the retail channel. Wholesaler stocking and destocking activity historically has not caused any material changes in the rate of actual product returns.</w:t>
      </w:r>
    </w:p>
    <w:p>
      <w:pPr>
        <w:spacing w:after="0" w:line="1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When sales occur, we estimate a reserve for future product returns related to those sales. This estimate is based on several factors, including: historical return rates, expiration date by product (generally, 24 to 36 months after the initial sale of a product to our customer), and estimated levels of inventory in the wholesale and retail channels, among others,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may be required in the future based on revised estimates to our assumptions, which would have an impact on our consolidated results of operations. We record the return amounts as a deduction to arrive at our net product sales. Once the product is returned, it is destroyed. Actual product returns have been less than 2 percent of our net sales over the past three years and have not fluctuated significantly as a percentage of sales. We expect the ratio of actual product returns as a percentage of net sales to increase in future periods as we begin to experience elevated return levels for Cymbalta following the recent loss of patent exclusivity in the U.S. market.</w:t>
      </w:r>
    </w:p>
    <w:p>
      <w:pPr>
        <w:spacing w:after="0" w:line="10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establish sales rebate and discount accruals in the same period as the related sales. The rebate and discount amounts are recorded as a deduction to arrive at our net product sales. Sales rebates and discounts that require the use of judgment in the establishment of the accrual include Medicaid, managed care, Medicare, chargebacks, long-term care, hospital, patient assistance programs, and various other programs. We base these accruals primarily upon our historical rebate and discount payments made to our customer segment groups and the provisions of current rebate and discount contracts.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largest of our sales rebate and discount amounts are rebates associated with sales covered by Medicaid and managed care contracts. In determining the appropriate accrual amount, we consider our historical Medicaid and managed care rebate payments by product as a percentage of our historical sales as well as any significant changes in sales trends (e.g., patent expiries), an evaluation of the current Medicaid and managed care contracts, the percentage of our products that are sold via Medicaid and managed care contracts, and our product pricing. Although we accrue a liability for Medicaid and managed care rebates at the time we record the sale (when the product is shipped), the Medicaid and managed care rebate related to that sale is typically paid up to six months later. Because of this time lag, in any particular period our rebate adjustments may incorporate revisions of accruals for several periods.</w:t>
      </w:r>
    </w:p>
    <w:p>
      <w:pPr>
        <w:spacing w:after="0" w:line="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 best estimate of these rebates, updated as governmental authorities revise budgeted deficits, is recognized in the same period as the related sale. If our estimates are not reflective of the actual pharmaceutical costs incurred by the government, we adjust our rebate reserves.</w:t>
      </w:r>
    </w:p>
    <w:p>
      <w:pPr>
        <w:spacing w:after="0" w:line="9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2014, a 5 percent change in our global sales return, rebate, and discount liability would lead to an approximate $137 million effect on our income before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w:t>
      </w:r>
    </w:p>
    <w:p>
      <w:pPr>
        <w:sectPr>
          <w:pgSz w:w="11900" w:h="16838" w:orient="portrait"/>
          <w:cols w:equalWidth="0" w:num="1">
            <w:col w:w="11420"/>
          </w:cols>
          <w:pgMar w:left="240" w:top="706" w:right="239" w:bottom="1440" w:gutter="0" w:footer="0" w:header="0"/>
        </w:sectPr>
      </w:pPr>
    </w:p>
    <w:bookmarkStart w:id="46" w:name="page47"/>
    <w:bookmarkEnd w:id="46"/>
    <w:p>
      <w:pPr>
        <w:ind w:right="680"/>
        <w:spacing w:after="0" w:line="26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88 percent as of December 31, 2014 and 2013.</w:t>
      </w:r>
    </w:p>
    <w:p>
      <w:pPr>
        <w:spacing w:after="0" w:line="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Medicaid and managed care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70"/>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Sales return, rebate, and discount liabilities, beginning of year</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2,215.5</w:t>
            </w:r>
          </w:p>
        </w:tc>
        <w:tc>
          <w:tcPr>
            <w:tcW w:w="3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1,584.5</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Reduction of net sales due to sales returns, discounts, and rebates</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4,707.8</w:t>
            </w:r>
          </w:p>
        </w:tc>
        <w:tc>
          <w:tcPr>
            <w:tcW w:w="36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4,723.3</w:t>
            </w:r>
          </w:p>
        </w:tc>
      </w:tr>
      <w:tr>
        <w:trPr>
          <w:trHeight w:val="270"/>
        </w:trPr>
        <w:tc>
          <w:tcPr>
            <w:tcW w:w="87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Cash payments of discounts and rebates</w:t>
            </w: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(4,681.9)</w:t>
            </w:r>
          </w:p>
        </w:tc>
        <w:tc>
          <w:tcPr>
            <w:tcW w:w="36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(4,092.3)</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Sales return, rebate, and discount liabilities,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2,241.4</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2,215.5</w:t>
            </w:r>
          </w:p>
        </w:tc>
      </w:tr>
    </w:tbl>
    <w:p>
      <w:pPr>
        <w:spacing w:after="0" w:line="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Adjustments of the estimates for these returns, rebates, and discounts to actual results were less than 1.5 percent of consolidated net sales for each of the years presented.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Product litigation liabilities and other contingencies are, by their nature, uncertain and are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litigation cases,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We estimate these expenses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9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also consider any third-party indemnification we have, including the nature of the indemnification, the financial condition of the indemnifying party, and the possibility of and length of time for collection.</w:t>
      </w:r>
    </w:p>
    <w:p>
      <w:pPr>
        <w:spacing w:after="0" w:line="1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Pension and Retiree Medical Plan Assumptions</w:t>
      </w:r>
    </w:p>
    <w:p>
      <w:pPr>
        <w:spacing w:after="0" w:line="139"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Pension benefit costs include assumptions for the discount rate, retirement age, and expected return on plan assets. Retiree medical plan costs include assumptions for the discount rate, retirement age, expected return on plan assets, and health-care-cost trend rates. These assumptions have a significant effect on the amounts reported. In addition to the analysis below, see Note 14 to the consolidated financial statements for additional information regarding our retirement benefits.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rate of return, we consider many factors, with a primary analysis of current and projected market conditions, asset returns and asset allocations (approximately 85 percent of which are growth investments); and the views of leading financial advisers and economists. We may also review our historical assumptions compared with actual results, as well as the discount rates, expected return on plan assets, and health-care-cost trend rates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47</w:t>
      </w:r>
    </w:p>
    <w:p>
      <w:pPr>
        <w:sectPr>
          <w:pgSz w:w="11900" w:h="16838" w:orient="portrait"/>
          <w:cols w:equalWidth="0" w:num="1">
            <w:col w:w="11420"/>
          </w:cols>
          <w:pgMar w:left="240" w:top="706" w:right="239" w:bottom="1440" w:gutter="0" w:footer="0" w:header="0"/>
        </w:sectPr>
      </w:pPr>
    </w:p>
    <w:bookmarkStart w:id="47" w:name="page48"/>
    <w:bookmarkEnd w:id="47"/>
    <w:p>
      <w:pPr>
        <w:spacing w:after="0" w:line="252" w:lineRule="auto"/>
        <w:rPr>
          <w:sz w:val="20"/>
          <w:szCs w:val="20"/>
          <w:color w:val="auto"/>
        </w:rPr>
      </w:pPr>
      <w:r>
        <w:rPr>
          <w:rFonts w:ascii="Arial" w:cs="Arial" w:eastAsia="Arial" w:hAnsi="Arial"/>
          <w:sz w:val="18"/>
          <w:szCs w:val="18"/>
          <w:color w:val="auto"/>
        </w:rPr>
        <w:t>If the health-care-cost trend rates were to increase by one percentage point, the aggregate of the service cost and interest cost components of the 2014 annual expense would increase by $7.8 million. A one-percentage-point decrease would decrease the aggregate of the 2014 service cost and interest cost by $6.6 million. If the 2014 discount rate for the U.S. defined benefit pension and retiree health benefit plans (U.S. plans) were to change by a quarter percentage point, income before income taxes would change by $35.4 million. If the 2014 expected return on plan assets for U.S. plans were to change by a quarter percentage point, income before income taxes would change by $21.7 million. If our assumption regarding the 2014 expected age of future retirees for U.S. plans were adjusted by one year, our income before income taxes would be affected by $49.9 million. The U.S. plans, including Puerto Rico, represent approximately 80 percent of both the total projected benefit obligation and total plan assets at December 31,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may not be recoverable. We determine impairment by comparing the projected undiscounted cash flows to be generated by the asset to its carrying value. If an impairment is identified, a loss is recorded equal to the excess of the asset’s net book value over its fair value, and the cost basis is adjusted.</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and when certain impairment indicators are present. When required, a comparison of fair value to the carrying amount of assets is performed to determine the amount of any impairment.</w:t>
      </w:r>
    </w:p>
    <w:p>
      <w:pPr>
        <w:spacing w:after="0" w:line="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which applies a probability weighting that considers the risk of development and commercialization to the estimated future net cash flows that are derived from projected sales revenues and estimated costs. These projections are based on factors such as relevant market size, patent protection, historical pricing of similar products, and expected industry trends. The estimated future net cash flows are then discounted to the present value using an appropriate discount rate. This analysis is performed for each project independently.</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the “Late-Stage Pipeline” section. The nature of the pharmaceutical business is high-risk and requires that we invest in a large number of projects to build a successful portfolio of approved products. As such, it is likely that some acquired IPR&amp;D assets will become impaired in the future.</w:t>
      </w:r>
    </w:p>
    <w:p>
      <w:pPr>
        <w:spacing w:after="0" w:line="96" w:lineRule="exact"/>
        <w:rPr>
          <w:sz w:val="20"/>
          <w:szCs w:val="20"/>
          <w:color w:val="auto"/>
        </w:rPr>
      </w:pPr>
    </w:p>
    <w:p>
      <w:pPr>
        <w:ind w:right="1120"/>
        <w:spacing w:after="0" w:line="26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Income Taxes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prepare and file tax returns based on our interpretation of tax laws and regulations and record estimates based on these judgments and interpretations. In the normal course of business, our tax returns are subject to examination by various taxing authorities, which may result in future tax, interest, and penalty assessments by these authorities. Inherent uncertainties exist in estimates of many tax positions due to changes in tax law resulting from legislation, regulation, and/or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significant amendments to existing tax law, the issuance of regulations or interpretations by the taxing authorities, new information obtained during a tax examination, or resolution of an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w:t>
      </w:r>
    </w:p>
    <w:p>
      <w:pPr>
        <w:sectPr>
          <w:pgSz w:w="11900" w:h="16838" w:orient="portrait"/>
          <w:cols w:equalWidth="0" w:num="1">
            <w:col w:w="11420"/>
          </w:cols>
          <w:pgMar w:left="240" w:top="706" w:right="239" w:bottom="1440" w:gutter="0" w:footer="0" w:header="0"/>
        </w:sectPr>
      </w:pPr>
    </w:p>
    <w:bookmarkStart w:id="48" w:name="page49"/>
    <w:bookmarkEnd w:id="48"/>
    <w:p>
      <w:pPr>
        <w:ind w:right="40"/>
        <w:spacing w:after="0" w:line="253"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spacing w:after="0" w:line="9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As of December 31, 2014, a 5 percent change in the amount of the uncertain tax positions and the valuation allowance would result in a change in net income of $31.9 million and $30.1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Information relating to certain legal proceedings can be found in Note 15 to the consolidated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EXPECTATIONS FOR 2015</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full year of 2015, we expect EPS to be in the range of $ 2.40 to $2.50. We anticipate that total revenue will be between $19.5 billion and $20.0 billion. The acquisition of Novartis AH is expected to add significant revenue.</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anticipate that gross margin as a percent of revenue will be approximately 75.0 percent in 2015. Marketing, selling, and administrative expenses are expected to be in the range of $6.5 billion to $ 6.8 billion. Research and development expenses are expected to be in the range of $4.7 billion to $4.9 billion, reflecting an expected increase in Phase III trial expenses and the inclusion of Novartis AH. Other—net, (income) expense is expected to be in a range between $75 million and $125 million of income.</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2015 tax rate is expected to be approximately 18.5 percent, assuming a full-year 2015 benefit of the research and development tax credit and other tax provisions up for extension. If these items are not extended, the 2015 tax rate would be approximately 1.5 percentage points higher. The 2015 expected tax rate includes the tax impact of costs associated with the Novartis AH and Lohmann AH acquisitions and amortization of intangibles.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expected to be approximately $1.3 billion.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2015 financial guidance does not include a potential charge related to the collaboration with Pfizer to develop and commercialize tanezumab. If the partial clinical hold for the molecule is removed and we and Pfizer move forward with development, we will pay a $200 million upfront fee to Pfizer. This charge would reduce EPS by approximately $0.12 and would cause our tax rate to be approximately 1.0 percentage point lower.</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9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in Item 7 at “Management’s Discussion and Analysis—Financial Condition.” That information is incorporated in this report by reference.</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49</w:t>
      </w:r>
    </w:p>
    <w:p>
      <w:pPr>
        <w:sectPr>
          <w:pgSz w:w="11900" w:h="16838" w:orient="portrait"/>
          <w:cols w:equalWidth="0" w:num="1">
            <w:col w:w="11420"/>
          </w:cols>
          <w:pgMar w:left="240" w:top="706" w:right="239" w:bottom="1440" w:gutter="0" w:footer="0" w:header="0"/>
        </w:sectPr>
      </w:pPr>
    </w:p>
    <w:bookmarkStart w:id="49" w:name="page50"/>
    <w:bookmarkEnd w:id="49"/>
    <w:p>
      <w:pPr>
        <w:ind w:right="2960"/>
        <w:spacing w:after="0" w:line="427"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4000" w:type="dxa"/>
            <w:vAlign w:val="bottom"/>
          </w:tcPr>
          <w:p>
            <w:pPr>
              <w:spacing w:after="0"/>
              <w:rPr>
                <w:sz w:val="20"/>
                <w:szCs w:val="20"/>
                <w:color w:val="auto"/>
              </w:rPr>
            </w:pPr>
            <w:r>
              <w:rPr>
                <w:rFonts w:ascii="Arial" w:cs="Arial" w:eastAsia="Arial" w:hAnsi="Arial"/>
                <w:sz w:val="14"/>
                <w:szCs w:val="14"/>
                <w:b w:val="1"/>
                <w:bCs w:val="1"/>
                <w:color w:val="auto"/>
              </w:rPr>
              <w:t>(Dollars in millions, except per-share data)</w:t>
            </w:r>
          </w:p>
        </w:tc>
        <w:tc>
          <w:tcPr>
            <w:tcW w:w="3040" w:type="dxa"/>
            <w:vAlign w:val="bottom"/>
          </w:tcPr>
          <w:p>
            <w:pPr>
              <w:ind w:left="8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Marketing, selling,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Acquired in-process research and development (Notes 3 and 4)</w:t>
      </w:r>
    </w:p>
    <w:p>
      <w:pPr>
        <w:spacing w:after="0" w:line="75" w:lineRule="exact"/>
        <w:rPr>
          <w:sz w:val="20"/>
          <w:szCs w:val="20"/>
          <w:color w:val="auto"/>
        </w:rPr>
      </w:pPr>
    </w:p>
    <w:p>
      <w:pPr>
        <w:ind w:left="60" w:right="1640"/>
        <w:spacing w:after="0" w:line="246" w:lineRule="auto"/>
        <w:rPr>
          <w:sz w:val="20"/>
          <w:szCs w:val="20"/>
          <w:color w:val="auto"/>
        </w:rPr>
      </w:pPr>
      <w:r>
        <w:rPr>
          <w:rFonts w:ascii="Arial" w:cs="Arial" w:eastAsia="Arial" w:hAnsi="Arial"/>
          <w:sz w:val="18"/>
          <w:szCs w:val="18"/>
          <w:color w:val="auto"/>
        </w:rPr>
        <w:t>Asset impairment, restructuring, and other special charges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Other—net, (income) expense (Note 17)</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19,615.6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23,113.1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22,603.4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4,932.5</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4,908.1</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4,796.5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4,733.6</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5,531.3</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5,278.1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6,620.8</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7,125.6</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7,513.5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200.2</w:t>
            </w:r>
          </w:p>
        </w:tc>
        <w:tc>
          <w:tcPr>
            <w:tcW w:w="42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57.1</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32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468.7</w:t>
            </w:r>
          </w:p>
        </w:tc>
        <w:tc>
          <w:tcPr>
            <w:tcW w:w="4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120.6</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281.1</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(340.5)</w:t>
            </w:r>
          </w:p>
        </w:tc>
        <w:tc>
          <w:tcPr>
            <w:tcW w:w="4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(518.9)</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276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360" w:space="720"/>
            <w:col w:w="4320"/>
          </w:cols>
          <w:pgMar w:left="240" w:top="562" w:right="259" w:bottom="1440" w:gutter="0" w:footer="0" w:header="0"/>
          <w:type w:val="continuous"/>
        </w:sectPr>
      </w:pPr>
    </w:p>
    <w:tbl>
      <w:tblPr>
        <w:tblLayout w:type="fixed"/>
        <w:tblInd w:w="40" w:type="dxa"/>
        <w:tblCellMar>
          <w:top w:w="0" w:type="dxa"/>
          <w:left w:w="0" w:type="dxa"/>
          <w:bottom w:w="0" w:type="dxa"/>
          <w:right w:w="0" w:type="dxa"/>
        </w:tblCellMar>
      </w:tblPr>
      <w:tr>
        <w:trPr>
          <w:trHeight w:val="246"/>
        </w:trPr>
        <w:tc>
          <w:tcPr>
            <w:tcW w:w="7000" w:type="dxa"/>
            <w:vAlign w:val="bottom"/>
            <w:tcBorders>
              <w:bottom w:val="single" w:sz="8" w:color="D8D8D8"/>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16,615.3</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17,223.8</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17,195.2</w:t>
            </w:r>
          </w:p>
        </w:tc>
        <w:tc>
          <w:tcPr>
            <w:tcW w:w="0" w:type="dxa"/>
            <w:vAlign w:val="bottom"/>
          </w:tcPr>
          <w:p>
            <w:pPr>
              <w:spacing w:after="0"/>
              <w:rPr>
                <w:sz w:val="1"/>
                <w:szCs w:val="1"/>
                <w:color w:val="auto"/>
              </w:rPr>
            </w:pPr>
          </w:p>
        </w:tc>
      </w:tr>
      <w:tr>
        <w:trPr>
          <w:trHeight w:val="270"/>
        </w:trPr>
        <w:tc>
          <w:tcPr>
            <w:tcW w:w="7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3,000.3</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5,889.3</w:t>
            </w: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5,408.2</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Income taxes (Note 13)</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609.8</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1,204.5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r>
        <w:trPr>
          <w:trHeight w:val="277"/>
        </w:trPr>
        <w:tc>
          <w:tcPr>
            <w:tcW w:w="70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2,390.5</w:t>
            </w:r>
          </w:p>
        </w:tc>
        <w:tc>
          <w:tcPr>
            <w:tcW w:w="3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4,684.8</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4,088.6</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60"/>
              <w:spacing w:after="0"/>
              <w:rPr>
                <w:sz w:val="20"/>
                <w:szCs w:val="20"/>
                <w:color w:val="auto"/>
              </w:rPr>
            </w:pPr>
            <w:r>
              <w:rPr>
                <w:rFonts w:ascii="Arial" w:cs="Arial" w:eastAsia="Arial" w:hAnsi="Arial"/>
                <w:sz w:val="18"/>
                <w:szCs w:val="18"/>
                <w:color w:val="auto"/>
              </w:rPr>
              <w:t>Weighted-average number of common shares outstanding, including incremental</w:t>
            </w:r>
          </w:p>
        </w:tc>
        <w:tc>
          <w:tcPr>
            <w:tcW w:w="300" w:type="dxa"/>
            <w:vAlign w:val="bottom"/>
          </w:tcPr>
          <w:p>
            <w:pPr>
              <w:spacing w:after="0"/>
              <w:rPr>
                <w:sz w:val="19"/>
                <w:szCs w:val="19"/>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1,069,932</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1,080,874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1,113,178</w:t>
            </w:r>
          </w:p>
        </w:tc>
        <w:tc>
          <w:tcPr>
            <w:tcW w:w="0" w:type="dxa"/>
            <w:vAlign w:val="bottom"/>
          </w:tcPr>
          <w:p>
            <w:pPr>
              <w:spacing w:after="0"/>
              <w:rPr>
                <w:sz w:val="1"/>
                <w:szCs w:val="1"/>
                <w:color w:val="auto"/>
              </w:rPr>
            </w:pPr>
          </w:p>
        </w:tc>
      </w:tr>
      <w:tr>
        <w:trPr>
          <w:trHeight w:val="284"/>
        </w:trPr>
        <w:tc>
          <w:tcPr>
            <w:tcW w:w="700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2.23</w:t>
            </w:r>
          </w:p>
        </w:tc>
        <w:tc>
          <w:tcPr>
            <w:tcW w:w="3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4.33</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0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Weighted-average number of common shares outstanding, including incremental</w:t>
            </w:r>
          </w:p>
        </w:tc>
        <w:tc>
          <w:tcPr>
            <w:tcW w:w="300" w:type="dxa"/>
            <w:vAlign w:val="bottom"/>
            <w:shd w:val="clear" w:color="auto" w:fill="D8D8D8"/>
          </w:tcPr>
          <w:p>
            <w:pPr>
              <w:spacing w:after="0"/>
              <w:rPr>
                <w:sz w:val="20"/>
                <w:szCs w:val="20"/>
                <w:color w:val="auto"/>
              </w:rPr>
            </w:pPr>
          </w:p>
        </w:tc>
        <w:tc>
          <w:tcPr>
            <w:tcW w:w="110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1,074,286</w:t>
            </w:r>
          </w:p>
        </w:tc>
        <w:tc>
          <w:tcPr>
            <w:tcW w:w="38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0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shares and stock options</w:t>
            </w:r>
          </w:p>
        </w:tc>
        <w:tc>
          <w:tcPr>
            <w:tcW w:w="300" w:type="dxa"/>
            <w:vAlign w:val="bottom"/>
            <w:tcBorders>
              <w:bottom w:val="single" w:sz="8" w:color="auto"/>
            </w:tcBorders>
            <w:shd w:val="clear" w:color="auto" w:fill="D8D8D8"/>
          </w:tcPr>
          <w:p>
            <w:pPr>
              <w:spacing w:after="0"/>
              <w:rPr>
                <w:sz w:val="20"/>
                <w:szCs w:val="20"/>
                <w:color w:val="auto"/>
              </w:rPr>
            </w:pPr>
          </w:p>
        </w:tc>
        <w:tc>
          <w:tcPr>
            <w:tcW w:w="1100" w:type="dxa"/>
            <w:vAlign w:val="bottom"/>
            <w:tcBorders>
              <w:bottom w:val="single" w:sz="8" w:color="auto"/>
            </w:tcBorders>
            <w:vMerge w:val="continue"/>
            <w:shd w:val="clear" w:color="auto" w:fill="D8D8D8"/>
          </w:tcPr>
          <w:p>
            <w:pPr>
              <w:spacing w:after="0"/>
              <w:rPr>
                <w:sz w:val="20"/>
                <w:szCs w:val="20"/>
                <w:color w:val="auto"/>
              </w:rPr>
            </w:pPr>
          </w:p>
        </w:tc>
        <w:tc>
          <w:tcPr>
            <w:tcW w:w="380" w:type="dxa"/>
            <w:vAlign w:val="bottom"/>
            <w:tcBorders>
              <w:bottom w:val="single" w:sz="8" w:color="auto"/>
            </w:tcBorders>
            <w:shd w:val="clear" w:color="auto" w:fill="D8D8D8"/>
          </w:tcPr>
          <w:p>
            <w:pPr>
              <w:spacing w:after="0"/>
              <w:rPr>
                <w:sz w:val="20"/>
                <w:szCs w:val="20"/>
                <w:color w:val="auto"/>
              </w:rPr>
            </w:pP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1,084,766</w:t>
            </w:r>
          </w:p>
        </w:tc>
        <w:tc>
          <w:tcPr>
            <w:tcW w:w="400" w:type="dxa"/>
            <w:vAlign w:val="bottom"/>
            <w:tcBorders>
              <w:bottom w:val="single" w:sz="8" w:color="auto"/>
            </w:tcBorders>
            <w:shd w:val="clear" w:color="auto" w:fill="D8D8D8"/>
          </w:tcPr>
          <w:p>
            <w:pPr>
              <w:spacing w:after="0"/>
              <w:rPr>
                <w:sz w:val="20"/>
                <w:szCs w:val="20"/>
                <w:color w:val="auto"/>
              </w:rPr>
            </w:pPr>
          </w:p>
        </w:tc>
        <w:tc>
          <w:tcPr>
            <w:tcW w:w="10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1,117,294</w:t>
            </w:r>
          </w:p>
        </w:tc>
        <w:tc>
          <w:tcPr>
            <w:tcW w:w="0" w:type="dxa"/>
            <w:vAlign w:val="bottom"/>
          </w:tcPr>
          <w:p>
            <w:pPr>
              <w:spacing w:after="0"/>
              <w:rPr>
                <w:sz w:val="1"/>
                <w:szCs w:val="1"/>
                <w:color w:val="auto"/>
              </w:rPr>
            </w:pPr>
          </w:p>
        </w:tc>
      </w:tr>
      <w:tr>
        <w:trPr>
          <w:trHeight w:val="271"/>
        </w:trPr>
        <w:tc>
          <w:tcPr>
            <w:tcW w:w="70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w:t>
      </w:r>
    </w:p>
    <w:p>
      <w:pPr>
        <w:sectPr>
          <w:pgSz w:w="11900" w:h="16838" w:orient="portrait"/>
          <w:cols w:equalWidth="0" w:num="1">
            <w:col w:w="11400"/>
          </w:cols>
          <w:pgMar w:left="240" w:top="562" w:right="2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32"/>
          <w:szCs w:val="32"/>
          <w:i w:val="1"/>
          <w:iCs w:val="1"/>
          <w:color w:val="CC0000"/>
        </w:rPr>
        <w:t>Consolidated Statements of Comprehensive Income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7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2,390.5</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4,684.8</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4,088.6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(961.4)</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160.9</w:t>
            </w:r>
          </w:p>
        </w:tc>
      </w:tr>
      <w:tr>
        <w:trPr>
          <w:trHeight w:val="263"/>
        </w:trPr>
        <w:tc>
          <w:tcPr>
            <w:tcW w:w="4960" w:type="dxa"/>
            <w:vAlign w:val="bottom"/>
          </w:tcPr>
          <w:p>
            <w:pPr>
              <w:ind w:left="180"/>
              <w:spacing w:after="0"/>
              <w:rPr>
                <w:sz w:val="20"/>
                <w:szCs w:val="20"/>
                <w:color w:val="auto"/>
              </w:rPr>
            </w:pPr>
            <w:r>
              <w:rPr>
                <w:rFonts w:ascii="Arial" w:cs="Arial" w:eastAsia="Arial" w:hAnsi="Arial"/>
                <w:sz w:val="18"/>
                <w:szCs w:val="18"/>
                <w:color w:val="auto"/>
              </w:rPr>
              <w:t>Change in net unrealized gains and losses on securities</w:t>
            </w:r>
          </w:p>
        </w:tc>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(162.2)</w:t>
            </w:r>
          </w:p>
        </w:tc>
        <w:tc>
          <w:tcPr>
            <w:tcW w:w="38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204.3</w:t>
            </w:r>
          </w:p>
        </w:tc>
        <w:tc>
          <w:tcPr>
            <w:tcW w:w="3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88.5</w:t>
            </w:r>
          </w:p>
        </w:tc>
      </w:tr>
      <w:tr>
        <w:trPr>
          <w:trHeight w:val="277"/>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14)</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(1,327.6)</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2,592.2</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(128.6)</w:t>
            </w:r>
          </w:p>
        </w:tc>
      </w:tr>
      <w:tr>
        <w:trPr>
          <w:trHeight w:val="264"/>
        </w:trPr>
        <w:tc>
          <w:tcPr>
            <w:tcW w:w="49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440" w:type="dxa"/>
            <w:vAlign w:val="bottom"/>
            <w:tcBorders>
              <w:bottom w:val="single" w:sz="8" w:color="D8D8D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(2,465.7)</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2,708.9</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129.5</w:t>
            </w:r>
          </w:p>
        </w:tc>
      </w:tr>
      <w:tr>
        <w:trPr>
          <w:trHeight w:val="264"/>
        </w:trPr>
        <w:tc>
          <w:tcPr>
            <w:tcW w:w="740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Provision for income taxes related to other comprehensive income (loss) items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476.6</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7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(Note 16)</w:t>
            </w:r>
          </w:p>
        </w:tc>
        <w:tc>
          <w:tcPr>
            <w:tcW w:w="2440" w:type="dxa"/>
            <w:vAlign w:val="bottom"/>
            <w:shd w:val="clear" w:color="auto" w:fill="D8D8D8"/>
          </w:tcPr>
          <w:p>
            <w:pPr>
              <w:spacing w:after="0"/>
              <w:rPr>
                <w:sz w:val="23"/>
                <w:szCs w:val="23"/>
                <w:color w:val="auto"/>
              </w:rPr>
            </w:pP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(1,989.1)</w:t>
            </w:r>
          </w:p>
        </w:tc>
        <w:tc>
          <w:tcPr>
            <w:tcW w:w="3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1,794.4</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61.5</w:t>
            </w:r>
          </w:p>
        </w:tc>
      </w:tr>
      <w:tr>
        <w:trPr>
          <w:trHeight w:val="271"/>
        </w:trPr>
        <w:tc>
          <w:tcPr>
            <w:tcW w:w="49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401.4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6,479.2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4,150.1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51</w:t>
      </w:r>
    </w:p>
    <w:p>
      <w:pPr>
        <w:sectPr>
          <w:pgSz w:w="11900" w:h="16838" w:orient="portrait"/>
          <w:cols w:equalWidth="0" w:num="1">
            <w:col w:w="11420"/>
          </w:cols>
          <w:pgMar w:left="240" w:top="569" w:right="239" w:bottom="1440" w:gutter="0" w:footer="0" w:header="0"/>
        </w:sectPr>
      </w:pPr>
    </w:p>
    <w:bookmarkStart w:id="51" w:name="page52"/>
    <w:bookmarkEnd w:id="51"/>
    <w:p>
      <w:pPr>
        <w:spacing w:after="0"/>
        <w:rPr>
          <w:sz w:val="20"/>
          <w:szCs w:val="20"/>
          <w:color w:val="auto"/>
        </w:rPr>
      </w:pPr>
      <w:r>
        <w:rPr>
          <w:rFonts w:ascii="Arial" w:cs="Arial" w:eastAsia="Arial" w:hAnsi="Arial"/>
          <w:sz w:val="32"/>
          <w:szCs w:val="32"/>
          <w:i w:val="1"/>
          <w:iCs w:val="1"/>
          <w:color w:val="CC0000"/>
        </w:rPr>
        <w:t>Consolidated Balance Sheets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millions, shares in thousands)</w:t>
            </w:r>
          </w:p>
        </w:tc>
        <w:tc>
          <w:tcPr>
            <w:tcW w:w="340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68" w:right="239" w:bottom="892"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$55.0 (2014)</w:t>
      </w:r>
      <w:r>
        <w:rPr>
          <w:rFonts w:ascii="Arial" w:cs="Arial" w:eastAsia="Arial" w:hAnsi="Arial"/>
          <w:sz w:val="18"/>
          <w:szCs w:val="18"/>
          <w:color w:val="auto"/>
        </w:rPr>
        <w:t xml:space="preserve"> and $62.2 (2013)</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(Note 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Restricted cash (Note 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Goodwill (Note 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intangibles, net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 (Note 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maturities of long-term debt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compensation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rebates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income taxes (Note 13)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retirement benefits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income taxes payable (Note 13)</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liabilities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Eli Lilly and Company Shareholders' Equity (Notes 11 and 12)</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stock—no par value</w:t>
      </w:r>
    </w:p>
    <w:p>
      <w:pPr>
        <w:ind w:left="420"/>
        <w:spacing w:after="0" w:line="234" w:lineRule="auto"/>
        <w:rPr>
          <w:sz w:val="20"/>
          <w:szCs w:val="20"/>
          <w:color w:val="auto"/>
        </w:rPr>
      </w:pPr>
      <w:r>
        <w:rPr>
          <w:rFonts w:ascii="Arial" w:cs="Arial" w:eastAsia="Arial" w:hAnsi="Arial"/>
          <w:sz w:val="18"/>
          <w:szCs w:val="18"/>
          <w:color w:val="auto"/>
        </w:rPr>
        <w:t>Authorized shares: 3,200,000</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1,111,437 (2014)</w:t>
      </w:r>
      <w:r>
        <w:rPr>
          <w:rFonts w:ascii="Arial" w:cs="Arial" w:eastAsia="Arial" w:hAnsi="Arial"/>
          <w:sz w:val="18"/>
          <w:szCs w:val="18"/>
          <w:color w:val="auto"/>
        </w:rPr>
        <w:t xml:space="preserve"> and 1,117,628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benefit trust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Cost of common stock in treasury, </w:t>
      </w:r>
      <w:r>
        <w:rPr>
          <w:rFonts w:ascii="Arial" w:cs="Arial" w:eastAsia="Arial" w:hAnsi="Arial"/>
          <w:sz w:val="17"/>
          <w:szCs w:val="17"/>
          <w:b w:val="1"/>
          <w:bCs w:val="1"/>
          <w:color w:val="auto"/>
        </w:rPr>
        <w:t>810 shares (2014)</w:t>
      </w:r>
      <w:r>
        <w:rPr>
          <w:rFonts w:ascii="Arial" w:cs="Arial" w:eastAsia="Arial" w:hAnsi="Arial"/>
          <w:sz w:val="17"/>
          <w:szCs w:val="17"/>
          <w:color w:val="auto"/>
        </w:rPr>
        <w:t xml:space="preserve"> and 833 shares (2013)</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Eli Lilly and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3,871.6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3,830.2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955.4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1,567.1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3,234.6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3,434.4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566.7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2,740.0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2,928.8</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811.5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755.8</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12,179.8</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13,104.7</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5,405.6</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4,568.9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7,624.9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1,758.1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1,516.8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2,884.2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2,814.3</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2,417.7</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2,212.5</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17,034.5</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14,168.5</w:t>
            </w:r>
          </w:p>
        </w:tc>
      </w:tr>
      <w:tr>
        <w:trPr>
          <w:trHeight w:val="291"/>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7,963.9</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7,975.5</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37,178.2</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35,248.7</w:t>
            </w:r>
          </w:p>
        </w:tc>
      </w:tr>
      <w:tr>
        <w:trPr>
          <w:trHeight w:val="797"/>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2,688.7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1,012.6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1,128.1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1,119.3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759.0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943.9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2,068.8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1,941.7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530.3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523.5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93.5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254.4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1,466.5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792.8</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2,472.6</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2,328.4</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11,207.5</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8,916.6</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5,367.7</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4,200.3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2,562.9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1,549.4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998.5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1,078.7</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1,653.5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1,863.0</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10,582.6</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8,691.4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694.6</w:t>
      </w:r>
      <w:r>
        <w:rPr>
          <w:sz w:val="20"/>
          <w:szCs w:val="20"/>
          <w:color w:val="auto"/>
        </w:rPr>
        <w:tab/>
      </w:r>
      <w:r>
        <w:rPr>
          <w:rFonts w:ascii="Arial" w:cs="Arial" w:eastAsia="Arial" w:hAnsi="Arial"/>
          <w:sz w:val="18"/>
          <w:szCs w:val="18"/>
          <w:color w:val="auto"/>
        </w:rPr>
        <w:t>698.5</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5,292.3</w:t>
      </w:r>
      <w:r>
        <w:rPr>
          <w:sz w:val="20"/>
          <w:szCs w:val="20"/>
          <w:color w:val="auto"/>
        </w:rPr>
        <w:tab/>
      </w:r>
      <w:r>
        <w:rPr>
          <w:rFonts w:ascii="Arial" w:cs="Arial" w:eastAsia="Arial" w:hAnsi="Arial"/>
          <w:sz w:val="17"/>
          <w:szCs w:val="17"/>
          <w:color w:val="auto"/>
        </w:rPr>
        <w:t>5,050.0</w:t>
      </w:r>
    </w:p>
    <w:p>
      <w:pPr>
        <w:spacing w:after="0" w:line="63"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16,482.7</w:t>
      </w:r>
      <w:r>
        <w:rPr>
          <w:sz w:val="20"/>
          <w:szCs w:val="20"/>
          <w:color w:val="auto"/>
        </w:rPr>
        <w:tab/>
      </w:r>
      <w:r>
        <w:rPr>
          <w:rFonts w:ascii="Arial" w:cs="Arial" w:eastAsia="Arial" w:hAnsi="Arial"/>
          <w:sz w:val="17"/>
          <w:szCs w:val="17"/>
          <w:color w:val="auto"/>
        </w:rPr>
        <w:t>16,992.4</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(3,013.2)</w:t>
      </w:r>
      <w:r>
        <w:rPr>
          <w:sz w:val="20"/>
          <w:szCs w:val="20"/>
          <w:color w:val="auto"/>
        </w:rPr>
        <w:tab/>
      </w:r>
      <w:r>
        <w:rPr>
          <w:rFonts w:ascii="Arial" w:cs="Arial" w:eastAsia="Arial" w:hAnsi="Arial"/>
          <w:sz w:val="17"/>
          <w:szCs w:val="17"/>
          <w:color w:val="auto"/>
        </w:rPr>
        <w:t>(3,013.2)</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(3,991.8)</w:t>
      </w:r>
      <w:r>
        <w:rPr>
          <w:sz w:val="20"/>
          <w:szCs w:val="20"/>
          <w:color w:val="auto"/>
        </w:rPr>
        <w:tab/>
      </w:r>
      <w:r>
        <w:rPr>
          <w:rFonts w:ascii="Arial" w:cs="Arial" w:eastAsia="Arial" w:hAnsi="Arial"/>
          <w:sz w:val="17"/>
          <w:szCs w:val="17"/>
          <w:color w:val="auto"/>
        </w:rPr>
        <w:t>(2,002.7)</w:t>
      </w:r>
    </w:p>
    <w:p>
      <w:pPr>
        <w:spacing w:after="0" w:line="63"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8"/>
          <w:szCs w:val="18"/>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18180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15,373.2</w:t>
      </w:r>
      <w:r>
        <w:rPr>
          <w:sz w:val="20"/>
          <w:szCs w:val="20"/>
          <w:color w:val="auto"/>
        </w:rPr>
        <w:tab/>
      </w:r>
      <w:r>
        <w:rPr>
          <w:rFonts w:ascii="Arial" w:cs="Arial" w:eastAsia="Arial" w:hAnsi="Arial"/>
          <w:sz w:val="17"/>
          <w:szCs w:val="17"/>
          <w:color w:val="auto"/>
        </w:rPr>
        <w:t>17,631.4</w:t>
      </w:r>
    </w:p>
    <w:p>
      <w:pPr>
        <w:spacing w:after="0" w:line="63"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8"/>
          <w:szCs w:val="18"/>
          <w:color w:val="auto"/>
        </w:rPr>
        <w:t>9.3</w:t>
      </w:r>
    </w:p>
    <w:p>
      <w:pPr>
        <w:spacing w:after="0" w:line="31" w:lineRule="exact"/>
        <w:rPr>
          <w:sz w:val="20"/>
          <w:szCs w:val="20"/>
          <w:color w:val="auto"/>
        </w:rPr>
      </w:pPr>
    </w:p>
    <w:p>
      <w:pPr>
        <w:sectPr>
          <w:pgSz w:w="11900" w:h="16838" w:orient="portrait"/>
          <w:cols w:equalWidth="0" w:num="2">
            <w:col w:w="7840" w:space="720"/>
            <w:col w:w="2860"/>
          </w:cols>
          <w:pgMar w:left="240" w:top="568" w:right="239" w:bottom="892" w:gutter="0" w:footer="0" w:header="0"/>
          <w:type w:val="continuous"/>
        </w:sectPr>
      </w:pPr>
    </w:p>
    <w:tbl>
      <w:tblPr>
        <w:tblLayout w:type="fixed"/>
        <w:tblInd w:w="0" w:type="dxa"/>
        <w:tblCellMar>
          <w:top w:w="0" w:type="dxa"/>
          <w:left w:w="0" w:type="dxa"/>
          <w:bottom w:w="0" w:type="dxa"/>
          <w:right w:w="0" w:type="dxa"/>
        </w:tblCellMar>
      </w:tblPr>
      <w:tr>
        <w:trPr>
          <w:trHeight w:val="271"/>
        </w:trPr>
        <w:tc>
          <w:tcPr>
            <w:tcW w:w="29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equity</w:t>
            </w:r>
          </w:p>
        </w:tc>
        <w:tc>
          <w:tcPr>
            <w:tcW w:w="5640" w:type="dxa"/>
            <w:vAlign w:val="bottom"/>
            <w:tcBorders>
              <w:bottom w:val="single" w:sz="8" w:color="D8D8D8"/>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15,388.1</w:t>
            </w:r>
          </w:p>
        </w:tc>
        <w:tc>
          <w:tcPr>
            <w:tcW w:w="4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17,640.7</w:t>
            </w:r>
          </w:p>
        </w:tc>
      </w:tr>
      <w:tr>
        <w:trPr>
          <w:trHeight w:val="284"/>
        </w:trPr>
        <w:tc>
          <w:tcPr>
            <w:tcW w:w="2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liabilities and equity</w:t>
            </w:r>
          </w:p>
        </w:tc>
        <w:tc>
          <w:tcPr>
            <w:tcW w:w="598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37,178.2</w:t>
            </w:r>
          </w:p>
        </w:tc>
        <w:tc>
          <w:tcPr>
            <w:tcW w:w="4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35,248.7</w:t>
            </w:r>
          </w:p>
        </w:tc>
      </w:tr>
      <w:tr>
        <w:trPr>
          <w:trHeight w:val="210"/>
        </w:trPr>
        <w:tc>
          <w:tcPr>
            <w:tcW w:w="2920" w:type="dxa"/>
            <w:vAlign w:val="bottom"/>
            <w:tcBorders>
              <w:top w:val="single" w:sz="8" w:color="D8D8D8"/>
            </w:tcBorders>
          </w:tcPr>
          <w:p>
            <w:pPr>
              <w:spacing w:after="0"/>
              <w:rPr>
                <w:sz w:val="18"/>
                <w:szCs w:val="18"/>
                <w:color w:val="auto"/>
              </w:rPr>
            </w:pPr>
          </w:p>
        </w:tc>
        <w:tc>
          <w:tcPr>
            <w:tcW w:w="5640" w:type="dxa"/>
            <w:vAlign w:val="bottom"/>
            <w:tcBorders>
              <w:top w:val="single" w:sz="8" w:color="D8D8D8"/>
            </w:tcBorders>
          </w:tcPr>
          <w:p>
            <w:pPr>
              <w:ind w:left="920"/>
              <w:spacing w:after="0"/>
              <w:rPr>
                <w:sz w:val="20"/>
                <w:szCs w:val="20"/>
                <w:color w:val="auto"/>
              </w:rPr>
            </w:pPr>
            <w:r>
              <w:rPr>
                <w:rFonts w:ascii="Arial" w:cs="Arial" w:eastAsia="Arial" w:hAnsi="Arial"/>
                <w:sz w:val="18"/>
                <w:szCs w:val="18"/>
                <w:color w:val="auto"/>
              </w:rPr>
              <w:t>See notes to consolidated financial statements.</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568" w:right="239" w:bottom="892"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52</w:t>
      </w:r>
    </w:p>
    <w:p>
      <w:pPr>
        <w:sectPr>
          <w:pgSz w:w="11900" w:h="16838" w:orient="portrait"/>
          <w:cols w:equalWidth="0" w:num="1">
            <w:col w:w="11420"/>
          </w:cols>
          <w:pgMar w:left="240" w:top="568" w:right="239" w:bottom="892" w:gutter="0" w:footer="0" w:header="0"/>
          <w:type w:val="continuous"/>
        </w:sectPr>
      </w:pPr>
    </w:p>
    <w:bookmarkStart w:id="52" w:name="page53"/>
    <w:bookmarkEnd w:id="52"/>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740" w:type="dxa"/>
            <w:vAlign w:val="bottom"/>
          </w:tcPr>
          <w:p>
            <w:pPr>
              <w:jc w:val="right"/>
              <w:ind w:right="119"/>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52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ELI LILLY AND COMPANY AND SUBSIDIARIES</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jc w:val="right"/>
              <w:ind w:right="219"/>
              <w:spacing w:after="0" w:line="100" w:lineRule="exact"/>
              <w:rPr>
                <w:sz w:val="20"/>
                <w:szCs w:val="20"/>
                <w:color w:val="auto"/>
              </w:rPr>
            </w:pPr>
            <w:r>
              <w:rPr>
                <w:rFonts w:ascii="Arial" w:cs="Arial" w:eastAsia="Arial" w:hAnsi="Arial"/>
                <w:sz w:val="11"/>
                <w:szCs w:val="11"/>
                <w:b w:val="1"/>
                <w:bCs w:val="1"/>
                <w:color w:val="auto"/>
              </w:rPr>
              <w:t>Paid-in</w:t>
            </w:r>
          </w:p>
        </w:tc>
        <w:tc>
          <w:tcPr>
            <w:tcW w:w="240" w:type="dxa"/>
            <w:vAlign w:val="bottom"/>
          </w:tcPr>
          <w:p>
            <w:pPr>
              <w:spacing w:after="0"/>
              <w:rPr>
                <w:sz w:val="8"/>
                <w:szCs w:val="8"/>
                <w:color w:val="auto"/>
              </w:rPr>
            </w:pPr>
          </w:p>
        </w:tc>
        <w:tc>
          <w:tcPr>
            <w:tcW w:w="800" w:type="dxa"/>
            <w:vAlign w:val="bottom"/>
          </w:tcPr>
          <w:p>
            <w:pPr>
              <w:jc w:val="right"/>
              <w:ind w:right="198"/>
              <w:spacing w:after="0" w:line="100"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8"/>
                <w:szCs w:val="8"/>
                <w:color w:val="auto"/>
              </w:rPr>
            </w:pPr>
          </w:p>
        </w:tc>
        <w:tc>
          <w:tcPr>
            <w:tcW w:w="1240" w:type="dxa"/>
            <w:vAlign w:val="bottom"/>
          </w:tcPr>
          <w:p>
            <w:pPr>
              <w:jc w:val="right"/>
              <w:ind w:right="178"/>
              <w:spacing w:after="0" w:line="100" w:lineRule="exact"/>
              <w:rPr>
                <w:sz w:val="20"/>
                <w:szCs w:val="20"/>
                <w:color w:val="auto"/>
              </w:rPr>
            </w:pPr>
            <w:r>
              <w:rPr>
                <w:rFonts w:ascii="Arial" w:cs="Arial" w:eastAsia="Arial" w:hAnsi="Arial"/>
                <w:sz w:val="11"/>
                <w:szCs w:val="11"/>
                <w:b w:val="1"/>
                <w:bCs w:val="1"/>
                <w:color w:val="auto"/>
                <w:w w:val="96"/>
              </w:rPr>
              <w:t>Accumulated Other</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jc w:val="right"/>
              <w:ind w:right="118"/>
              <w:spacing w:after="0" w:line="100" w:lineRule="exact"/>
              <w:rPr>
                <w:sz w:val="20"/>
                <w:szCs w:val="20"/>
                <w:color w:val="auto"/>
              </w:rPr>
            </w:pPr>
            <w:r>
              <w:rPr>
                <w:rFonts w:ascii="Arial" w:cs="Arial" w:eastAsia="Arial" w:hAnsi="Arial"/>
                <w:sz w:val="11"/>
                <w:szCs w:val="11"/>
                <w:b w:val="1"/>
                <w:bCs w:val="1"/>
                <w:color w:val="auto"/>
                <w:w w:val="96"/>
              </w:rPr>
              <w:t>Employee</w:t>
            </w:r>
          </w:p>
        </w:tc>
        <w:tc>
          <w:tcPr>
            <w:tcW w:w="180" w:type="dxa"/>
            <w:vAlign w:val="bottom"/>
          </w:tcPr>
          <w:p>
            <w:pPr>
              <w:spacing w:after="0"/>
              <w:rPr>
                <w:sz w:val="8"/>
                <w:szCs w:val="8"/>
                <w:color w:val="auto"/>
              </w:rPr>
            </w:pPr>
          </w:p>
        </w:tc>
        <w:tc>
          <w:tcPr>
            <w:tcW w:w="900" w:type="dxa"/>
            <w:vAlign w:val="bottom"/>
          </w:tcPr>
          <w:p>
            <w:pPr>
              <w:jc w:val="right"/>
              <w:ind w:right="78"/>
              <w:spacing w:after="0" w:line="100"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60" w:type="dxa"/>
            <w:vAlign w:val="bottom"/>
          </w:tcPr>
          <w:p>
            <w:pPr>
              <w:jc w:val="right"/>
              <w:ind w:right="258"/>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98"/>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740" w:type="dxa"/>
            <w:vAlign w:val="bottom"/>
          </w:tcPr>
          <w:p>
            <w:pPr>
              <w:jc w:val="right"/>
              <w:ind w:right="219"/>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800" w:type="dxa"/>
            <w:vAlign w:val="bottom"/>
          </w:tcPr>
          <w:p>
            <w:pPr>
              <w:jc w:val="right"/>
              <w:ind w:right="198"/>
              <w:spacing w:after="0"/>
              <w:rPr>
                <w:sz w:val="20"/>
                <w:szCs w:val="20"/>
                <w:color w:val="auto"/>
              </w:rPr>
            </w:pPr>
            <w:r>
              <w:rPr>
                <w:rFonts w:ascii="Arial" w:cs="Arial" w:eastAsia="Arial" w:hAnsi="Arial"/>
                <w:sz w:val="11"/>
                <w:szCs w:val="11"/>
                <w:b w:val="1"/>
                <w:bCs w:val="1"/>
                <w:color w:val="auto"/>
              </w:rPr>
              <w:t>Earnings</w:t>
            </w:r>
          </w:p>
        </w:tc>
        <w:tc>
          <w:tcPr>
            <w:tcW w:w="1440" w:type="dxa"/>
            <w:vAlign w:val="bottom"/>
            <w:gridSpan w:val="2"/>
          </w:tcPr>
          <w:p>
            <w:pPr>
              <w:jc w:val="right"/>
              <w:ind w:right="118"/>
              <w:spacing w:after="0"/>
              <w:rPr>
                <w:sz w:val="20"/>
                <w:szCs w:val="20"/>
                <w:color w:val="auto"/>
              </w:rPr>
            </w:pPr>
            <w:r>
              <w:rPr>
                <w:rFonts w:ascii="Arial" w:cs="Arial" w:eastAsia="Arial" w:hAnsi="Arial"/>
                <w:sz w:val="11"/>
                <w:szCs w:val="11"/>
                <w:b w:val="1"/>
                <w:bCs w:val="1"/>
                <w:color w:val="auto"/>
              </w:rPr>
              <w:t>Comprehensive Loss</w:t>
            </w:r>
          </w:p>
        </w:tc>
        <w:tc>
          <w:tcPr>
            <w:tcW w:w="820" w:type="dxa"/>
            <w:vAlign w:val="bottom"/>
          </w:tcPr>
          <w:p>
            <w:pPr>
              <w:jc w:val="right"/>
              <w:ind w:right="198"/>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640" w:type="dxa"/>
            <w:vAlign w:val="bottom"/>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2"/>
          </w:tcPr>
          <w:p>
            <w:pPr>
              <w:jc w:val="right"/>
              <w:ind w:right="38"/>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Pr>
          <w:p>
            <w:pPr>
              <w:spacing w:after="0"/>
              <w:rPr>
                <w:sz w:val="12"/>
                <w:szCs w:val="12"/>
                <w:color w:val="auto"/>
              </w:rPr>
            </w:pPr>
          </w:p>
        </w:tc>
        <w:tc>
          <w:tcPr>
            <w:tcW w:w="900" w:type="dxa"/>
            <w:vAlign w:val="bottom"/>
          </w:tcPr>
          <w:p>
            <w:pPr>
              <w:jc w:val="right"/>
              <w:ind w:right="2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Balance at January 1, 2012</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1,158,644</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724.1</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8D8D8"/>
          </w:tcPr>
          <w:p>
            <w:pPr>
              <w:jc w:val="right"/>
              <w:ind w:right="99"/>
              <w:spacing w:after="0"/>
              <w:rPr>
                <w:sz w:val="20"/>
                <w:szCs w:val="20"/>
                <w:color w:val="auto"/>
              </w:rPr>
            </w:pPr>
            <w:r>
              <w:rPr>
                <w:rFonts w:ascii="Arial" w:cs="Arial" w:eastAsia="Arial" w:hAnsi="Arial"/>
                <w:sz w:val="13"/>
                <w:szCs w:val="13"/>
                <w:color w:val="auto"/>
              </w:rPr>
              <w:t>4,886.8</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14,897.8</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D8D8D8"/>
          </w:tcPr>
          <w:p>
            <w:pPr>
              <w:jc w:val="right"/>
              <w:ind w:right="118"/>
              <w:spacing w:after="0"/>
              <w:rPr>
                <w:sz w:val="20"/>
                <w:szCs w:val="20"/>
                <w:color w:val="auto"/>
              </w:rPr>
            </w:pPr>
            <w:r>
              <w:rPr>
                <w:rFonts w:ascii="Arial" w:cs="Arial" w:eastAsia="Arial" w:hAnsi="Arial"/>
                <w:sz w:val="13"/>
                <w:szCs w:val="13"/>
                <w:color w:val="auto"/>
              </w:rPr>
              <w:t>(3,858.6)</w:t>
            </w: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853</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(95.3)</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(3,013.1)</w:t>
            </w:r>
          </w:p>
        </w:tc>
        <w:tc>
          <w:tcPr>
            <w:tcW w:w="1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13,541.7</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4,088.6</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4,088.6</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Other comprehensive income (loss), net of</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tax</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1240" w:type="dxa"/>
            <w:vAlign w:val="bottom"/>
            <w:shd w:val="clear" w:color="auto" w:fill="D8D8D8"/>
          </w:tcPr>
          <w:p>
            <w:pPr>
              <w:jc w:val="right"/>
              <w:ind w:right="158"/>
              <w:spacing w:after="0"/>
              <w:rPr>
                <w:sz w:val="20"/>
                <w:szCs w:val="20"/>
                <w:color w:val="auto"/>
              </w:rPr>
            </w:pPr>
            <w:r>
              <w:rPr>
                <w:rFonts w:ascii="Arial" w:cs="Arial" w:eastAsia="Arial" w:hAnsi="Arial"/>
                <w:sz w:val="13"/>
                <w:szCs w:val="13"/>
                <w:color w:val="auto"/>
              </w:rPr>
              <w:t>61.5</w:t>
            </w:r>
          </w:p>
        </w:tc>
        <w:tc>
          <w:tcPr>
            <w:tcW w:w="82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$1.96</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(2,186.5)</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(2,186.5)</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(14,912)</w:t>
            </w: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(9.3)</w:t>
            </w: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(711.7)</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(14,912)</w:t>
            </w: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721.1</w:t>
            </w: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Purchase for treasury</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16,918</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(819.2)</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(819.2)</w:t>
            </w:r>
          </w:p>
        </w:tc>
        <w:tc>
          <w:tcPr>
            <w:tcW w:w="0" w:type="dxa"/>
            <w:vAlign w:val="bottom"/>
          </w:tcPr>
          <w:p>
            <w:pPr>
              <w:spacing w:after="0"/>
              <w:rPr>
                <w:sz w:val="1"/>
                <w:szCs w:val="1"/>
                <w:color w:val="auto"/>
              </w:rPr>
            </w:pPr>
          </w:p>
        </w:tc>
      </w:tr>
      <w:tr>
        <w:trPr>
          <w:trHeight w:val="164"/>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plans-net</w:t>
            </w:r>
          </w:p>
        </w:tc>
        <w:tc>
          <w:tcPr>
            <w:tcW w:w="96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2,761</w:t>
            </w:r>
          </w:p>
        </w:tc>
        <w:tc>
          <w:tcPr>
            <w:tcW w:w="220" w:type="dxa"/>
            <w:vAlign w:val="bottom"/>
            <w:shd w:val="clear" w:color="auto" w:fill="D8D8D8"/>
          </w:tcPr>
          <w:p>
            <w:pPr>
              <w:spacing w:after="0"/>
              <w:rPr>
                <w:sz w:val="14"/>
                <w:szCs w:val="14"/>
                <w:color w:val="auto"/>
              </w:rPr>
            </w:pPr>
          </w:p>
        </w:tc>
        <w:tc>
          <w:tcPr>
            <w:tcW w:w="5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1.8</w:t>
            </w: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(65.2)</w:t>
            </w:r>
          </w:p>
        </w:tc>
        <w:tc>
          <w:tcPr>
            <w:tcW w:w="240" w:type="dxa"/>
            <w:vAlign w:val="bottom"/>
            <w:shd w:val="clear" w:color="auto" w:fill="D8D8D8"/>
          </w:tcPr>
          <w:p>
            <w:pPr>
              <w:spacing w:after="0"/>
              <w:rPr>
                <w:sz w:val="14"/>
                <w:szCs w:val="14"/>
                <w:color w:val="auto"/>
              </w:rPr>
            </w:pPr>
          </w:p>
        </w:tc>
        <w:tc>
          <w:tcPr>
            <w:tcW w:w="8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(9)</w:t>
            </w:r>
          </w:p>
        </w:tc>
        <w:tc>
          <w:tcPr>
            <w:tcW w:w="200" w:type="dxa"/>
            <w:vAlign w:val="bottom"/>
            <w:shd w:val="clear" w:color="auto" w:fill="D8D8D8"/>
          </w:tcPr>
          <w:p>
            <w:pPr>
              <w:spacing w:after="0"/>
              <w:rPr>
                <w:sz w:val="14"/>
                <w:szCs w:val="14"/>
                <w:color w:val="auto"/>
              </w:rPr>
            </w:pPr>
          </w:p>
        </w:tc>
        <w:tc>
          <w:tcPr>
            <w:tcW w:w="64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1.0</w:t>
            </w:r>
          </w:p>
        </w:tc>
        <w:tc>
          <w:tcPr>
            <w:tcW w:w="24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3"/>
                <w:szCs w:val="13"/>
                <w:color w:val="auto"/>
              </w:rPr>
              <w:t>141.5</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141.5</w:t>
            </w:r>
          </w:p>
        </w:tc>
        <w:tc>
          <w:tcPr>
            <w:tcW w:w="0" w:type="dxa"/>
            <w:vAlign w:val="bottom"/>
          </w:tcPr>
          <w:p>
            <w:pPr>
              <w:spacing w:after="0"/>
              <w:rPr>
                <w:sz w:val="1"/>
                <w:szCs w:val="1"/>
                <w:color w:val="auto"/>
              </w:rPr>
            </w:pPr>
          </w:p>
        </w:tc>
      </w:tr>
      <w:tr>
        <w:trPr>
          <w:trHeight w:val="272"/>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D8D8D8"/>
          </w:tcPr>
          <w:p>
            <w:pPr>
              <w:spacing w:after="0"/>
              <w:rPr>
                <w:sz w:val="23"/>
                <w:szCs w:val="23"/>
                <w:color w:val="auto"/>
              </w:rPr>
            </w:pPr>
          </w:p>
        </w:tc>
        <w:tc>
          <w:tcPr>
            <w:tcW w:w="220" w:type="dxa"/>
            <w:vAlign w:val="bottom"/>
            <w:tcBorders>
              <w:bottom w:val="single" w:sz="8" w:color="auto"/>
            </w:tcBorders>
            <w:shd w:val="clear" w:color="auto" w:fill="D8D8D8"/>
          </w:tcPr>
          <w:p>
            <w:pPr>
              <w:spacing w:after="0"/>
              <w:rPr>
                <w:sz w:val="23"/>
                <w:szCs w:val="23"/>
                <w:color w:val="auto"/>
              </w:rPr>
            </w:pPr>
          </w:p>
        </w:tc>
        <w:tc>
          <w:tcPr>
            <w:tcW w:w="58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74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800" w:type="dxa"/>
            <w:vAlign w:val="bottom"/>
            <w:tcBorders>
              <w:bottom w:val="single" w:sz="8" w:color="auto"/>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64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70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3"/>
                <w:szCs w:val="13"/>
                <w:color w:val="auto"/>
              </w:rPr>
              <w:t>(0.1)</w:t>
            </w:r>
          </w:p>
        </w:tc>
        <w:tc>
          <w:tcPr>
            <w:tcW w:w="18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Balance at December 31, 2012</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1,146,493</w:t>
            </w:r>
          </w:p>
        </w:tc>
        <w:tc>
          <w:tcPr>
            <w:tcW w:w="22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716.6</w:t>
            </w:r>
          </w:p>
        </w:tc>
        <w:tc>
          <w:tcPr>
            <w:tcW w:w="24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3"/>
                <w:szCs w:val="13"/>
                <w:color w:val="auto"/>
              </w:rPr>
              <w:t>4,963.1</w:t>
            </w:r>
          </w:p>
        </w:tc>
        <w:tc>
          <w:tcPr>
            <w:tcW w:w="240" w:type="dxa"/>
            <w:vAlign w:val="bottom"/>
          </w:tcPr>
          <w:p>
            <w:pPr>
              <w:spacing w:after="0"/>
              <w:rPr>
                <w:sz w:val="22"/>
                <w:szCs w:val="22"/>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16,088.2</w:t>
            </w:r>
          </w:p>
        </w:tc>
        <w:tc>
          <w:tcPr>
            <w:tcW w:w="200" w:type="dxa"/>
            <w:vAlign w:val="bottom"/>
          </w:tcPr>
          <w:p>
            <w:pPr>
              <w:spacing w:after="0"/>
              <w:rPr>
                <w:sz w:val="22"/>
                <w:szCs w:val="22"/>
                <w:color w:val="auto"/>
              </w:rPr>
            </w:pPr>
          </w:p>
        </w:tc>
        <w:tc>
          <w:tcPr>
            <w:tcW w:w="1240" w:type="dxa"/>
            <w:vAlign w:val="bottom"/>
          </w:tcPr>
          <w:p>
            <w:pPr>
              <w:jc w:val="right"/>
              <w:ind w:right="118"/>
              <w:spacing w:after="0"/>
              <w:rPr>
                <w:sz w:val="20"/>
                <w:szCs w:val="20"/>
                <w:color w:val="auto"/>
              </w:rPr>
            </w:pPr>
            <w:r>
              <w:rPr>
                <w:rFonts w:ascii="Arial" w:cs="Arial" w:eastAsia="Arial" w:hAnsi="Arial"/>
                <w:sz w:val="13"/>
                <w:szCs w:val="13"/>
                <w:color w:val="auto"/>
              </w:rPr>
              <w:t>(3,797.1)</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2,850</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(192.4)</w:t>
            </w:r>
          </w:p>
        </w:tc>
        <w:tc>
          <w:tcPr>
            <w:tcW w:w="240" w:type="dxa"/>
            <w:vAlign w:val="bottom"/>
          </w:tcPr>
          <w:p>
            <w:pPr>
              <w:spacing w:after="0"/>
              <w:rPr>
                <w:sz w:val="22"/>
                <w:szCs w:val="22"/>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(3,013.2)</w:t>
            </w: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14,765.2</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78"/>
              <w:spacing w:after="0"/>
              <w:rPr>
                <w:sz w:val="20"/>
                <w:szCs w:val="20"/>
                <w:color w:val="auto"/>
              </w:rPr>
            </w:pPr>
            <w:r>
              <w:rPr>
                <w:rFonts w:ascii="Arial" w:cs="Arial" w:eastAsia="Arial" w:hAnsi="Arial"/>
                <w:sz w:val="13"/>
                <w:szCs w:val="13"/>
                <w:color w:val="auto"/>
              </w:rPr>
              <w:t>4,684.8</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4,684.8</w:t>
            </w: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Other comprehensive income (loss), net of</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40"/>
              <w:spacing w:after="0"/>
              <w:rPr>
                <w:sz w:val="20"/>
                <w:szCs w:val="20"/>
                <w:color w:val="auto"/>
              </w:rPr>
            </w:pPr>
            <w:r>
              <w:rPr>
                <w:rFonts w:ascii="Arial" w:cs="Arial" w:eastAsia="Arial" w:hAnsi="Arial"/>
                <w:sz w:val="13"/>
                <w:szCs w:val="13"/>
                <w:color w:val="auto"/>
              </w:rPr>
              <w:t>tax</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158"/>
              <w:spacing w:after="0"/>
              <w:rPr>
                <w:sz w:val="20"/>
                <w:szCs w:val="20"/>
                <w:color w:val="auto"/>
              </w:rPr>
            </w:pPr>
            <w:r>
              <w:rPr>
                <w:rFonts w:ascii="Arial" w:cs="Arial" w:eastAsia="Arial" w:hAnsi="Arial"/>
                <w:sz w:val="13"/>
                <w:szCs w:val="13"/>
                <w:color w:val="auto"/>
              </w:rPr>
              <w:t>1,794.4</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1,794.4</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Cash dividends declared per share: $1.96</w:t>
            </w:r>
          </w:p>
        </w:tc>
        <w:tc>
          <w:tcPr>
            <w:tcW w:w="9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(2,102.8)</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(2,102.8)</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(32,406)</w:t>
            </w:r>
          </w:p>
        </w:tc>
        <w:tc>
          <w:tcPr>
            <w:tcW w:w="2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(20.3)</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(1,677.8)</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(32,406)</w:t>
            </w:r>
          </w:p>
        </w:tc>
        <w:tc>
          <w:tcPr>
            <w:tcW w:w="20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1,698.1</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Purchase for treasury</w:t>
            </w:r>
          </w:p>
        </w:tc>
        <w:tc>
          <w:tcPr>
            <w:tcW w:w="9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color w:val="auto"/>
              </w:rPr>
              <w:t>30,400</w:t>
            </w: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(1,600.0)</w:t>
            </w: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(1,600.0)</w:t>
            </w: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plans-net</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3,541</w:t>
            </w:r>
          </w:p>
        </w:tc>
        <w:tc>
          <w:tcPr>
            <w:tcW w:w="220" w:type="dxa"/>
            <w:vAlign w:val="bottom"/>
          </w:tcPr>
          <w:p>
            <w:pPr>
              <w:spacing w:after="0"/>
              <w:rPr>
                <w:sz w:val="13"/>
                <w:szCs w:val="13"/>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2.2</w:t>
            </w:r>
          </w:p>
        </w:tc>
        <w:tc>
          <w:tcPr>
            <w:tcW w:w="240" w:type="dxa"/>
            <w:vAlign w:val="bottom"/>
          </w:tcPr>
          <w:p>
            <w:pPr>
              <w:spacing w:after="0"/>
              <w:rPr>
                <w:sz w:val="13"/>
                <w:szCs w:val="13"/>
                <w:color w:val="auto"/>
              </w:rPr>
            </w:pPr>
          </w:p>
        </w:tc>
        <w:tc>
          <w:tcPr>
            <w:tcW w:w="740" w:type="dxa"/>
            <w:vAlign w:val="bottom"/>
          </w:tcPr>
          <w:p>
            <w:pPr>
              <w:jc w:val="right"/>
              <w:ind w:right="59"/>
              <w:spacing w:after="0"/>
              <w:rPr>
                <w:sz w:val="20"/>
                <w:szCs w:val="20"/>
                <w:color w:val="auto"/>
              </w:rPr>
            </w:pPr>
            <w:r>
              <w:rPr>
                <w:rFonts w:ascii="Arial" w:cs="Arial" w:eastAsia="Arial" w:hAnsi="Arial"/>
                <w:sz w:val="13"/>
                <w:szCs w:val="13"/>
                <w:color w:val="auto"/>
              </w:rPr>
              <w:t>(58.0)</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3"/>
                <w:szCs w:val="13"/>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0.7</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272"/>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shd w:val="clear" w:color="auto" w:fill="D8D8D8"/>
          </w:tcPr>
          <w:p>
            <w:pPr>
              <w:spacing w:after="0"/>
              <w:rPr>
                <w:sz w:val="23"/>
                <w:szCs w:val="23"/>
                <w:color w:val="auto"/>
              </w:rPr>
            </w:pPr>
          </w:p>
        </w:tc>
        <w:tc>
          <w:tcPr>
            <w:tcW w:w="220" w:type="dxa"/>
            <w:vAlign w:val="bottom"/>
            <w:tcBorders>
              <w:bottom w:val="single" w:sz="8" w:color="auto"/>
            </w:tcBorders>
            <w:shd w:val="clear" w:color="auto" w:fill="D8D8D8"/>
          </w:tcPr>
          <w:p>
            <w:pPr>
              <w:spacing w:after="0"/>
              <w:rPr>
                <w:sz w:val="23"/>
                <w:szCs w:val="23"/>
                <w:color w:val="auto"/>
              </w:rPr>
            </w:pPr>
          </w:p>
        </w:tc>
        <w:tc>
          <w:tcPr>
            <w:tcW w:w="58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740" w:type="dxa"/>
            <w:vAlign w:val="bottom"/>
            <w:tcBorders>
              <w:bottom w:val="single" w:sz="8" w:color="auto"/>
            </w:tcBorders>
            <w:shd w:val="clear" w:color="auto" w:fill="D8D8D8"/>
          </w:tcPr>
          <w:p>
            <w:pPr>
              <w:jc w:val="right"/>
              <w:ind w:right="99"/>
              <w:spacing w:after="0"/>
              <w:rPr>
                <w:sz w:val="20"/>
                <w:szCs w:val="20"/>
                <w:color w:val="auto"/>
              </w:rPr>
            </w:pPr>
            <w:r>
              <w:rPr>
                <w:rFonts w:ascii="Arial" w:cs="Arial" w:eastAsia="Arial" w:hAnsi="Arial"/>
                <w:sz w:val="13"/>
                <w:szCs w:val="13"/>
                <w:color w:val="auto"/>
              </w:rPr>
              <w:t>144.9</w:t>
            </w:r>
          </w:p>
        </w:tc>
        <w:tc>
          <w:tcPr>
            <w:tcW w:w="240" w:type="dxa"/>
            <w:vAlign w:val="bottom"/>
            <w:tcBorders>
              <w:bottom w:val="single" w:sz="8" w:color="auto"/>
            </w:tcBorders>
            <w:shd w:val="clear" w:color="auto" w:fill="D8D8D8"/>
          </w:tcPr>
          <w:p>
            <w:pPr>
              <w:spacing w:after="0"/>
              <w:rPr>
                <w:sz w:val="23"/>
                <w:szCs w:val="23"/>
                <w:color w:val="auto"/>
              </w:rPr>
            </w:pPr>
          </w:p>
        </w:tc>
        <w:tc>
          <w:tcPr>
            <w:tcW w:w="800" w:type="dxa"/>
            <w:vAlign w:val="bottom"/>
            <w:tcBorders>
              <w:bottom w:val="single" w:sz="8" w:color="auto"/>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64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700" w:type="dxa"/>
            <w:vAlign w:val="bottom"/>
            <w:tcBorders>
              <w:bottom w:val="single" w:sz="8" w:color="auto"/>
            </w:tcBorders>
            <w:shd w:val="clear" w:color="auto" w:fill="D8D8D8"/>
          </w:tcPr>
          <w:p>
            <w:pPr>
              <w:spacing w:after="0"/>
              <w:rPr>
                <w:sz w:val="23"/>
                <w:szCs w:val="23"/>
                <w:color w:val="auto"/>
              </w:rPr>
            </w:pPr>
          </w:p>
        </w:tc>
        <w:tc>
          <w:tcPr>
            <w:tcW w:w="18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3"/>
                <w:szCs w:val="13"/>
                <w:color w:val="auto"/>
              </w:rPr>
              <w:t>144.9</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Balance at December 31, 2013</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1,117,628</w:t>
            </w:r>
          </w:p>
        </w:tc>
        <w:tc>
          <w:tcPr>
            <w:tcW w:w="22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698.5</w:t>
            </w:r>
          </w:p>
        </w:tc>
        <w:tc>
          <w:tcPr>
            <w:tcW w:w="24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3"/>
                <w:szCs w:val="13"/>
                <w:color w:val="auto"/>
              </w:rPr>
              <w:t>5,050.0</w:t>
            </w:r>
          </w:p>
        </w:tc>
        <w:tc>
          <w:tcPr>
            <w:tcW w:w="240" w:type="dxa"/>
            <w:vAlign w:val="bottom"/>
          </w:tcPr>
          <w:p>
            <w:pPr>
              <w:spacing w:after="0"/>
              <w:rPr>
                <w:sz w:val="22"/>
                <w:szCs w:val="22"/>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16,992.4</w:t>
            </w:r>
          </w:p>
        </w:tc>
        <w:tc>
          <w:tcPr>
            <w:tcW w:w="200" w:type="dxa"/>
            <w:vAlign w:val="bottom"/>
          </w:tcPr>
          <w:p>
            <w:pPr>
              <w:spacing w:after="0"/>
              <w:rPr>
                <w:sz w:val="22"/>
                <w:szCs w:val="22"/>
                <w:color w:val="auto"/>
              </w:rPr>
            </w:pPr>
          </w:p>
        </w:tc>
        <w:tc>
          <w:tcPr>
            <w:tcW w:w="1240" w:type="dxa"/>
            <w:vAlign w:val="bottom"/>
          </w:tcPr>
          <w:p>
            <w:pPr>
              <w:jc w:val="right"/>
              <w:ind w:right="118"/>
              <w:spacing w:after="0"/>
              <w:rPr>
                <w:sz w:val="20"/>
                <w:szCs w:val="20"/>
                <w:color w:val="auto"/>
              </w:rPr>
            </w:pPr>
            <w:r>
              <w:rPr>
                <w:rFonts w:ascii="Arial" w:cs="Arial" w:eastAsia="Arial" w:hAnsi="Arial"/>
                <w:sz w:val="13"/>
                <w:szCs w:val="13"/>
                <w:color w:val="auto"/>
              </w:rPr>
              <w:t>(2,002.7)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833</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(93.6)</w:t>
            </w:r>
          </w:p>
        </w:tc>
        <w:tc>
          <w:tcPr>
            <w:tcW w:w="240" w:type="dxa"/>
            <w:vAlign w:val="bottom"/>
          </w:tcPr>
          <w:p>
            <w:pPr>
              <w:spacing w:after="0"/>
              <w:rPr>
                <w:sz w:val="22"/>
                <w:szCs w:val="22"/>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(3,013.2)</w:t>
            </w: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17,631.4</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78"/>
              <w:spacing w:after="0"/>
              <w:rPr>
                <w:sz w:val="20"/>
                <w:szCs w:val="20"/>
                <w:color w:val="auto"/>
              </w:rPr>
            </w:pPr>
            <w:r>
              <w:rPr>
                <w:rFonts w:ascii="Arial" w:cs="Arial" w:eastAsia="Arial" w:hAnsi="Arial"/>
                <w:sz w:val="13"/>
                <w:szCs w:val="13"/>
                <w:b w:val="1"/>
                <w:bCs w:val="1"/>
                <w:color w:val="auto"/>
              </w:rPr>
              <w:t>2,390.5</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2,390.5</w:t>
            </w: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Other comprehensive income (loss), net of</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(1,989.1)</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(1,989.1)</w:t>
            </w:r>
          </w:p>
        </w:tc>
        <w:tc>
          <w:tcPr>
            <w:tcW w:w="0" w:type="dxa"/>
            <w:vAlign w:val="bottom"/>
          </w:tcPr>
          <w:p>
            <w:pPr>
              <w:spacing w:after="0"/>
              <w:rPr>
                <w:sz w:val="1"/>
                <w:szCs w:val="1"/>
                <w:color w:val="auto"/>
              </w:rPr>
            </w:pPr>
          </w:p>
        </w:tc>
      </w:tr>
      <w:tr>
        <w:trPr>
          <w:trHeight w:val="160"/>
        </w:trPr>
        <w:tc>
          <w:tcPr>
            <w:tcW w:w="2520" w:type="dxa"/>
            <w:vAlign w:val="bottom"/>
          </w:tcPr>
          <w:p>
            <w:pPr>
              <w:ind w:left="40"/>
              <w:spacing w:after="0"/>
              <w:rPr>
                <w:sz w:val="20"/>
                <w:szCs w:val="20"/>
                <w:color w:val="auto"/>
              </w:rPr>
            </w:pPr>
            <w:r>
              <w:rPr>
                <w:rFonts w:ascii="Arial" w:cs="Arial" w:eastAsia="Arial" w:hAnsi="Arial"/>
                <w:sz w:val="13"/>
                <w:szCs w:val="13"/>
                <w:color w:val="auto"/>
              </w:rPr>
              <w:t>tax</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Cash dividends declared per share: $1.97</w:t>
            </w:r>
          </w:p>
        </w:tc>
        <w:tc>
          <w:tcPr>
            <w:tcW w:w="9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(2,108.1)</w:t>
            </w: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(2,108.1)</w:t>
            </w: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tcPr>
          <w:p>
            <w:pPr>
              <w:jc w:val="right"/>
              <w:ind w:right="38"/>
              <w:spacing w:after="0"/>
              <w:rPr>
                <w:sz w:val="20"/>
                <w:szCs w:val="20"/>
                <w:color w:val="auto"/>
              </w:rPr>
            </w:pPr>
            <w:r>
              <w:rPr>
                <w:rFonts w:ascii="Arial" w:cs="Arial" w:eastAsia="Arial" w:hAnsi="Arial"/>
                <w:sz w:val="13"/>
                <w:szCs w:val="13"/>
                <w:b w:val="1"/>
                <w:bCs w:val="1"/>
                <w:color w:val="auto"/>
              </w:rPr>
              <w:t>(12,579)</w:t>
            </w:r>
          </w:p>
        </w:tc>
        <w:tc>
          <w:tcPr>
            <w:tcW w:w="2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b w:val="1"/>
                <w:bCs w:val="1"/>
                <w:color w:val="auto"/>
              </w:rPr>
              <w:t>(7.9)</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(792.1)</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(12,579)</w:t>
            </w:r>
          </w:p>
        </w:tc>
        <w:tc>
          <w:tcPr>
            <w:tcW w:w="20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b w:val="1"/>
                <w:bCs w:val="1"/>
                <w:color w:val="auto"/>
              </w:rPr>
              <w:t>800.0</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Purchase for treasury</w:t>
            </w:r>
          </w:p>
        </w:tc>
        <w:tc>
          <w:tcPr>
            <w:tcW w:w="9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98"/>
              <w:spacing w:after="0"/>
              <w:rPr>
                <w:sz w:val="20"/>
                <w:szCs w:val="20"/>
                <w:color w:val="auto"/>
              </w:rPr>
            </w:pPr>
            <w:r>
              <w:rPr>
                <w:rFonts w:ascii="Arial" w:cs="Arial" w:eastAsia="Arial" w:hAnsi="Arial"/>
                <w:sz w:val="13"/>
                <w:szCs w:val="13"/>
                <w:b w:val="1"/>
                <w:bCs w:val="1"/>
                <w:color w:val="auto"/>
              </w:rPr>
              <w:t>12,579</w:t>
            </w:r>
          </w:p>
        </w:tc>
        <w:tc>
          <w:tcPr>
            <w:tcW w:w="200" w:type="dxa"/>
            <w:vAlign w:val="bottom"/>
            <w:shd w:val="clear" w:color="auto" w:fill="D8D8D8"/>
          </w:tcPr>
          <w:p>
            <w:pPr>
              <w:spacing w:after="0"/>
              <w:rPr>
                <w:sz w:val="24"/>
                <w:szCs w:val="24"/>
                <w:color w:val="auto"/>
              </w:rPr>
            </w:pPr>
          </w:p>
        </w:tc>
        <w:tc>
          <w:tcPr>
            <w:tcW w:w="64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(800.0)</w:t>
            </w:r>
          </w:p>
        </w:tc>
        <w:tc>
          <w:tcPr>
            <w:tcW w:w="240" w:type="dxa"/>
            <w:vAlign w:val="bottom"/>
            <w:shd w:val="clear" w:color="auto" w:fill="D8D8D8"/>
          </w:tcPr>
          <w:p>
            <w:pPr>
              <w:spacing w:after="0"/>
              <w:rPr>
                <w:sz w:val="24"/>
                <w:szCs w:val="24"/>
                <w:color w:val="auto"/>
              </w:rPr>
            </w:pPr>
          </w:p>
        </w:tc>
        <w:tc>
          <w:tcPr>
            <w:tcW w:w="70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(800.0)</w:t>
            </w:r>
          </w:p>
        </w:tc>
        <w:tc>
          <w:tcPr>
            <w:tcW w:w="0" w:type="dxa"/>
            <w:vAlign w:val="bottom"/>
          </w:tcPr>
          <w:p>
            <w:pPr>
              <w:spacing w:after="0"/>
              <w:rPr>
                <w:sz w:val="1"/>
                <w:szCs w:val="1"/>
                <w:color w:val="auto"/>
              </w:rPr>
            </w:pPr>
          </w:p>
        </w:tc>
      </w:tr>
      <w:tr>
        <w:trPr>
          <w:trHeight w:val="156"/>
        </w:trPr>
        <w:tc>
          <w:tcPr>
            <w:tcW w:w="2520" w:type="dxa"/>
            <w:vAlign w:val="bottom"/>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6,388</w:t>
            </w:r>
          </w:p>
        </w:tc>
        <w:tc>
          <w:tcPr>
            <w:tcW w:w="220" w:type="dxa"/>
            <w:vAlign w:val="bottom"/>
          </w:tcPr>
          <w:p>
            <w:pPr>
              <w:spacing w:after="0"/>
              <w:rPr>
                <w:sz w:val="13"/>
                <w:szCs w:val="13"/>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4.0</w:t>
            </w:r>
          </w:p>
        </w:tc>
        <w:tc>
          <w:tcPr>
            <w:tcW w:w="240" w:type="dxa"/>
            <w:vAlign w:val="bottom"/>
          </w:tcPr>
          <w:p>
            <w:pPr>
              <w:spacing w:after="0"/>
              <w:rPr>
                <w:sz w:val="13"/>
                <w:szCs w:val="13"/>
                <w:color w:val="auto"/>
              </w:rPr>
            </w:pPr>
          </w:p>
        </w:tc>
        <w:tc>
          <w:tcPr>
            <w:tcW w:w="740" w:type="dxa"/>
            <w:vAlign w:val="bottom"/>
            <w:vMerge w:val="restart"/>
          </w:tcPr>
          <w:p>
            <w:pPr>
              <w:jc w:val="right"/>
              <w:ind w:right="99"/>
              <w:spacing w:after="0"/>
              <w:rPr>
                <w:sz w:val="20"/>
                <w:szCs w:val="20"/>
                <w:color w:val="auto"/>
              </w:rPr>
            </w:pPr>
            <w:r>
              <w:rPr>
                <w:rFonts w:ascii="Arial" w:cs="Arial" w:eastAsia="Arial" w:hAnsi="Arial"/>
                <w:sz w:val="13"/>
                <w:szCs w:val="13"/>
                <w:b w:val="1"/>
                <w:bCs w:val="1"/>
                <w:color w:val="auto"/>
              </w:rPr>
              <w:t>86.3</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(23)</w:t>
            </w:r>
          </w:p>
        </w:tc>
        <w:tc>
          <w:tcPr>
            <w:tcW w:w="200" w:type="dxa"/>
            <w:vAlign w:val="bottom"/>
          </w:tcPr>
          <w:p>
            <w:pPr>
              <w:spacing w:after="0"/>
              <w:rPr>
                <w:sz w:val="13"/>
                <w:szCs w:val="13"/>
                <w:color w:val="auto"/>
              </w:rPr>
            </w:pPr>
          </w:p>
        </w:tc>
        <w:tc>
          <w:tcPr>
            <w:tcW w:w="64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2.2</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92.5</w:t>
            </w: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plans-net</w:t>
            </w: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520" w:type="dxa"/>
            <w:vAlign w:val="bottom"/>
            <w:shd w:val="clear" w:color="auto" w:fill="D8D8D8"/>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Borders>
              <w:bottom w:val="single" w:sz="8" w:color="auto"/>
            </w:tcBorders>
            <w:shd w:val="clear" w:color="auto" w:fill="D8D8D8"/>
          </w:tcPr>
          <w:p>
            <w:pPr>
              <w:spacing w:after="0"/>
              <w:rPr>
                <w:sz w:val="23"/>
                <w:szCs w:val="23"/>
                <w:color w:val="auto"/>
              </w:rPr>
            </w:pPr>
          </w:p>
        </w:tc>
        <w:tc>
          <w:tcPr>
            <w:tcW w:w="220" w:type="dxa"/>
            <w:vAlign w:val="bottom"/>
            <w:tcBorders>
              <w:bottom w:val="single" w:sz="8" w:color="auto"/>
            </w:tcBorders>
            <w:shd w:val="clear" w:color="auto" w:fill="D8D8D8"/>
          </w:tcPr>
          <w:p>
            <w:pPr>
              <w:spacing w:after="0"/>
              <w:rPr>
                <w:sz w:val="23"/>
                <w:szCs w:val="23"/>
                <w:color w:val="auto"/>
              </w:rPr>
            </w:pPr>
          </w:p>
        </w:tc>
        <w:tc>
          <w:tcPr>
            <w:tcW w:w="58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740" w:type="dxa"/>
            <w:vAlign w:val="bottom"/>
            <w:tcBorders>
              <w:bottom w:val="single" w:sz="8" w:color="auto"/>
            </w:tcBorders>
            <w:shd w:val="clear" w:color="auto" w:fill="D8D8D8"/>
          </w:tcPr>
          <w:p>
            <w:pPr>
              <w:jc w:val="right"/>
              <w:ind w:right="99"/>
              <w:spacing w:after="0"/>
              <w:rPr>
                <w:sz w:val="20"/>
                <w:szCs w:val="20"/>
                <w:color w:val="auto"/>
              </w:rPr>
            </w:pPr>
            <w:r>
              <w:rPr>
                <w:rFonts w:ascii="Arial" w:cs="Arial" w:eastAsia="Arial" w:hAnsi="Arial"/>
                <w:sz w:val="13"/>
                <w:szCs w:val="13"/>
                <w:b w:val="1"/>
                <w:bCs w:val="1"/>
                <w:color w:val="auto"/>
              </w:rPr>
              <w:t>156.0</w:t>
            </w:r>
          </w:p>
        </w:tc>
        <w:tc>
          <w:tcPr>
            <w:tcW w:w="240" w:type="dxa"/>
            <w:vAlign w:val="bottom"/>
            <w:tcBorders>
              <w:bottom w:val="single" w:sz="8" w:color="auto"/>
            </w:tcBorders>
            <w:shd w:val="clear" w:color="auto" w:fill="D8D8D8"/>
          </w:tcPr>
          <w:p>
            <w:pPr>
              <w:spacing w:after="0"/>
              <w:rPr>
                <w:sz w:val="23"/>
                <w:szCs w:val="23"/>
                <w:color w:val="auto"/>
              </w:rPr>
            </w:pPr>
          </w:p>
        </w:tc>
        <w:tc>
          <w:tcPr>
            <w:tcW w:w="800" w:type="dxa"/>
            <w:vAlign w:val="bottom"/>
            <w:tcBorders>
              <w:bottom w:val="single" w:sz="8" w:color="auto"/>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spacing w:after="0"/>
              <w:rPr>
                <w:sz w:val="23"/>
                <w:szCs w:val="23"/>
                <w:color w:val="auto"/>
              </w:rPr>
            </w:pPr>
          </w:p>
        </w:tc>
        <w:tc>
          <w:tcPr>
            <w:tcW w:w="820" w:type="dxa"/>
            <w:vAlign w:val="bottom"/>
            <w:tcBorders>
              <w:bottom w:val="single" w:sz="8" w:color="auto"/>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64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spacing w:after="0"/>
              <w:rPr>
                <w:sz w:val="23"/>
                <w:szCs w:val="23"/>
                <w:color w:val="auto"/>
              </w:rPr>
            </w:pPr>
          </w:p>
        </w:tc>
        <w:tc>
          <w:tcPr>
            <w:tcW w:w="700" w:type="dxa"/>
            <w:vAlign w:val="bottom"/>
            <w:tcBorders>
              <w:bottom w:val="single" w:sz="8" w:color="auto"/>
            </w:tcBorders>
            <w:shd w:val="clear" w:color="auto" w:fill="D8D8D8"/>
          </w:tcPr>
          <w:p>
            <w:pPr>
              <w:spacing w:after="0"/>
              <w:rPr>
                <w:sz w:val="23"/>
                <w:szCs w:val="23"/>
                <w:color w:val="auto"/>
              </w:rPr>
            </w:pPr>
          </w:p>
        </w:tc>
        <w:tc>
          <w:tcPr>
            <w:tcW w:w="18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ind w:right="38"/>
              <w:spacing w:after="0"/>
              <w:rPr>
                <w:sz w:val="20"/>
                <w:szCs w:val="20"/>
                <w:color w:val="auto"/>
              </w:rPr>
            </w:pPr>
            <w:r>
              <w:rPr>
                <w:rFonts w:ascii="Arial" w:cs="Arial" w:eastAsia="Arial" w:hAnsi="Arial"/>
                <w:sz w:val="13"/>
                <w:szCs w:val="13"/>
                <w:b w:val="1"/>
                <w:bCs w:val="1"/>
                <w:color w:val="auto"/>
              </w:rPr>
              <w:t>156.0</w:t>
            </w:r>
          </w:p>
        </w:tc>
        <w:tc>
          <w:tcPr>
            <w:tcW w:w="0" w:type="dxa"/>
            <w:vAlign w:val="bottom"/>
          </w:tcPr>
          <w:p>
            <w:pPr>
              <w:spacing w:after="0"/>
              <w:rPr>
                <w:sz w:val="1"/>
                <w:szCs w:val="1"/>
                <w:color w:val="auto"/>
              </w:rPr>
            </w:pPr>
          </w:p>
        </w:tc>
      </w:tr>
      <w:tr>
        <w:trPr>
          <w:trHeight w:val="277"/>
        </w:trPr>
        <w:tc>
          <w:tcPr>
            <w:tcW w:w="2520" w:type="dxa"/>
            <w:vAlign w:val="bottom"/>
          </w:tcPr>
          <w:p>
            <w:pPr>
              <w:ind w:left="40"/>
              <w:spacing w:after="0"/>
              <w:rPr>
                <w:sz w:val="20"/>
                <w:szCs w:val="20"/>
                <w:color w:val="auto"/>
              </w:rPr>
            </w:pPr>
            <w:r>
              <w:rPr>
                <w:rFonts w:ascii="Arial" w:cs="Arial" w:eastAsia="Arial" w:hAnsi="Arial"/>
                <w:sz w:val="13"/>
                <w:szCs w:val="13"/>
                <w:color w:val="auto"/>
              </w:rPr>
              <w:t>Balance at December 31, 2014</w:t>
            </w: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1,111,437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694.6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5,292.3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16,482.7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(3,991.8)</w:t>
            </w: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810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15,373.2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53</w:t>
      </w:r>
    </w:p>
    <w:p>
      <w:pPr>
        <w:sectPr>
          <w:pgSz w:w="11900" w:h="16838" w:orient="portrait"/>
          <w:cols w:equalWidth="0" w:num="1">
            <w:col w:w="11420"/>
          </w:cols>
          <w:pgMar w:left="240" w:top="569" w:right="239" w:bottom="1440" w:gutter="0" w:footer="0" w:header="0"/>
        </w:sectPr>
      </w:pPr>
    </w:p>
    <w:bookmarkStart w:id="53" w:name="page54"/>
    <w:bookmarkEnd w:id="53"/>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52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18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1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2,390.5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4,684.8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4,088.6</w:t>
            </w:r>
          </w:p>
        </w:tc>
      </w:tr>
      <w:tr>
        <w:trPr>
          <w:trHeight w:val="213"/>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Adjustments to Reconcile Net Income</w:t>
            </w:r>
          </w:p>
        </w:tc>
        <w:tc>
          <w:tcPr>
            <w:tcW w:w="218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r>
      <w:tr>
        <w:trPr>
          <w:trHeight w:val="252"/>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to Cash Flows from Operating Activities</w:t>
            </w:r>
          </w:p>
        </w:tc>
        <w:tc>
          <w:tcPr>
            <w:tcW w:w="218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1,379.0</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1,445.6</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1,462.2</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Change in deferred income taxes</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(36.4)</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285.9</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126.0</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156.0</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144.9</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141.5</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Net realized investment gains</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(195.1)</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(66.9)</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Impairment charges, indefinite lived intangibles</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205.0</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Acquired in-process research and development, net of tax</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130.2</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37.1</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Income related to termination of the exenatide collaboration with Amylin (Note 4)</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(787.8)</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Proceeds from terminations of interest rate swaps</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340.7</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Other non-cash operating activities, net</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241.1</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66.1</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187.4</w:t>
            </w:r>
          </w:p>
        </w:tc>
      </w:tr>
      <w:tr>
        <w:trPr>
          <w:trHeight w:val="277"/>
        </w:trPr>
        <w:tc>
          <w:tcPr>
            <w:tcW w:w="7400" w:type="dxa"/>
            <w:vAlign w:val="bottom"/>
            <w:gridSpan w:val="2"/>
            <w:shd w:val="clear" w:color="auto" w:fill="D8D8D8"/>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spacing w:after="0"/>
              <w:rPr>
                <w:sz w:val="24"/>
                <w:szCs w:val="24"/>
                <w:color w:val="auto"/>
              </w:rPr>
            </w:pPr>
          </w:p>
        </w:tc>
      </w:tr>
      <w:tr>
        <w:trPr>
          <w:trHeight w:val="263"/>
        </w:trPr>
        <w:tc>
          <w:tcPr>
            <w:tcW w:w="5220" w:type="dxa"/>
            <w:vAlign w:val="bottom"/>
          </w:tcPr>
          <w:p>
            <w:pPr>
              <w:ind w:left="500"/>
              <w:spacing w:after="0"/>
              <w:rPr>
                <w:sz w:val="20"/>
                <w:szCs w:val="20"/>
                <w:color w:val="auto"/>
              </w:rPr>
            </w:pPr>
            <w:r>
              <w:rPr>
                <w:rFonts w:ascii="Arial" w:cs="Arial" w:eastAsia="Arial" w:hAnsi="Arial"/>
                <w:sz w:val="18"/>
                <w:szCs w:val="18"/>
                <w:color w:val="auto"/>
              </w:rPr>
              <w:t>Receivables—(increase) decrease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117.4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361.8</w:t>
            </w:r>
          </w:p>
        </w:tc>
      </w:tr>
      <w:tr>
        <w:trPr>
          <w:trHeight w:val="277"/>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Inventories—(increase) decrease</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(307.1)</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(286.5)</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(307.9)</w:t>
            </w:r>
          </w:p>
        </w:tc>
      </w:tr>
      <w:tr>
        <w:trPr>
          <w:trHeight w:val="263"/>
        </w:trPr>
        <w:tc>
          <w:tcPr>
            <w:tcW w:w="5220" w:type="dxa"/>
            <w:vAlign w:val="bottom"/>
          </w:tcPr>
          <w:p>
            <w:pPr>
              <w:ind w:left="500"/>
              <w:spacing w:after="0"/>
              <w:rPr>
                <w:sz w:val="20"/>
                <w:szCs w:val="20"/>
                <w:color w:val="auto"/>
              </w:rPr>
            </w:pPr>
            <w:r>
              <w:rPr>
                <w:rFonts w:ascii="Arial" w:cs="Arial" w:eastAsia="Arial" w:hAnsi="Arial"/>
                <w:sz w:val="18"/>
                <w:szCs w:val="18"/>
                <w:color w:val="auto"/>
              </w:rPr>
              <w:t>Other assets—(increase) decrease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411.5</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116.5</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231.0</w:t>
            </w:r>
          </w:p>
        </w:tc>
      </w:tr>
      <w:tr>
        <w:trPr>
          <w:trHeight w:val="277"/>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w w:val="99"/>
              </w:rPr>
              <w:t>Accounts payable and other liabilities—increase (decrease)</w:t>
            </w:r>
          </w:p>
        </w:tc>
        <w:tc>
          <w:tcPr>
            <w:tcW w:w="2180" w:type="dxa"/>
            <w:vAlign w:val="bottom"/>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spacing w:after="0"/>
              <w:rPr>
                <w:sz w:val="24"/>
                <w:szCs w:val="24"/>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(260.7)</w:t>
            </w:r>
          </w:p>
        </w:tc>
        <w:tc>
          <w:tcPr>
            <w:tcW w:w="380" w:type="dxa"/>
            <w:vAlign w:val="bottom"/>
            <w:tcBorders>
              <w:bottom w:val="single" w:sz="8" w:color="auto"/>
            </w:tcBorders>
            <w:shd w:val="clear" w:color="auto" w:fill="D8D8D8"/>
          </w:tcPr>
          <w:p>
            <w:pPr>
              <w:spacing w:after="0"/>
              <w:rPr>
                <w:sz w:val="24"/>
                <w:szCs w:val="24"/>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(70.3)</w:t>
            </w:r>
          </w:p>
        </w:tc>
        <w:tc>
          <w:tcPr>
            <w:tcW w:w="38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(336.1)</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4,367.1</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5,735.0</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5,304.8</w:t>
            </w:r>
          </w:p>
        </w:tc>
      </w:tr>
      <w:tr>
        <w:trPr>
          <w:trHeight w:val="277"/>
        </w:trPr>
        <w:tc>
          <w:tcPr>
            <w:tcW w:w="52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spacing w:after="0"/>
              <w:rPr>
                <w:sz w:val="24"/>
                <w:szCs w:val="24"/>
                <w:color w:val="auto"/>
              </w:rPr>
            </w:pPr>
          </w:p>
        </w:tc>
      </w:tr>
    </w:tbl>
    <w:p>
      <w:pPr>
        <w:spacing w:after="0" w:line="18" w:lineRule="exact"/>
        <w:rPr>
          <w:sz w:val="20"/>
          <w:szCs w:val="20"/>
          <w:color w:val="auto"/>
        </w:rPr>
      </w:pPr>
    </w:p>
    <w:p>
      <w:pPr>
        <w:sectPr>
          <w:pgSz w:w="11900" w:h="16838" w:orient="portrait"/>
          <w:cols w:equalWidth="0" w:num="1">
            <w:col w:w="11420"/>
          </w:cols>
          <w:pgMar w:left="240" w:top="569" w:right="239" w:bottom="1440" w:gutter="0" w:footer="0" w:header="0"/>
        </w:sectPr>
      </w:pP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Disposals of property and equipment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restricted for pending acquisition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 of product rights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paid for acquisitions, net of cash acquired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Proceeds from prepayment of revenue-sharing obligation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investing activities, net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(1,162.6)</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(1,012.1)</w:t>
            </w:r>
          </w:p>
        </w:tc>
        <w:tc>
          <w:tcPr>
            <w:tcW w:w="1100" w:type="dxa"/>
            <w:vAlign w:val="bottom"/>
          </w:tcPr>
          <w:p>
            <w:pPr>
              <w:jc w:val="right"/>
              <w:spacing w:after="0"/>
              <w:rPr>
                <w:sz w:val="20"/>
                <w:szCs w:val="20"/>
                <w:color w:val="auto"/>
              </w:rPr>
            </w:pPr>
            <w:r>
              <w:rPr>
                <w:rFonts w:ascii="Arial" w:cs="Arial" w:eastAsia="Arial" w:hAnsi="Arial"/>
                <w:sz w:val="18"/>
                <w:szCs w:val="18"/>
                <w:color w:val="auto"/>
              </w:rPr>
              <w:t>(905.4)</w:t>
            </w:r>
          </w:p>
        </w:tc>
      </w:tr>
      <w:tr>
        <w:trPr>
          <w:trHeight w:val="270"/>
        </w:trPr>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15.3</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179.4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0"/>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(5,405.6)</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4,054.1</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3,320.1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2,547.5</w:t>
            </w:r>
          </w:p>
        </w:tc>
      </w:tr>
      <w:tr>
        <w:trPr>
          <w:trHeight w:val="270"/>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(1,637.8)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(1,531.0)</w:t>
            </w:r>
          </w:p>
        </w:tc>
        <w:tc>
          <w:tcPr>
            <w:tcW w:w="1100" w:type="dxa"/>
            <w:vAlign w:val="bottom"/>
          </w:tcPr>
          <w:p>
            <w:pPr>
              <w:jc w:val="right"/>
              <w:spacing w:after="0"/>
              <w:rPr>
                <w:sz w:val="20"/>
                <w:szCs w:val="20"/>
                <w:color w:val="auto"/>
              </w:rPr>
            </w:pPr>
            <w:r>
              <w:rPr>
                <w:rFonts w:ascii="Arial" w:cs="Arial" w:eastAsia="Arial" w:hAnsi="Arial"/>
                <w:sz w:val="18"/>
                <w:szCs w:val="18"/>
                <w:color w:val="auto"/>
              </w:rPr>
              <w:t>(2,172.4)</w:t>
            </w:r>
          </w:p>
        </w:tc>
      </w:tr>
      <w:tr>
        <w:trPr>
          <w:trHeight w:val="270"/>
        </w:trPr>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11,009.4</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11,235.0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4,355.7</w:t>
            </w:r>
          </w:p>
        </w:tc>
      </w:tr>
      <w:tr>
        <w:trPr>
          <w:trHeight w:val="270"/>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(9,802.7)</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(14,041.9)</w:t>
            </w:r>
          </w:p>
        </w:tc>
        <w:tc>
          <w:tcPr>
            <w:tcW w:w="1100" w:type="dxa"/>
            <w:vAlign w:val="bottom"/>
          </w:tcPr>
          <w:p>
            <w:pPr>
              <w:jc w:val="right"/>
              <w:spacing w:after="0"/>
              <w:rPr>
                <w:sz w:val="20"/>
                <w:szCs w:val="20"/>
                <w:color w:val="auto"/>
              </w:rPr>
            </w:pPr>
            <w:r>
              <w:rPr>
                <w:rFonts w:ascii="Arial" w:cs="Arial" w:eastAsia="Arial" w:hAnsi="Arial"/>
                <w:sz w:val="18"/>
                <w:szCs w:val="18"/>
                <w:color w:val="auto"/>
              </w:rPr>
              <w:t>(7,618.6)</w:t>
            </w:r>
          </w:p>
        </w:tc>
      </w:tr>
      <w:tr>
        <w:trPr>
          <w:trHeight w:val="270"/>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(308.3)</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(24.1)</w:t>
            </w:r>
          </w:p>
        </w:tc>
        <w:tc>
          <w:tcPr>
            <w:tcW w:w="110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70"/>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(95.0)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(57.1)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(551.4)</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(43.7)</w:t>
            </w:r>
          </w:p>
        </w:tc>
        <w:tc>
          <w:tcPr>
            <w:tcW w:w="110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70"/>
        </w:trPr>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1,212.1</w:t>
            </w:r>
          </w:p>
        </w:tc>
      </w:tr>
      <w:tr>
        <w:trPr>
          <w:trHeight w:val="277"/>
        </w:trPr>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(24.5)</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(97.4)</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r>
      <w:tr>
        <w:trPr>
          <w:trHeight w:val="257"/>
        </w:trPr>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(3,909.1)</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(2,072.8)</w:t>
            </w:r>
          </w:p>
        </w:tc>
        <w:tc>
          <w:tcPr>
            <w:tcW w:w="1100" w:type="dxa"/>
            <w:vAlign w:val="bottom"/>
          </w:tcPr>
          <w:p>
            <w:pPr>
              <w:jc w:val="right"/>
              <w:spacing w:after="0"/>
              <w:rPr>
                <w:sz w:val="20"/>
                <w:szCs w:val="20"/>
                <w:color w:val="auto"/>
              </w:rPr>
            </w:pPr>
            <w:r>
              <w:rPr>
                <w:rFonts w:ascii="Arial" w:cs="Arial" w:eastAsia="Arial" w:hAnsi="Arial"/>
                <w:sz w:val="18"/>
                <w:szCs w:val="18"/>
                <w:color w:val="auto"/>
              </w:rPr>
              <w:t>(2,832.8)</w:t>
            </w:r>
          </w:p>
        </w:tc>
      </w:tr>
    </w:tbl>
    <w:p>
      <w:pPr>
        <w:spacing w:after="0" w:line="301" w:lineRule="exact"/>
        <w:rPr>
          <w:sz w:val="20"/>
          <w:szCs w:val="20"/>
          <w:color w:val="auto"/>
        </w:rPr>
      </w:pPr>
    </w:p>
    <w:p>
      <w:pPr>
        <w:sectPr>
          <w:pgSz w:w="11900" w:h="16838" w:orient="portrait"/>
          <w:cols w:equalWidth="0" w:num="2">
            <w:col w:w="6680" w:space="720"/>
            <w:col w:w="4020"/>
          </w:cols>
          <w:pgMar w:left="240" w:top="569" w:right="239" w:bottom="1440" w:gutter="0" w:footer="0" w:header="0"/>
          <w:type w:val="continuous"/>
        </w:sectPr>
      </w:pP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financing activities, net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right="1640"/>
        <w:spacing w:after="0" w:line="331" w:lineRule="auto"/>
        <w:rPr>
          <w:sz w:val="20"/>
          <w:szCs w:val="20"/>
          <w:color w:val="auto"/>
        </w:rPr>
      </w:pPr>
      <w:r>
        <w:rPr>
          <w:rFonts w:ascii="Arial" w:cs="Arial" w:eastAsia="Arial" w:hAnsi="Arial"/>
          <w:sz w:val="17"/>
          <w:szCs w:val="17"/>
          <w:color w:val="auto"/>
        </w:rPr>
        <w:t>Effect of exchange rate changes on cash and cash equivalents 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right="2860"/>
        <w:spacing w:after="0" w:line="357" w:lineRule="auto"/>
        <w:rPr>
          <w:sz w:val="20"/>
          <w:szCs w:val="20"/>
          <w:color w:val="auto"/>
        </w:rPr>
      </w:pPr>
      <w:r>
        <w:rPr>
          <w:rFonts w:ascii="Arial" w:cs="Arial" w:eastAsia="Arial" w:hAnsi="Arial"/>
          <w:sz w:val="17"/>
          <w:szCs w:val="17"/>
          <w:color w:val="auto"/>
        </w:rPr>
        <w:t xml:space="preserve">Cash and cash equivalents at beginning of year </w:t>
      </w:r>
      <w:r>
        <w:rPr>
          <w:rFonts w:ascii="Arial" w:cs="Arial" w:eastAsia="Arial" w:hAnsi="Arial"/>
          <w:sz w:val="17"/>
          <w:szCs w:val="17"/>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(2,101.2)</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(2,120.7)</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(2,187.4)</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2,680.6</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992.9</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(1,034.8)</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(1,511.1)</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(800.0)</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(1,698.1)</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(721.1)</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187.4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(75.1)</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(3,829.3)</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(4,419.6)</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(341.5)</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r>
      <w:tr>
        <w:trPr>
          <w:trHeight w:val="257"/>
        </w:trPr>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41.4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(188.6)</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(1,903.7)</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3,830.2</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4,018.8</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5,922.5</w:t>
            </w:r>
          </w:p>
        </w:tc>
      </w:tr>
      <w:tr>
        <w:trPr>
          <w:trHeight w:val="277"/>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3,871.6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3,830.2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4,018.8</w:t>
            </w:r>
          </w:p>
        </w:tc>
      </w:tr>
    </w:tbl>
    <w:p>
      <w:pPr>
        <w:spacing w:after="0" w:line="160" w:lineRule="exact"/>
        <w:rPr>
          <w:sz w:val="20"/>
          <w:szCs w:val="20"/>
          <w:color w:val="auto"/>
        </w:rPr>
      </w:pPr>
    </w:p>
    <w:p>
      <w:pPr>
        <w:sectPr>
          <w:pgSz w:w="11900" w:h="16838" w:orient="portrait"/>
          <w:cols w:equalWidth="0" w:num="2">
            <w:col w:w="6680" w:space="720"/>
            <w:col w:w="4020"/>
          </w:cols>
          <w:pgMar w:left="240" w:top="569"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420"/>
          </w:cols>
          <w:pgMar w:left="240" w:top="569"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54</w:t>
      </w:r>
    </w:p>
    <w:p>
      <w:pPr>
        <w:sectPr>
          <w:pgSz w:w="11900" w:h="16838" w:orient="portrait"/>
          <w:cols w:equalWidth="0" w:num="1">
            <w:col w:w="11420"/>
          </w:cols>
          <w:pgMar w:left="240" w:top="569"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CC0000"/>
        </w:rPr>
        <w:t>Note 1:</w:t>
      </w:r>
      <w:r>
        <w:rPr>
          <w:sz w:val="20"/>
          <w:szCs w:val="20"/>
          <w:color w:val="auto"/>
        </w:rPr>
        <w:tab/>
      </w:r>
      <w:r>
        <w:rPr>
          <w:rFonts w:ascii="Arial" w:cs="Arial" w:eastAsia="Arial" w:hAnsi="Arial"/>
          <w:sz w:val="17"/>
          <w:szCs w:val="17"/>
          <w:b w:val="1"/>
          <w:bCs w:val="1"/>
          <w:color w:val="CC0000"/>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accounts of all wholly-owned and majority-owned subsidiaries are included in the consolidated financial statements. Where our ownership of consolidated subsidiaries is less than 100 percent, the noncontrolling shareholders’ interests are reflected as a separate component of equity. All intercompany balances and transactions have been eliminated.</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and have evaluated subsequent events up to the time of the filing.</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8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dilutive stock options and other incremental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state all inventories at the lower of cost or market. We use the last-in, first-out (LIFO) method for the majority of our inventories located in the continental United States (U.S.). Other inventories are valued by the first-in, first-out (FIFO) method. FIFO cost approximates current replacement cost.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Substantially all of our investments in debt and marketable equity securities are classified as available-for-sale. Investment securities with maturity dates of less than one year from the date of the balance sheet are classified as short-term. Available-for-sale securities are carried at fair value with the unrealized gains and losses, net of tax, reported in other comprehensive income (loss). The credit portion of unrealized losses on our debt securities considered to be other-than-temporary is recognized in earnings. The remaining portion of the other-than-temporary impairment on our debt securities is then recorded, net of tax, in other comprehensive income (loss). The entire amount of other-than-temporary impairment on our equity securities is recognized in earnings. We do not evaluate cost-method investments for impairment unless there is an indicator of impairment. We review these investments for indicators of impairment on a regular basis. Realized gains and losses on sales of available-for-sale securities are computed based upon specific identification of the initial cost adjusted for any other-than-temporary declines in fair value that were recorded in earnings. Investments in companies over which we have significant influence but not a controlling interest are accounted for using the equity method with our share of earnings or losses reported in other–net, (income) expense. We own no investments that are considered to be trading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Risk-management instruments</w:t>
      </w:r>
    </w:p>
    <w:p>
      <w:pPr>
        <w:spacing w:after="0" w:line="13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55</w:t>
      </w:r>
    </w:p>
    <w:p>
      <w:pPr>
        <w:sectPr>
          <w:pgSz w:w="11900" w:h="16838" w:orient="portrait"/>
          <w:cols w:equalWidth="0" w:num="1">
            <w:col w:w="11420"/>
          </w:cols>
          <w:pgMar w:left="240" w:top="568" w:right="239" w:bottom="1440" w:gutter="0" w:footer="0" w:header="0"/>
        </w:sectPr>
      </w:pPr>
    </w:p>
    <w:bookmarkStart w:id="55" w:name="page56"/>
    <w:bookmarkEnd w:id="55"/>
    <w:p>
      <w:pPr>
        <w:ind w:right="20"/>
        <w:spacing w:after="0" w:line="252" w:lineRule="auto"/>
        <w:rPr>
          <w:sz w:val="20"/>
          <w:szCs w:val="20"/>
          <w:color w:val="auto"/>
        </w:rPr>
      </w:pPr>
      <w:r>
        <w:rPr>
          <w:rFonts w:ascii="Arial" w:cs="Arial" w:eastAsia="Arial" w:hAnsi="Arial"/>
          <w:sz w:val="18"/>
          <w:szCs w:val="18"/>
          <w:color w:val="auto"/>
        </w:rPr>
        <w:t>For derivative contracts that are designated and qualify as fair value hedges, the derivative instrument is marked to market with gains and losses recognized currently in income to offset the respective losses and gains recognized on the underlying exposure. For derivative contracts that are designated and qualify as cash flow hedges, the effective portion of gains and losses on these contracts is reported as a component of accumulated other comprehensive loss and reclassified into earnings in the same period the hedged transaction affects earnings. Hedge ineffectiveness is immediately recognized in earnings. Derivative contracts that are not designated as hedging instruments are recorded at fair value with the gain or loss recognized in current earnings during the period of change.</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 of cash flows.</w:t>
      </w:r>
    </w:p>
    <w:p>
      <w:pPr>
        <w:spacing w:after="0" w:line="97"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Investments in debt securities are subject to different interest rate risks based on their maturities. We may manage the average maturity of our investments in debt securities to achieve economic returns using interest rate contracts, none of which are designated as hedging instruments.</w:t>
      </w:r>
    </w:p>
    <w:p>
      <w:pPr>
        <w:spacing w:after="0" w:line="88"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debt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intangibles</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finite lives are capitalized and are amortized over their estimated useful lives, ranging from 3 to 20 years.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costs of in-process research and development (IPR&amp;D) projects acquired directly in a transaction other than a business combination are capitalized if the projects have an alternative future use; otherwise, they are expensed immediately. The fair values of IPR&amp;D projects acquired in business combinations are capitalized as other intangible assets. Several methods may be used to determine the estimated fair value of the IPR&amp;D acquired in a business combination. We utilize the “income method,” which applies a probability weighting that considers the risk of development and commercialization to the estimated future net cash flows that are derived from projected revenues and estimated costs. These projections are based on factors such as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56</w:t>
      </w:r>
    </w:p>
    <w:p>
      <w:pPr>
        <w:sectPr>
          <w:pgSz w:w="11900" w:h="16838" w:orient="portrait"/>
          <w:cols w:equalWidth="0" w:num="1">
            <w:col w:w="11400"/>
          </w:cols>
          <w:pgMar w:left="240" w:top="706" w:right="259" w:bottom="1440" w:gutter="0" w:footer="0" w:header="0"/>
        </w:sectPr>
      </w:pPr>
    </w:p>
    <w:bookmarkStart w:id="56" w:name="page57"/>
    <w:bookmarkEnd w:id="56"/>
    <w:p>
      <w:pPr>
        <w:ind w:right="20"/>
        <w:spacing w:after="0" w:line="252" w:lineRule="auto"/>
        <w:rPr>
          <w:sz w:val="20"/>
          <w:szCs w:val="20"/>
          <w:color w:val="auto"/>
        </w:rPr>
      </w:pPr>
      <w:r>
        <w:rPr>
          <w:rFonts w:ascii="Arial" w:cs="Arial" w:eastAsia="Arial" w:hAnsi="Arial"/>
          <w:sz w:val="18"/>
          <w:szCs w:val="18"/>
          <w:color w:val="auto"/>
        </w:rPr>
        <w:t>relevant market size, patent protection, historical pricing of similar products, and expected industry trends. The estimated future net cash flows are then discounted to the present value using an appropriate discount rate. This analysis is performed for each project independently. These assets are treated as indefinite-lived intangible assets until completion or abandonment of the projects, at which time the assets are tested for impairment and amortized over the remaining useful life or written off, as appropriate. For transactions other than a business combination, we also capitalize milestone payments incurred at or after the product has obtained regulatory approval for marketing and generally amortize those amounts over the remaining estimated useful life of the underlying asset.</w:t>
      </w:r>
    </w:p>
    <w:p>
      <w:pPr>
        <w:spacing w:after="0" w:line="1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Goodwill and other indefinite-lived intangible assets are reviewed for impairment at least annually and when impairment indicators are present. When required, a comparison of fair value to the carrying amount of assets is performed to determine the amount of any impairment. When determining the fair value of indefinite-lived IPR&amp;D assets for impairment testing purposes, we utilize the "income method" discussed in the previous paragraph. Finite-lived intangible assets are reviewed for impairment when an indicator of impairment is present.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3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environmental liabilities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 Due to a very restrictive market for product liability insurance, we are self-insured for product liability losses for all our currently marketed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discounts, and rebates are established in the same period the related sales are recognized.</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arrangements involving the delivery of more than one element (e.g., research and development, marketing and selling, manufacturing, and distribution), each required deliverable is evaluated to determine whether it qualifies as a separate unit of accounting. Our determination is based on whether the deliverable has "standalone value" to the customer. If a deliverable does not qualify as a separate unit of accounting, it is combined with the other applicable undelivered item(s) within the arrangement and these combined deliverables are treated as a single unit of accounting. The arrangement's consideration that is fixed or determinable is then allocated to each separate unit of accounting based on the relative selling price of each deliverable.</w:t>
      </w:r>
    </w:p>
    <w:p>
      <w:pPr>
        <w:spacing w:after="0" w:line="1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Initial fees we receive in collaborative and other similar arrangements from the partnering of our compounds under development are generally deferred and amortized into income through the expected product approval date. Initial fees may also be received for out-licensing agreements that include both an out-license of our marketing rights to commercialized products and a related commitment to supply the products. When we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57</w:t>
      </w:r>
    </w:p>
    <w:p>
      <w:pPr>
        <w:sectPr>
          <w:pgSz w:w="11900" w:h="16838" w:orient="portrait"/>
          <w:cols w:equalWidth="0" w:num="1">
            <w:col w:w="11420"/>
          </w:cols>
          <w:pgMar w:left="240" w:top="706" w:right="239" w:bottom="1440" w:gutter="0" w:footer="0" w:header="0"/>
        </w:sectPr>
      </w:pPr>
    </w:p>
    <w:bookmarkStart w:id="57" w:name="page58"/>
    <w:bookmarkEnd w:id="57"/>
    <w:p>
      <w:pPr>
        <w:ind w:right="540"/>
        <w:spacing w:after="0" w:line="262" w:lineRule="auto"/>
        <w:rPr>
          <w:sz w:val="20"/>
          <w:szCs w:val="20"/>
          <w:color w:val="auto"/>
        </w:rPr>
      </w:pPr>
      <w:r>
        <w:rPr>
          <w:rFonts w:ascii="Arial" w:cs="Arial" w:eastAsia="Arial" w:hAnsi="Arial"/>
          <w:sz w:val="18"/>
          <w:szCs w:val="18"/>
          <w:color w:val="auto"/>
        </w:rPr>
        <w:t>have determined that the marketing rights do not have standalone value, the initial fees received are generally deferred and amortized to income as net product sales over the term of the supply agreement.</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Royalty revenue from licensees, which is based on third-party sales of licensed products and technology, is recorded as earned in accordance with the contract terms when third-party sales can be reasonably measured and collection of the funds is reasonably assured. This royalty revenue is included in collaboration and other revenue.</w:t>
      </w:r>
    </w:p>
    <w:p>
      <w:pPr>
        <w:spacing w:after="0" w:line="9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Developmental milestone payments earned by us are generally recorded in other–net, (income) expense. We immediately recognize the full amount of developmental milestone payments due to us upon the achievement of the milestone event if the event is objectively determinable and the milestone is substantive in its entirety. A milestone is considered substantive if the consideration earned 1) relates solely to past performance, 2) is commensurate with the enhancement in the pharmaceutical product's value associated with the achievement of the important event in its development life cycle, and 3) is reasonable relative to all of the deliverables and payment terms within the arrangement. If a milestone payment to us is part of a multiple-element commercialization arrangement and is triggered by the initiation of the commercialization period (e.g., regulatory approval for marketing or launch of the product) or the achievement of a sales-based threshold, we amortize the payment to income as we perform under the terms of the arrangement. See Note 4 for specific agreement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IPR&amp;D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Acquired IPR&amp;D expense includes the initial costs of IPR&amp;D projects, acquired directly in a transaction other than a business combination, that do not have an alternative future 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Federal income taxes are provided on the portion of the income of foreign subsidiaries that is expected to be remitted to the U.S. and be taxable. When foreign earnings are expected to be indefinitely reinvested outside the U.S., no accrual for U.S. income taxes is provided.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calculate basic earnings per share (EPS) based on the weighted-average number of common shares outstanding and incremental shares. We calculate diluted EPS based on the weighted-average number of common shares outstanding, including incremental shares and dilutive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recognize the fair value of stock-based compensation as expense over the requisite service period of the individual grantees, which generally equals the vesting period. Under our policy, all stock-based awards are approved prior to the date of grant. The compensation committee of the board of directors approves the value of the award and date of grant. Stock-based compensation that is awarded as part of our annual equity grant is made on a specific grant date scheduled in advance.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w:t>
      </w:r>
    </w:p>
    <w:p>
      <w:pPr>
        <w:sectPr>
          <w:pgSz w:w="11900" w:h="16838" w:orient="portrait"/>
          <w:cols w:equalWidth="0" w:num="1">
            <w:col w:w="11400"/>
          </w:cols>
          <w:pgMar w:left="240" w:top="706" w:right="259" w:bottom="1440" w:gutter="0" w:footer="0" w:header="0"/>
        </w:sectPr>
      </w:pPr>
    </w:p>
    <w:bookmarkStart w:id="58" w:name="page59"/>
    <w:bookmarkEnd w:id="58"/>
    <w:p>
      <w:pPr>
        <w:spacing w:after="0"/>
        <w:tabs>
          <w:tab w:leader="none" w:pos="800" w:val="left"/>
        </w:tabs>
        <w:rPr>
          <w:sz w:val="20"/>
          <w:szCs w:val="20"/>
          <w:color w:val="auto"/>
        </w:rPr>
      </w:pPr>
      <w:r>
        <w:rPr>
          <w:rFonts w:ascii="Arial" w:cs="Arial" w:eastAsia="Arial" w:hAnsi="Arial"/>
          <w:sz w:val="18"/>
          <w:szCs w:val="18"/>
          <w:b w:val="1"/>
          <w:bCs w:val="1"/>
          <w:color w:val="CC0000"/>
        </w:rPr>
        <w:t>Note 2:</w:t>
      </w:r>
      <w:r>
        <w:rPr>
          <w:sz w:val="20"/>
          <w:szCs w:val="20"/>
          <w:color w:val="auto"/>
        </w:rPr>
        <w:tab/>
      </w:r>
      <w:r>
        <w:rPr>
          <w:rFonts w:ascii="Arial" w:cs="Arial" w:eastAsia="Arial" w:hAnsi="Arial"/>
          <w:sz w:val="17"/>
          <w:szCs w:val="17"/>
          <w:b w:val="1"/>
          <w:bCs w:val="1"/>
          <w:color w:val="CC0000"/>
        </w:rPr>
        <w:t>Implementation of New Financial Accounting Pronouncements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May 2014, the Financial Accounting Standards Board (FASB) issued a final standard on revenue recognition. Under the new standard, an entity should recognize revenue to depict the transfer of promised goods or services to customers in an amount that reflects the consideration to which the entity expects to be entitled in exchange for those goods or services. In order to do so, an entity would follow the five-step process for in-scope transactions: 1) identify the contract with a customer, 2) identify the separate performance obligations in the contract, 3) determine the transaction price, 4) allocate the transaction price to the separate performance obligations in the contract, and 5) recognize revenue when (or as) the entity satisfies a performance obligation. For public entities, the provisions of the new standard are expected to become effective for annual reporting periods beginning after December 15, 2016 and early adoption is not permitted. An entity can apply the new revenue standard retrospectively to each prior reporting period presented or retrospectively with the cumulative effect of initially applying the standard recognized at the date of initial application in retained earnings. We are in the process of determining our approach to the adoption of this new revenue recognition standard, as well as the anticipated impact to our consolidated financial statements.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July 2013, the FASB issued a clarification regarding the presentation of an unrecognized tax benefit related to a net operating loss carryforward, a similar tax loss, or a tax credit carryforward. Under this new standard, the liability related to an unrecognized tax benefit, or a portion thereof, should be presented in the financial statements as a reduction to a deferred tax asset if available under the tax law of the applicable jurisdiction to settle any additional income taxes that would result from the disallowance of a tax position. Otherwise, the unrecognized tax benefit should be presented in the financial statements as a separate liability. The assessment is based on the unrecognized tax benefit and deferred tax asset that exist at the reporting date. The provisions of the new standard are effective on a prospective basis beginning in 2014 for annual and interim reporting periods. Adoption of this standard in the first quarter of 2014 resulted in an immaterial impact to our consolidated balance sheet and did not affect our consolidated statements of operations.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CC0000"/>
        </w:rPr>
        <w:t>Note 3:</w:t>
      </w:r>
      <w:r>
        <w:rPr>
          <w:sz w:val="20"/>
          <w:szCs w:val="20"/>
          <w:color w:val="auto"/>
        </w:rPr>
        <w:tab/>
      </w:r>
      <w:r>
        <w:rPr>
          <w:rFonts w:ascii="Arial" w:cs="Arial" w:eastAsia="Arial" w:hAnsi="Arial"/>
          <w:sz w:val="17"/>
          <w:szCs w:val="17"/>
          <w:b w:val="1"/>
          <w:bCs w:val="1"/>
          <w:color w:val="CC0000"/>
        </w:rPr>
        <w:t>Acquisitions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2014 and 2012, we completed the acquisitions of Lohmann SE (Lohmann AH) and ChemGen Corporation (ChemGen), respectively. These acquisitions were accounted for as business combinations under the acquisition method of accounting.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financial statements from the date of acquisition. Neither acquisition was material to our consolidated financial statements.</w:t>
      </w:r>
    </w:p>
    <w:p>
      <w:pPr>
        <w:spacing w:after="0" w:line="9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During 2014, we announced an agreement to acquire Novartis Animal Health (Novartis AH), which was subsequently completed in January 2015. Details of our acquisitions of businesses are further discussed below.</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the acquisitions of businesses, we also acquired assets in development in 2014 and 2013 which are further discussed below in Product and Other Acquisitions and in Note 4. Upon acquisition, the acquired IPR&amp;D related to these products was immediately written off as an expense because the products had no alternative future use. For the years ended December 31, 2014 and 2013, we recorded acquired IPR&amp;D charges of $200.2 million and $57.1 million, respectively, associated with these transactions. There were no acquired IPR&amp;D charges in 2012.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 - 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all of the assets of other Novartis subsidiaries that are exclusively related to the Novartis AH business in an all-cash transaction for a total purchase price of approximately $5.4 billion, subject to working capital and other</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59</w:t>
      </w:r>
    </w:p>
    <w:p>
      <w:pPr>
        <w:sectPr>
          <w:pgSz w:w="11900" w:h="16838" w:orient="portrait"/>
          <w:cols w:equalWidth="0" w:num="1">
            <w:col w:w="11420"/>
          </w:cols>
          <w:pgMar w:left="240" w:top="576" w:right="239" w:bottom="1440" w:gutter="0" w:footer="0" w:header="0"/>
        </w:sectPr>
      </w:pPr>
    </w:p>
    <w:bookmarkStart w:id="59" w:name="page60"/>
    <w:bookmarkEnd w:id="59"/>
    <w:p>
      <w:pPr>
        <w:ind w:right="160"/>
        <w:spacing w:after="0" w:line="256" w:lineRule="auto"/>
        <w:rPr>
          <w:sz w:val="20"/>
          <w:szCs w:val="20"/>
          <w:color w:val="auto"/>
        </w:rPr>
      </w:pPr>
      <w:r>
        <w:rPr>
          <w:rFonts w:ascii="Arial" w:cs="Arial" w:eastAsia="Arial" w:hAnsi="Arial"/>
          <w:sz w:val="18"/>
          <w:szCs w:val="18"/>
          <w:color w:val="auto"/>
        </w:rPr>
        <w:t>adjustments. As of December 31, 2014, there was $5.41 billion of cash held in escrow for the pending acquisition of Novartis AH. This cash was classified as restricted cash, a noncurrent asset, on our consolidated balance sheet. The accounting for the acquisition and the results of the Novartis AH operations will be included in our financial statements for the period beginning on January 1, 2015.</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w:t>
      </w:r>
    </w:p>
    <w:p>
      <w:pPr>
        <w:spacing w:after="0" w:line="10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acquired Novartis AH business consists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initial accounting for this acquisition is incomplete. Significant, relevant information needed to complete the initial accounting is not available because the valuation of the assets acquired and liabilities assumed is not complete. As a result, determining these values is not practicable and we are unable to disclose these values or provide other related disclosures at this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unaudited pro forma consolidated revenue for 2014 is approximately $20.7 billion. This amount was determined as if the portion of Novartis AH that we retained after the sale to Virbac had been acquired as of January 1, 2014. This unaudited pro forma consolidated revenue is not necessarily indicative of what our consolidated revenues actually would have been had we completed the acquisition on January 1,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Lohmann AH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April 30, 2014, we acquired Lohmann AH, a privately-held company headquartered in Cuxhaven, Germany, through a stock purchase for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purchase price of $591.2 million, comprised of $551.4 million of net cash plus $39.8 million of assumed debt. Lohmann AH is a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leader in poultry vaccines. As part of this transaction, we acquired the rights to a range of vaccines, commercial capabilities, and manufacturing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sites in Germany and the United States. Preliminary amounts currently recorded in connection with this acquisition include $275.4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marketed product assets, $23.9 million of other intangible assets, $89.8 million of property and equipment, $243.7 million of goodwill,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$92.7 million of deferred tax liability, with $51.1 million of other net assets. The final determination may result in asset and liability fair values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differ from the preliminary estimates, but it is not expected that these differences will be material to our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 associated with this acquisition is not deductible for tax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ChemGen</w:t>
      </w:r>
    </w:p>
    <w:p>
      <w:pPr>
        <w:spacing w:after="0" w:line="11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February 17, 2012, we acquired all of the outstanding stock of ChemGen, a privately-held bioscience company specializing in the development and commercialization of innovative feed-enzyme products that improve the efficiency of poultry, egg, and meat production, for total purchase consideration of $ 206.9 million in cash. In connection with this acquisition, we recorded $151.5 million of marketed product assets and $55.4 million of other net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Other Acquisitions</w:t>
      </w:r>
    </w:p>
    <w:p>
      <w:pPr>
        <w:spacing w:after="0" w:line="13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In connection with the arrangements described below, our partners may be entitled to future royalties based on sales should these products be approved for commercialization and/or milestones based on the successful progress of the drug candidate through the development process.</w:t>
      </w:r>
    </w:p>
    <w:p>
      <w:pPr>
        <w:spacing w:after="0" w:line="6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July 2014, we entered into a co-discovery and co-development collaboration with Immunocore Limited to research and potentially develop pre-clinical novel T cell-based cancer therapies. Upon entering the agreement, we paid an upfront fee of $45.0 million in cash and a related charge was recorded for acquired IPR&amp;D.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w:t>
      </w:r>
    </w:p>
    <w:p>
      <w:pPr>
        <w:sectPr>
          <w:pgSz w:w="11900" w:h="16838" w:orient="portrait"/>
          <w:cols w:equalWidth="0" w:num="1">
            <w:col w:w="11400"/>
          </w:cols>
          <w:pgMar w:left="240" w:top="706" w:right="259" w:bottom="1440" w:gutter="0" w:footer="0" w:header="0"/>
        </w:sectPr>
      </w:pPr>
    </w:p>
    <w:bookmarkStart w:id="60" w:name="page61"/>
    <w:bookmarkEnd w:id="60"/>
    <w:p>
      <w:pPr>
        <w:spacing w:after="0" w:line="252" w:lineRule="auto"/>
        <w:rPr>
          <w:sz w:val="20"/>
          <w:szCs w:val="20"/>
          <w:color w:val="auto"/>
        </w:rPr>
      </w:pPr>
      <w:r>
        <w:rPr>
          <w:rFonts w:ascii="Arial" w:cs="Arial" w:eastAsia="Arial" w:hAnsi="Arial"/>
          <w:sz w:val="18"/>
          <w:szCs w:val="18"/>
          <w:color w:val="auto"/>
        </w:rPr>
        <w:t>In September 2014, we entered into a collaboration agreement with AstraZeneca UK Limited (AstraZeneca) for the worldwide co-development and co-commercialization of AstraZeneca’s oral beta-secretase cleaving enzyme inhibitor known as AZD3293, a compound being investigated for the potential treatment of Alzheimer’s disease. At the time of the agreement, AZD3293 had completed Phase I testing in patients with early Alzheimer’s disease. We will be responsible for leading development efforts, while AstraZeneca will be responsible for manufacturing efforts. If successful, both parties will take joint responsibility for commercialization of AZD3293. Under the agreement, both parties will share equally in the ongoing development costs, gross margins and certain other costs associated with the commercialization of the compound. Upon execution of the agreement, we immediately recorded, as an acquired IPR&amp;D charge, our obligation associated with a payment of $50.0 million which we will pay to AstraZeneca in 2015.</w:t>
      </w:r>
    </w:p>
    <w:p>
      <w:pPr>
        <w:spacing w:after="0" w:line="1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December 2014, we entered into a collaboration agreement with Adocia for the worldwide development and commercialization of Adocia's ultra-rapid insulin, known as BioChaperone Lispro, a compound being developed for the treatment of patients with type 1 and type 2 diabetes. BioChaperone Lispro is currently in Phase I studies. We will be responsible for leading development, manufacturing, and commercialization efforts. Upon entering the agreement, we paid an upfront fee of $50.0 million in cash and a related charge was recorded for acquired IPR&amp;D.</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December 2013, we acquired for $57.1 million in cash, all development and commercial rights for a calcitonin gene-related peptide antibody being studied as a potential treatment for the prevention of frequent, recurrent migraine headaches. At the time of the purchase, the product had completed a successful Phase II proof-of-concept study and a related charge was recorded for acquired IPR&amp;D.</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CC0000"/>
        </w:rPr>
        <w:t>Note 4:</w:t>
      </w:r>
      <w:r>
        <w:rPr>
          <w:sz w:val="20"/>
          <w:szCs w:val="20"/>
          <w:color w:val="auto"/>
        </w:rPr>
        <w:tab/>
      </w:r>
      <w:r>
        <w:rPr>
          <w:rFonts w:ascii="Arial" w:cs="Arial" w:eastAsia="Arial" w:hAnsi="Arial"/>
          <w:sz w:val="17"/>
          <w:szCs w:val="17"/>
          <w:b w:val="1"/>
          <w:bCs w:val="1"/>
          <w:color w:val="CC0000"/>
        </w:rPr>
        <w:t>Collaborations and Other Arrangements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sales, while other sources of revenue (e.g., royalties and profit sharing due from our partner) are included in collaboration and other revenue. For the years ended December 31, 2014, 2013, and 2012, we recognized collaboration and other revenue of $788.4 million, $707.5 million, and $633.0 million, respectively.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Collaboration</w:t>
      </w:r>
    </w:p>
    <w:p>
      <w:pPr>
        <w:spacing w:after="0" w:line="13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the compounds included in the collaboration are Boehringer Ingelheim’s two oral diabetes agents, linagliptin (trade name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and empagliflozin (trade name Jardiance</w:t>
      </w:r>
      <w:r>
        <w:rPr>
          <w:rFonts w:ascii="Arial" w:cs="Arial" w:eastAsia="Arial" w:hAnsi="Arial"/>
          <w:sz w:val="21"/>
          <w:szCs w:val="21"/>
          <w:color w:val="auto"/>
          <w:vertAlign w:val="superscript"/>
        </w:rPr>
        <w:t>®</w:t>
      </w:r>
      <w:r>
        <w:rPr>
          <w:rFonts w:ascii="Arial" w:cs="Arial" w:eastAsia="Arial" w:hAnsi="Arial"/>
          <w:sz w:val="18"/>
          <w:szCs w:val="18"/>
          <w:color w:val="auto"/>
        </w:rPr>
        <w:t>), and our new insulin glargine product (trade name Basaglar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w:t>
      </w:r>
    </w:p>
    <w:p>
      <w:pPr>
        <w:spacing w:after="0" w:line="43"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Trajenta was approved in 2011 and launched in the U.S., Japan, certain countries in Europe, and other countries. Jardiance was approved in Europe, the U.S., and Japan in May, August, and December 2014, respectively. The product was launched in certain European countries and the U.S. in the third quarter of 2014. Our new insulin glargine product was approved by the European Commission in Europe in September 2014 and regulatory authorities in Japan in December 2014. Basaglar received tentative approval in the U.S. in August 2014. The U.S. Food and Drug Administration (FDA) has determined that Basaglar meets all regulatory requirements for approval, but final approval is subject to a delay of up to 30 months as a result of patent infringement litigation filed by Sanofi, which makes Lantus</w:t>
      </w:r>
      <w:r>
        <w:rPr>
          <w:rFonts w:ascii="Arial" w:cs="Arial" w:eastAsia="Arial" w:hAnsi="Arial"/>
          <w:sz w:val="21"/>
          <w:szCs w:val="21"/>
          <w:color w:val="auto"/>
          <w:vertAlign w:val="superscript"/>
        </w:rPr>
        <w:t>®</w:t>
      </w:r>
      <w:r>
        <w:rPr>
          <w:rFonts w:ascii="Arial" w:cs="Arial" w:eastAsia="Arial" w:hAnsi="Arial"/>
          <w:sz w:val="18"/>
          <w:szCs w:val="18"/>
          <w:color w:val="auto"/>
        </w:rPr>
        <w:t>, the only currently marketed insulin glargine. Under the Drug Price Competition and Patent Term Restoration Act of 1984 (the Hatch-Waxman</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61</w:t>
      </w:r>
    </w:p>
    <w:p>
      <w:pPr>
        <w:sectPr>
          <w:pgSz w:w="11900" w:h="16838" w:orient="portrait"/>
          <w:cols w:equalWidth="0" w:num="1">
            <w:col w:w="11420"/>
          </w:cols>
          <w:pgMar w:left="240" w:top="760" w:right="239" w:bottom="1440" w:gutter="0" w:footer="0" w:header="0"/>
        </w:sectPr>
      </w:pPr>
    </w:p>
    <w:bookmarkStart w:id="61" w:name="page62"/>
    <w:bookmarkEnd w:id="61"/>
    <w:p>
      <w:pPr>
        <w:ind w:right="320"/>
        <w:spacing w:after="0" w:line="262" w:lineRule="auto"/>
        <w:rPr>
          <w:sz w:val="20"/>
          <w:szCs w:val="20"/>
          <w:color w:val="auto"/>
        </w:rPr>
      </w:pPr>
      <w:r>
        <w:rPr>
          <w:rFonts w:ascii="Arial" w:cs="Arial" w:eastAsia="Arial" w:hAnsi="Arial"/>
          <w:sz w:val="18"/>
          <w:szCs w:val="18"/>
          <w:color w:val="auto"/>
        </w:rPr>
        <w:t>Act), the initiation of the lawsuit automatically invoked a stay of final FDA approval for a period of 30 months (until July 2016), which may be shortened in the event of an earlier court decision in our favor.</w:t>
      </w:r>
    </w:p>
    <w:p>
      <w:pPr>
        <w:spacing w:after="0" w:line="8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connection with the approval of Trajenta in the U.S., Japan, and Europe, we paid $478.7 million in success-based regulatory milestones, all of which were capitalized as intangible assets and are being amortized to cost of sales.</w:t>
      </w:r>
    </w:p>
    <w:p>
      <w:pPr>
        <w:spacing w:after="0" w:line="88"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connection with the approval of Jardiance in Europe, the U.S., and Japan, we incurred success-based regulatory milestones of $300.5 million, which were capitalized as intangible assets and will be amortized to cost of sales. We incurred milestone-related expenses of $97.2 million in connection with regulatory submissions for Jardiance in Europe, the U.S., and Japan during 2013. These regulatory submission milestones were recorded as research and development expenses.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the approval of our new insulin glargine product in Europe and Japan during 2014, we recorded, as deferred revenue, $62.5 million in milestones which will be amortized to collaboration and other revenue upon product launch in Europe and Japan through the term of the collaboration (2029). During 2013, we earned $50.0 million in milestones for the regulatory submissions of our new insulin glargine product in the U.S., Europe, and Japan. These submission milestones were recorded as income in other–net, (income) expense. In the future, we will be eligible to receive up to $187.5 million in success-based regulatory milestones on our new insulin glargine product.</w:t>
      </w:r>
    </w:p>
    <w:p>
      <w:pPr>
        <w:spacing w:after="0" w:line="9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October 2014, we and Boehringer Ingelheim agreed upon certain changes to the operational and financial structure of our diabetes collaboration. Under the revised agreement the companies will continue their co-promotion work in 17 countries, representing over 90 percent of the collaboration’s anticipated market opportunity. In the other countries, the companies will exclusively commercialize the respective molecules they brought to the collaboration. The modifications became effective at the end of 2014, and will change the financial terms related to the modified countries; however, the financial impact resulting from the revised terms of the agreement in these countries is not anticipated to be material. As a result of these changes, in the fourth quarter of 2014, we recorded a gain of $92.0 million related to the transfer to Boehringer Ingelheim of our license rights to co -promote linagliptin and empagliflozin in these countries, which was recorded as income in other–net, (income) expense. We also incurred a charge of $55.2 million related to the transfer to us of Boehringer Ingelheim's rights to co-promote our new insulin glargine product in countries where it is not yet approved, which was recorded as acquired IPR&amp;D expense.</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With the exception of the countries affected by the amendment to the collaboration agreement, the companies share equally the ongoing development costs and, if successful, commercialization costs and gross margin for any product resulting from the collaboration. We record our portion of the gross margin associated with Boehringer Ingelheim's compounds as collaboration and other revenue, and we record our portion of the commercialization costs as marketing, selling, and administrative expense. Each company will also be entitled to potential performance payments on sales of the molecules they contribute to the collaboration. Our revenue related to Trajenta was $328.8 million, $249.2 million, and $88.6 million for the years ended December 31, 2014, 2013, and 2012, respectively. Our revenue related to Jardiance was not material for the year ended December 31,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We and Daiichi Sankyo co-promote Effient in certain territories (including the U.S. and five major European markets), while we have exclusive marketing rights in certain other territories. Daiichi Sankyo has exclusive marketing rights in Japan and certain other territories. The parties share approximately 50/50 in the profits, as well as in the costs of development and marketing in the co-promotion territories. A third party manufactures bulk product, and we produce the finished product for our exclusive and co-promotion territories. We record product sales in our exclusive and co-promotion territories. In our exclusive territories, we pay Daiichi Sankyo a royalty specific to these territories. Profit-share payments due to Daiichi Sankyo are recorded as marketing, selling, and administrative expenses. All royalties due to Daiichi Sankyo and the third-party manufacturer are recorded in cost of sales. Effient sales were $522.2 million, $508.7 million, and $457.2 million for the years ended December 31, 2014, 2013, and 2012,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62</w:t>
      </w:r>
    </w:p>
    <w:p>
      <w:pPr>
        <w:sectPr>
          <w:pgSz w:w="11900" w:h="16838" w:orient="portrait"/>
          <w:cols w:equalWidth="0" w:num="1">
            <w:col w:w="11420"/>
          </w:cols>
          <w:pgMar w:left="240" w:top="70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Erbitux</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several collaborations with respect to Erbitux. The most significant collaborations are in the U.S., Canada, and Japan (Bristol-Myers Squibb Company); and worldwide except the U.S. and Canada (Merck KGaA). Upon expiration of the agreements, all of the rights to Erbitux in the U.S. and Canada return to us and certain rights to Erbitux outside the U.S. and Canada will remain with Merck KGaA (Merck).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sales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46.1</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58.5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76.4</w:t>
            </w:r>
          </w:p>
        </w:tc>
      </w:tr>
      <w:tr>
        <w:trPr>
          <w:trHeight w:val="264"/>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327.2</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315.2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320.6</w:t>
            </w: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373.3</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373.7</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397.0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are co-developing Erbitux in the U.S. and Canada with BMS through September 2018, exclusively, and in Japan with BMS and Merck through 2032. Under these arrangements, Erbitux research and development and other costs are shared by both companies according to a predetermined ratio.</w:t>
      </w:r>
    </w:p>
    <w:p>
      <w:pPr>
        <w:spacing w:after="0" w:line="9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Responsibilities associated with clinical and other ongoing studies are apportioned between the parties under the agreements. Collaborative reimbursements due to us for supply of clinical trial materials; for research and development; and for a portion of marketing, selling, and administrative expenses are recorded as a reduction to the respective expense line items on the consolidated statement of operations. We receive a distribution fee in the form of a royalty from BMS, based on a percentage of net sales in the U.S. and Canada, which is recorded in collaboration and other revenue. Royalties due to third parties are recorded as a reduction of collaboration and other revenue, net of any royalty reimbursements due from third parties.</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responsible for the manufacture and supply of all requirements of Erbitux in bulk-form active pharmaceutical ingredient (API) for clinical and commercial use in the U.S. and Canada, and BMS will purchase all of its requirements of API for commercial use from us, subject to certain stipulations per the agreement. Sales of Erbitux to BMS for commercial use are reported in net product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18"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A development and license agreement grants Merck exclusive rights to market Erbitux outside of the U.S. and Canada, and expires in December 2018. A separate agreement grants co-exclusive rights among Merck, BMS, and us in Japan and expires in 2032.</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the U.S. and Canada, which is included in collaboration and other revenue as earned. Royalties due to third parties are recorded as a reduction of collaboration and other revenue, net of any royalty reimbursements due from third parties.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Exenatide</w:t>
      </w:r>
    </w:p>
    <w:p>
      <w:pPr>
        <w:spacing w:after="0" w:line="1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November 2011, we agreed with Amylin Pharmaceuticals, Inc. (Amylin) to terminate our collaborative arrangement for the joint development, marketing, and selling of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injection) and other forms of exenatide such as 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extended-release for injectable suspension). Under the terms of the termination agreement, Amylin made a one-time, upfront payment to us of $250.0 million. Amylin also agreed to make future revenue-sharing payments to us in an amount equal to 15.0 percent of its global net sales of exenatide products until Amylin made aggregate payments to us of $1.20 billion plus interest, which would accrue at 9.5 percent. Upon completion of the acquisition of Amylin by Bristol-Myers Squibb Company in August 2012, Amylin's obligation of $1.26 billion, including accrued interest, was paid in full, with $1.21 billion representing a prepayment of the obligation. We will also receive a $150.0 million milestone payment contingent upon FDA approval of a once-monthly suspension version of exenatide.</w:t>
      </w:r>
    </w:p>
    <w:p>
      <w:pPr>
        <w:spacing w:after="0" w:line="10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Commercial operations were transferred to Amylin in the U.S. in late 2011. Outside the U.S., we transferred to Amylin exenatide commercial rights and control in all markets during the first quarter of 2013. We were responsible for certain development costs related to certain clinical trials outside the U.S. that we were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63</w:t>
      </w:r>
    </w:p>
    <w:p>
      <w:pPr>
        <w:sectPr>
          <w:pgSz w:w="11900" w:h="16838" w:orient="portrait"/>
          <w:cols w:equalWidth="0" w:num="1">
            <w:col w:w="11420"/>
          </w:cols>
          <w:pgMar w:left="240" w:top="738" w:right="239" w:bottom="1440" w:gutter="0" w:footer="0" w:header="0"/>
        </w:sectPr>
      </w:pPr>
    </w:p>
    <w:bookmarkStart w:id="63" w:name="page64"/>
    <w:bookmarkEnd w:id="63"/>
    <w:p>
      <w:pPr>
        <w:ind w:right="340"/>
        <w:spacing w:after="0" w:line="262" w:lineRule="auto"/>
        <w:rPr>
          <w:sz w:val="20"/>
          <w:szCs w:val="20"/>
          <w:color w:val="auto"/>
        </w:rPr>
      </w:pPr>
      <w:r>
        <w:rPr>
          <w:rFonts w:ascii="Arial" w:cs="Arial" w:eastAsia="Arial" w:hAnsi="Arial"/>
          <w:sz w:val="18"/>
          <w:szCs w:val="18"/>
          <w:color w:val="auto"/>
        </w:rPr>
        <w:t>conducting as of the date of the termination agreement as well as commercialization costs outside the U.S. until the commercial rights were transferred to Amylin.</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Payments received from Amylin were allocated 65 percent to the U.S., which was treated as a contract termination, and 35 percent to the business outside the U.S., which was treated as the disposition of a business. The allocation was based upon relative fair values. The revenue-sharing income allocated to the U.S. was recognized as collaboration and other revenue, consistent with our policy for royalty revenue, while the income related to the prepayment of Amylin's obligation allocated to the U.S. was recognized in other-net, (income) expense. All income allocated to the business outside the U.S. that was transferred during the first quarter of 2013 was recognized as a gain on the disposition of a business in other–net, (income) expense, net of the goodwill allocated to the business transferred.</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terms of our prior arrangement, we reported as net product sales 100 percent of sales outside the U.S. and our sales of Byetta pen delivery devices to Amylin. We paid Amylin a percentage of the gross margin of exenatide sales outside of the U.S., and these costs were recorded in cost of sales. This arrangement for the commercial operations outside the U.S. continued until those rights were transferred to Amylin during the first quarter of 2013.</w:t>
      </w:r>
    </w:p>
    <w:p>
      <w:pPr>
        <w:spacing w:after="0" w:line="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Total revenue related to exenatide was insignificant in 2014. The following table summarizes the revenue and other income recognized with respect to exenatide for the years ended December 31, 2013 and 2012:</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r>
      <w:tr>
        <w:trPr>
          <w:trHeight w:val="270"/>
        </w:trPr>
        <w:tc>
          <w:tcPr>
            <w:tcW w:w="8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sales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133.1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207.8</w:t>
            </w:r>
          </w:p>
        </w:tc>
      </w:tr>
      <w:tr>
        <w:trPr>
          <w:trHeight w:val="264"/>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70.1</w:t>
            </w:r>
          </w:p>
        </w:tc>
      </w:tr>
      <w:tr>
        <w:trPr>
          <w:trHeight w:val="277"/>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133.1</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277.9</w:t>
            </w:r>
          </w:p>
        </w:tc>
      </w:tr>
      <w:tr>
        <w:trPr>
          <w:trHeight w:val="270"/>
        </w:trPr>
        <w:tc>
          <w:tcPr>
            <w:tcW w:w="8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related to termination of the exenatide collaboration with Amylin</w:t>
            </w:r>
            <w:r>
              <w:rPr>
                <w:rFonts w:ascii="Arial" w:cs="Arial" w:eastAsia="Arial" w:hAnsi="Arial"/>
                <w:sz w:val="21"/>
                <w:szCs w:val="21"/>
                <w:color w:val="auto"/>
                <w:vertAlign w:val="superscript"/>
              </w:rPr>
              <w:t>(1)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495.4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787.8</w:t>
            </w:r>
          </w:p>
        </w:tc>
      </w:tr>
      <w:tr>
        <w:trPr>
          <w:trHeight w:val="381"/>
        </w:trPr>
        <w:tc>
          <w:tcPr>
            <w:tcW w:w="85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Presented in other-net, (income) expense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Solanezumab</w:t>
      </w:r>
    </w:p>
    <w:p>
      <w:pPr>
        <w:spacing w:after="0" w:line="139"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their funding, TPG may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Baricitinib</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 arthritis. The agreement also provides Incyte with an option to co-promote in the U.S. and calls for payments associated with certain development, success-based regulatory, and sales-based milestones. Upon initiation of Phase III trials for the treatment of rheumatoid arthritis in the fourth quarter of 2012, we incurred a milestone-related expense of $50.0 million which was recorded as research and development expense. As of December 31, 2014, Incyte is eligible to receive up to $415.0 million of additional payments from us contingent upon certain development and success-based regulatory milestones as well as an additional $150.0 million of potential sales-based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64</w:t>
      </w:r>
    </w:p>
    <w:p>
      <w:pPr>
        <w:sectPr>
          <w:pgSz w:w="11900" w:h="16838" w:orient="portrait"/>
          <w:cols w:equalWidth="0" w:num="1">
            <w:col w:w="11420"/>
          </w:cols>
          <w:pgMar w:left="240" w:top="70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October 2013, we entered into a collaboration agreement with Pfizer Inc. to jointly develop and globally commercialize tanezumab for the potential treatment of osteoarthritis pain, chronic low back pain and cancer pain. Tanezumab is currently in Phase III development and is subject to a partial clinical hold by the FDA pending submission of nonclinical data to the FDA. Under the agreement, the companies share equally the ongoing development costs and, if successful, in gross margins and certain commercialization expenses. Contingent upon the parties continuing in the collaboration after receipt of the FDA's response to the submission of the nonclinical data, we will be obligated to pay an upfront fee of $200.0 million. This payment would be immediately expensed. In addition to this fee, we may pay up to $350.0 million in success-based regulatory milestones and up to $1.23 billion in a series of sales-based milestones, contingent upon the commercial success of tanezumab. Both parties have the right to terminate the agreement under certain circumstances.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Commission and Profit-Share Payments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aggregate amount of marketing, selling, and administrative expense associated with our commission and profit-sharing obligations for the collaborations and other arrangements described above was $211.2 million, $203.7 million, and $188.5 million for the years ended December 31, 2014, 2013, and 2012, respectively.</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CC0000"/>
        </w:rPr>
        <w:t>Note 5:</w:t>
      </w:r>
      <w:r>
        <w:rPr>
          <w:sz w:val="20"/>
          <w:szCs w:val="20"/>
          <w:color w:val="auto"/>
        </w:rPr>
        <w:tab/>
      </w:r>
      <w:r>
        <w:rPr>
          <w:rFonts w:ascii="Arial" w:cs="Arial" w:eastAsia="Arial" w:hAnsi="Arial"/>
          <w:sz w:val="17"/>
          <w:szCs w:val="17"/>
          <w:b w:val="1"/>
          <w:bCs w:val="1"/>
          <w:color w:val="CC0000"/>
        </w:rPr>
        <w:t>Asset Impairment, Restructuring, and Other Special Charges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 Substantially all of these expenses relate to our human pharmaceutical business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70"/>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Severance</w:t>
            </w:r>
          </w:p>
        </w:tc>
        <w:tc>
          <w:tcPr>
            <w:tcW w:w="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225.5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90.6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74.5</w:t>
            </w:r>
          </w:p>
        </w:tc>
      </w:tr>
      <w:tr>
        <w:trPr>
          <w:trHeight w:val="264"/>
        </w:trPr>
        <w:tc>
          <w:tcPr>
            <w:tcW w:w="70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243.2</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30.0</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206.6</w:t>
            </w:r>
          </w:p>
        </w:tc>
      </w:tr>
      <w:tr>
        <w:trPr>
          <w:trHeight w:val="277"/>
        </w:trPr>
        <w:tc>
          <w:tcPr>
            <w:tcW w:w="7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468.7</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120.6</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281.1</w:t>
            </w:r>
          </w:p>
        </w:tc>
      </w:tr>
    </w:tbl>
    <w:p>
      <w:pPr>
        <w:spacing w:after="0" w:line="10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Severance costs listed above for all years relate to ongoing cost containment efforts as we continue our initiatives to reduce our cost structure and global workforce. Substantially all of the severance costs incurred during the year ended December 31, 2014 are expected to be paid by the end of 2015, and substantially all of the severance costs incurred during the years ended December 31, 2013 and 2012 have been paid.</w:t>
      </w:r>
    </w:p>
    <w:p>
      <w:pPr>
        <w:spacing w:after="0" w:line="9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For the year ended December 31, 2014, we incurred $243.2 million of asset impairment and other special charges consisting primarily of a $180.8 million asset impairment charge related to our decision to close and sell a manufacturing plant located in Puerto Rico. The manufacturing plant was written down to its estimated fair value, which was based primarily on recent sales of similar assets.</w:t>
      </w:r>
    </w:p>
    <w:p>
      <w:pPr>
        <w:spacing w:after="0" w:line="9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For the year ended December 31, 2013, we incurred $30.0 million of asset impairment and other special charges related primarily to costs associated with the closure of a packaging and distribution facility in Germany.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we incurred $206.6 million of asset impairment and other special charges consisting of $122.6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an intangible asset impairment for liprotamase (see Note 8) net of the reduction of the related contingent consideration liability, $64.0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related to the recognition of an asset impairment associated with the decision to stop development of a delivery device platform, and</w:t>
      </w:r>
    </w:p>
    <w:p>
      <w:pPr>
        <w:spacing w:after="0" w:line="223" w:lineRule="auto"/>
        <w:rPr>
          <w:sz w:val="20"/>
          <w:szCs w:val="20"/>
          <w:color w:val="auto"/>
        </w:rPr>
      </w:pPr>
      <w:r>
        <w:rPr>
          <w:rFonts w:ascii="Arial" w:cs="Arial" w:eastAsia="Arial" w:hAnsi="Arial"/>
          <w:sz w:val="18"/>
          <w:szCs w:val="18"/>
          <w:color w:val="auto"/>
        </w:rPr>
        <w:t>$20.0 million resulting from a change in our estimates of returned product related to the withdrawal of Xigris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from the market during the fourth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of 2011.</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65</w:t>
      </w:r>
    </w:p>
    <w:p>
      <w:pPr>
        <w:sectPr>
          <w:pgSz w:w="11900" w:h="16838" w:orient="portrait"/>
          <w:cols w:equalWidth="0" w:num="1">
            <w:col w:w="11420"/>
          </w:cols>
          <w:pgMar w:left="240" w:top="738" w:right="239" w:bottom="1440" w:gutter="0" w:footer="0" w:header="0"/>
        </w:sectPr>
      </w:pPr>
    </w:p>
    <w:bookmarkStart w:id="65" w:name="page66"/>
    <w:bookmarkEnd w:id="65"/>
    <w:p>
      <w:pPr>
        <w:spacing w:after="0"/>
        <w:tabs>
          <w:tab w:leader="none" w:pos="800" w:val="left"/>
        </w:tabs>
        <w:rPr>
          <w:sz w:val="20"/>
          <w:szCs w:val="20"/>
          <w:color w:val="auto"/>
        </w:rPr>
      </w:pPr>
      <w:r>
        <w:rPr>
          <w:rFonts w:ascii="Arial" w:cs="Arial" w:eastAsia="Arial" w:hAnsi="Arial"/>
          <w:sz w:val="18"/>
          <w:szCs w:val="18"/>
          <w:b w:val="1"/>
          <w:bCs w:val="1"/>
          <w:color w:val="CC0000"/>
        </w:rPr>
        <w:t>Note 6:</w:t>
      </w:r>
      <w:r>
        <w:rPr>
          <w:sz w:val="20"/>
          <w:szCs w:val="20"/>
          <w:color w:val="auto"/>
        </w:rPr>
        <w:tab/>
      </w:r>
      <w:r>
        <w:rPr>
          <w:rFonts w:ascii="Arial" w:cs="Arial" w:eastAsia="Arial" w:hAnsi="Arial"/>
          <w:sz w:val="17"/>
          <w:szCs w:val="17"/>
          <w:b w:val="1"/>
          <w:bCs w:val="1"/>
          <w:color w:val="CC0000"/>
        </w:rPr>
        <w:t>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321" w:lineRule="exact"/>
        <w:rPr>
          <w:sz w:val="20"/>
          <w:szCs w:val="20"/>
          <w:color w:val="auto"/>
        </w:rPr>
      </w:pPr>
    </w:p>
    <w:p>
      <w:pPr>
        <w:jc w:val="both"/>
        <w:ind w:left="8900"/>
        <w:spacing w:after="0"/>
        <w:tabs>
          <w:tab w:leader="none" w:pos="104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(approximates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Reduction to LIFO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838.0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968.1</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1,715.4</w:t>
      </w:r>
      <w:r>
        <w:rPr>
          <w:sz w:val="20"/>
          <w:szCs w:val="20"/>
          <w:color w:val="auto"/>
        </w:rPr>
        <w:tab/>
      </w:r>
      <w:r>
        <w:rPr>
          <w:rFonts w:ascii="Arial" w:cs="Arial" w:eastAsia="Arial" w:hAnsi="Arial"/>
          <w:sz w:val="17"/>
          <w:szCs w:val="17"/>
          <w:color w:val="auto"/>
        </w:rPr>
        <w:t>1,868.3</w:t>
      </w:r>
    </w:p>
    <w:p>
      <w:pPr>
        <w:spacing w:after="0" w:line="63" w:lineRule="exact"/>
        <w:rPr>
          <w:sz w:val="20"/>
          <w:szCs w:val="20"/>
          <w:color w:val="auto"/>
        </w:rPr>
      </w:pPr>
    </w:p>
    <w:p>
      <w:pPr>
        <w:ind w:left="780"/>
        <w:spacing w:after="0"/>
        <w:tabs>
          <w:tab w:leader="none" w:pos="2360" w:val="left"/>
        </w:tabs>
        <w:rPr>
          <w:sz w:val="20"/>
          <w:szCs w:val="20"/>
          <w:color w:val="auto"/>
        </w:rPr>
      </w:pPr>
      <w:r>
        <w:rPr>
          <w:rFonts w:ascii="Arial" w:cs="Arial" w:eastAsia="Arial" w:hAnsi="Arial"/>
          <w:sz w:val="18"/>
          <w:szCs w:val="18"/>
          <w:b w:val="1"/>
          <w:bCs w:val="1"/>
          <w:color w:val="auto"/>
        </w:rPr>
        <w:t>315.0</w:t>
      </w:r>
      <w:r>
        <w:rPr>
          <w:sz w:val="20"/>
          <w:szCs w:val="20"/>
          <w:color w:val="auto"/>
        </w:rPr>
        <w:tab/>
      </w:r>
      <w:r>
        <w:rPr>
          <w:rFonts w:ascii="Arial" w:cs="Arial" w:eastAsia="Arial" w:hAnsi="Arial"/>
          <w:sz w:val="17"/>
          <w:szCs w:val="17"/>
          <w:color w:val="auto"/>
        </w:rPr>
        <w:t>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55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2,868.4</w:t>
      </w:r>
      <w:r>
        <w:rPr>
          <w:sz w:val="20"/>
          <w:szCs w:val="20"/>
          <w:color w:val="auto"/>
        </w:rPr>
        <w:tab/>
      </w:r>
      <w:r>
        <w:rPr>
          <w:rFonts w:ascii="Arial" w:cs="Arial" w:eastAsia="Arial" w:hAnsi="Arial"/>
          <w:sz w:val="17"/>
          <w:szCs w:val="17"/>
          <w:color w:val="auto"/>
        </w:rPr>
        <w:t>3,095.4</w:t>
      </w:r>
    </w:p>
    <w:p>
      <w:pPr>
        <w:spacing w:after="0" w:line="63" w:lineRule="exact"/>
        <w:rPr>
          <w:sz w:val="20"/>
          <w:szCs w:val="20"/>
          <w:color w:val="auto"/>
        </w:rPr>
      </w:pPr>
    </w:p>
    <w:p>
      <w:pPr>
        <w:jc w:val="right"/>
        <w:ind w:right="180"/>
        <w:spacing w:after="0"/>
        <w:tabs>
          <w:tab w:leader="none" w:pos="540" w:val="left"/>
        </w:tabs>
        <w:rPr>
          <w:sz w:val="20"/>
          <w:szCs w:val="20"/>
          <w:color w:val="auto"/>
        </w:rPr>
      </w:pPr>
      <w:r>
        <w:rPr>
          <w:rFonts w:ascii="Arial" w:cs="Arial" w:eastAsia="Arial" w:hAnsi="Arial"/>
          <w:sz w:val="18"/>
          <w:szCs w:val="18"/>
          <w:b w:val="1"/>
          <w:bCs w:val="1"/>
          <w:color w:val="auto"/>
        </w:rPr>
        <w:t>(128.4)</w:t>
      </w:r>
      <w:r>
        <w:rPr>
          <w:sz w:val="20"/>
          <w:szCs w:val="20"/>
          <w:color w:val="auto"/>
        </w:rPr>
        <w:tab/>
      </w:r>
      <w:r>
        <w:rPr>
          <w:rFonts w:ascii="Arial" w:cs="Arial" w:eastAsia="Arial" w:hAnsi="Arial"/>
          <w:sz w:val="17"/>
          <w:szCs w:val="17"/>
          <w:color w:val="auto"/>
        </w:rPr>
        <w:t>(166.6)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55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2,740.0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2,928.8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551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60"/>
          </w:cols>
          <w:pgMar w:left="240" w:top="576" w:right="259" w:bottom="1440" w:gutter="0" w:footer="0" w:header="0"/>
          <w:type w:val="continuous"/>
        </w:sectPr>
      </w:pPr>
    </w:p>
    <w:p>
      <w:pPr>
        <w:spacing w:after="0" w:line="3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Inventories valued under the LIFO method comprised $1.09 billion and $1.02 billion of total inventories at December 31, 2014 and 2013, respectively.</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CC0000"/>
        </w:rPr>
        <w:t>Note 7:</w:t>
      </w:r>
      <w:r>
        <w:rPr>
          <w:sz w:val="20"/>
          <w:szCs w:val="20"/>
          <w:color w:val="auto"/>
        </w:rPr>
        <w:tab/>
      </w:r>
      <w:r>
        <w:rPr>
          <w:rFonts w:ascii="Arial" w:cs="Arial" w:eastAsia="Arial" w:hAnsi="Arial"/>
          <w:sz w:val="17"/>
          <w:szCs w:val="17"/>
          <w:b w:val="1"/>
          <w:bCs w:val="1"/>
          <w:color w:val="CC0000"/>
        </w:rPr>
        <w:t>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December 31, 2014, we had outstanding foreign currency forward commitments to purchase 330.6 million U.S. dollars and sell 270.3 million euro; commitments to purchase 1.18 billion euro and sell 1.45 billion U.S. dollars; commitments to purchase 190.4 million British pounds and sell 242.4 million euro; and commitments to purchase 332.6 million U.S. dollars and sell 40.04 billion Japanese yen, which will all settle within 30 days.</w:t>
      </w:r>
    </w:p>
    <w:p>
      <w:pPr>
        <w:spacing w:after="0" w:line="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December 31, 2014, substantially all of our total long-term debt is at a fixed rate. We have converted approximately 55 percent of our long-term fixed-rate notes to floating rates through the use of interest rate swaps.</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At December 31, 2014, the total notional amounts of forward-starting interest rate contracts in designated cash flow hedging instruments were $1.35 billion, which will all settle within three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 Management Instruments on the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Fair value hedges:</w:t>
            </w:r>
          </w:p>
        </w:tc>
        <w:tc>
          <w:tcPr>
            <w:tcW w:w="5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54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54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93"/>
              <w:spacing w:after="0"/>
              <w:rPr>
                <w:sz w:val="20"/>
                <w:szCs w:val="20"/>
                <w:color w:val="auto"/>
              </w:rPr>
            </w:pPr>
            <w:r>
              <w:rPr>
                <w:rFonts w:ascii="Arial" w:cs="Arial" w:eastAsia="Arial" w:hAnsi="Arial"/>
                <w:sz w:val="18"/>
                <w:szCs w:val="18"/>
                <w:b w:val="1"/>
                <w:bCs w:val="1"/>
                <w:color w:val="auto"/>
              </w:rPr>
              <w:t>156.9</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(308.2)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7"/>
        </w:trPr>
        <w:tc>
          <w:tcPr>
            <w:tcW w:w="63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52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133"/>
              <w:spacing w:after="0"/>
              <w:rPr>
                <w:sz w:val="20"/>
                <w:szCs w:val="20"/>
                <w:color w:val="auto"/>
              </w:rPr>
            </w:pPr>
            <w:r>
              <w:rPr>
                <w:rFonts w:ascii="Arial" w:cs="Arial" w:eastAsia="Arial" w:hAnsi="Arial"/>
                <w:sz w:val="18"/>
                <w:szCs w:val="18"/>
                <w:b w:val="1"/>
                <w:bCs w:val="1"/>
                <w:color w:val="auto"/>
              </w:rPr>
              <w:t>(156.9)</w:t>
            </w:r>
          </w:p>
        </w:tc>
        <w:tc>
          <w:tcPr>
            <w:tcW w:w="54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308.2</w:t>
            </w:r>
          </w:p>
        </w:tc>
        <w:tc>
          <w:tcPr>
            <w:tcW w:w="5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3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Effective portion of losses on equity contracts reclassified from accumulated</w:t>
            </w:r>
          </w:p>
        </w:tc>
        <w:tc>
          <w:tcPr>
            <w:tcW w:w="520" w:type="dxa"/>
            <w:vAlign w:val="bottom"/>
            <w:shd w:val="clear" w:color="auto" w:fill="D8D8D8"/>
          </w:tcPr>
          <w:p>
            <w:pPr>
              <w:spacing w:after="0"/>
              <w:rPr>
                <w:sz w:val="19"/>
                <w:szCs w:val="19"/>
                <w:color w:val="auto"/>
              </w:rPr>
            </w:pPr>
          </w:p>
        </w:tc>
        <w:tc>
          <w:tcPr>
            <w:tcW w:w="1120" w:type="dxa"/>
            <w:vAlign w:val="bottom"/>
            <w:vMerge w:val="restart"/>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129.0</w:t>
            </w:r>
          </w:p>
        </w:tc>
        <w:tc>
          <w:tcPr>
            <w:tcW w:w="54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54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80" w:type="dxa"/>
            <w:vAlign w:val="bottom"/>
            <w:shd w:val="clear" w:color="auto" w:fill="D8D8D8"/>
          </w:tcPr>
          <w:p>
            <w:pPr>
              <w:ind w:left="340"/>
              <w:spacing w:after="0" w:line="233" w:lineRule="exact"/>
              <w:rPr>
                <w:sz w:val="20"/>
                <w:szCs w:val="20"/>
                <w:color w:val="auto"/>
              </w:rPr>
            </w:pPr>
            <w:r>
              <w:rPr>
                <w:rFonts w:ascii="Arial" w:cs="Arial" w:eastAsia="Arial" w:hAnsi="Arial"/>
                <w:sz w:val="18"/>
                <w:szCs w:val="18"/>
                <w:color w:val="auto"/>
              </w:rPr>
              <w:t>other comprehensive loss</w:t>
            </w:r>
            <w:r>
              <w:rPr>
                <w:rFonts w:ascii="Arial" w:cs="Arial" w:eastAsia="Arial" w:hAnsi="Arial"/>
                <w:sz w:val="21"/>
                <w:szCs w:val="21"/>
                <w:color w:val="auto"/>
                <w:vertAlign w:val="superscript"/>
              </w:rPr>
              <w:t>(1)</w:t>
            </w:r>
          </w:p>
        </w:tc>
        <w:tc>
          <w:tcPr>
            <w:tcW w:w="520" w:type="dxa"/>
            <w:vAlign w:val="bottom"/>
            <w:shd w:val="clear" w:color="auto" w:fill="D8D8D8"/>
          </w:tcPr>
          <w:p>
            <w:pPr>
              <w:spacing w:after="0"/>
              <w:rPr>
                <w:sz w:val="20"/>
                <w:szCs w:val="20"/>
                <w:color w:val="auto"/>
              </w:rPr>
            </w:pPr>
          </w:p>
        </w:tc>
        <w:tc>
          <w:tcPr>
            <w:tcW w:w="1120" w:type="dxa"/>
            <w:vAlign w:val="bottom"/>
            <w:vMerge w:val="continue"/>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112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18"/>
                <w:szCs w:val="18"/>
                <w:color w:val="auto"/>
              </w:rPr>
              <w:t>Effective portion of losses on interest rate contracts reclassified from</w:t>
            </w:r>
          </w:p>
        </w:tc>
        <w:tc>
          <w:tcPr>
            <w:tcW w:w="520" w:type="dxa"/>
            <w:vAlign w:val="bottom"/>
          </w:tcPr>
          <w:p>
            <w:pPr>
              <w:spacing w:after="0"/>
              <w:rPr>
                <w:sz w:val="19"/>
                <w:szCs w:val="19"/>
                <w:color w:val="auto"/>
              </w:rPr>
            </w:pPr>
          </w:p>
        </w:tc>
        <w:tc>
          <w:tcPr>
            <w:tcW w:w="112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9.0</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19"/>
                <w:szCs w:val="19"/>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5"/>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w:t>
            </w:r>
          </w:p>
        </w:tc>
        <w:tc>
          <w:tcPr>
            <w:tcW w:w="520" w:type="dxa"/>
            <w:vAlign w:val="bottom"/>
            <w:shd w:val="clear" w:color="auto" w:fill="D8D8D8"/>
          </w:tcPr>
          <w:p>
            <w:pPr>
              <w:spacing w:after="0"/>
              <w:rPr>
                <w:sz w:val="20"/>
                <w:szCs w:val="20"/>
                <w:color w:val="auto"/>
              </w:rPr>
            </w:pPr>
          </w:p>
        </w:tc>
        <w:tc>
          <w:tcPr>
            <w:tcW w:w="1120" w:type="dxa"/>
            <w:vAlign w:val="bottom"/>
            <w:vMerge w:val="restart"/>
            <w:shd w:val="clear" w:color="auto" w:fill="D8D8D8"/>
          </w:tcPr>
          <w:p>
            <w:pPr>
              <w:jc w:val="right"/>
              <w:ind w:right="133"/>
              <w:spacing w:after="0"/>
              <w:rPr>
                <w:sz w:val="20"/>
                <w:szCs w:val="20"/>
                <w:color w:val="auto"/>
              </w:rPr>
            </w:pPr>
            <w:r>
              <w:rPr>
                <w:rFonts w:ascii="Arial" w:cs="Arial" w:eastAsia="Arial" w:hAnsi="Arial"/>
                <w:sz w:val="18"/>
                <w:szCs w:val="18"/>
                <w:b w:val="1"/>
                <w:bCs w:val="1"/>
                <w:color w:val="auto"/>
              </w:rPr>
              <w:t>(20.4)</w:t>
            </w:r>
          </w:p>
        </w:tc>
        <w:tc>
          <w:tcPr>
            <w:tcW w:w="54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11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D8D8D8"/>
          </w:tcPr>
          <w:p>
            <w:pPr>
              <w:ind w:left="200"/>
              <w:spacing w:after="0"/>
              <w:rPr>
                <w:sz w:val="20"/>
                <w:szCs w:val="20"/>
                <w:color w:val="auto"/>
              </w:rPr>
            </w:pPr>
            <w:r>
              <w:rPr>
                <w:rFonts w:ascii="Arial" w:cs="Arial" w:eastAsia="Arial" w:hAnsi="Arial"/>
                <w:sz w:val="18"/>
                <w:szCs w:val="18"/>
                <w:color w:val="auto"/>
              </w:rPr>
              <w:t>hedging instruments</w:t>
            </w:r>
          </w:p>
        </w:tc>
        <w:tc>
          <w:tcPr>
            <w:tcW w:w="520" w:type="dxa"/>
            <w:vAlign w:val="bottom"/>
            <w:shd w:val="clear" w:color="auto" w:fill="D8D8D8"/>
          </w:tcPr>
          <w:p>
            <w:pPr>
              <w:spacing w:after="0"/>
              <w:rPr>
                <w:sz w:val="20"/>
                <w:szCs w:val="20"/>
                <w:color w:val="auto"/>
              </w:rPr>
            </w:pPr>
          </w:p>
        </w:tc>
        <w:tc>
          <w:tcPr>
            <w:tcW w:w="1120" w:type="dxa"/>
            <w:vAlign w:val="bottom"/>
            <w:vMerge w:val="continue"/>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112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Net losses on interest rate contracts not designated as hedging instruments</w:t>
            </w:r>
          </w:p>
        </w:tc>
        <w:tc>
          <w:tcPr>
            <w:tcW w:w="520" w:type="dxa"/>
            <w:vAlign w:val="bottom"/>
          </w:tcPr>
          <w:p>
            <w:pPr>
              <w:spacing w:after="0"/>
              <w:rPr>
                <w:sz w:val="22"/>
                <w:szCs w:val="22"/>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b w:val="1"/>
                <w:bCs w:val="1"/>
                <w:color w:val="auto"/>
              </w:rPr>
              <w:t>3.4</w:t>
            </w:r>
          </w:p>
        </w:tc>
        <w:tc>
          <w:tcPr>
            <w:tcW w:w="540" w:type="dxa"/>
            <w:vAlign w:val="bottom"/>
          </w:tcPr>
          <w:p>
            <w:pPr>
              <w:spacing w:after="0"/>
              <w:rPr>
                <w:sz w:val="22"/>
                <w:szCs w:val="22"/>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6380" w:type="dxa"/>
            <w:vAlign w:val="bottom"/>
          </w:tcPr>
          <w:p>
            <w:pPr>
              <w:spacing w:after="0"/>
              <w:rPr>
                <w:sz w:val="20"/>
                <w:szCs w:val="20"/>
                <w:color w:val="auto"/>
              </w:rPr>
            </w:pPr>
            <w:r>
              <w:rPr>
                <w:rFonts w:ascii="Arial" w:cs="Arial" w:eastAsia="Arial" w:hAnsi="Arial"/>
                <w:sz w:val="18"/>
                <w:szCs w:val="18"/>
                <w:b w:val="1"/>
                <w:bCs w:val="1"/>
                <w:i w:val="1"/>
                <w:iCs w:val="1"/>
                <w:color w:val="auto"/>
              </w:rPr>
              <w:t>66</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76" w:right="259" w:bottom="1440" w:gutter="0" w:footer="0" w:header="0"/>
          <w:type w:val="continuous"/>
        </w:sectPr>
      </w:pPr>
    </w:p>
    <w:bookmarkStart w:id="66" w:name="page67"/>
    <w:bookmarkEnd w:id="66"/>
    <w:p>
      <w:pPr>
        <w:ind w:left="180" w:right="60" w:hanging="172"/>
        <w:spacing w:after="0" w:line="225" w:lineRule="auto"/>
        <w:tabs>
          <w:tab w:leader="none" w:pos="18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Realized gains on the sale of underlying equity securities recognized in other-net, (income) expense were $260.8 million during the year ended December 31, 2014. There were no realized gains on the sale of underlying equity securities during the years ended December 31, 2013 and 2012.</w:t>
      </w:r>
    </w:p>
    <w:p>
      <w:pPr>
        <w:spacing w:after="0" w:line="3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years ended December 31, 2014, 2013, and 2012, net losses related to ineffectiveness, as well as net losses related to the portion of our risk-management hedging instruments, fair value hedges, and cash flow hedges that were excluded from the assessment of effectiveness,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year ended December 31, 2014, we terminated certain interest rate swaps designated as fair value hedges with an aggregate notional amount of $1.30 billion. As a result of the termination, we received cash of $340.7 million, which represented the fair value of the interest rate swaps at the time of termination. The related fair value adjustment was recorded as an increase to the carrying value of the underlying fixed-rate debt and will be amortized into earnings as a reduction of interest expense over the remaining life of the underlying debt.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effective portion of equity contracts in designated cash flow hedging relationships recorded in other comprehensive income (loss) was $149.6 million and $(149.6) million during the years ended December 31, 2014 and 2013, respectively. There were no equity contracts in designated cash flow hedging relationships in 2012. During the year ended December 31, 2014, we sold all of the underlying equity securities that had been in designated cash flow hedging relationships. At the time of the sales, we reclassified to earnings the accumulated other comprehensive loss related to the cash flow hedges and the previously unrealized gains on the underlying equity securities.</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forward-starting interest rate swaps in designated cash flow hedging relationships associated with an anticipated debt issuance, the effective portion of net gains (losses) recorded in other comprehensive income (loss) was $(164.7) million and $16.7 million for the years ended December 31, 2014 and 2013. There were no forward-starting interest rate swaps in designated cash flow hedging relationships in 2012.</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$9.0 million of pretax net losses on cash flow hedges of the variability in expected future interest payments on our floating rate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Non-Hedging Instruments</w:t>
      </w:r>
    </w:p>
    <w:p>
      <w:pPr>
        <w:spacing w:after="0" w:line="1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the year ended December 31, 2014, we settled fixed-rate interest contracts used to manage interest rate risks on our investments in debt securities, which were not designed as hedging instruments. The aggregate notional amount of the settled contracts was $876.0 million, and we paid $3.4 million of cash to the counterparties upon settlement.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67</w:t>
      </w:r>
    </w:p>
    <w:p>
      <w:pPr>
        <w:sectPr>
          <w:pgSz w:w="11900" w:h="16838" w:orient="portrait"/>
          <w:cols w:equalWidth="0" w:num="1">
            <w:col w:w="11420"/>
          </w:cols>
          <w:pgMar w:left="240" w:top="6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292"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26035</wp:posOffset>
            </wp:positionV>
            <wp:extent cx="27616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center"/>
              <w:ind w:right="175"/>
              <w:spacing w:after="0"/>
              <w:rPr>
                <w:sz w:val="20"/>
                <w:szCs w:val="20"/>
                <w:color w:val="auto"/>
              </w:rPr>
            </w:pPr>
            <w:r>
              <w:rPr>
                <w:rFonts w:ascii="Arial" w:cs="Arial" w:eastAsia="Arial" w:hAnsi="Arial"/>
                <w:sz w:val="13"/>
                <w:szCs w:val="13"/>
                <w:b w:val="1"/>
                <w:bCs w:val="1"/>
                <w:color w:val="auto"/>
                <w:w w:val="99"/>
              </w:rPr>
              <w:t>Significant</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Other</w:t>
            </w:r>
          </w:p>
        </w:tc>
        <w:tc>
          <w:tcPr>
            <w:tcW w:w="280" w:type="dxa"/>
            <w:vAlign w:val="bottom"/>
          </w:tcPr>
          <w:p>
            <w:pPr>
              <w:spacing w:after="0"/>
              <w:rPr>
                <w:sz w:val="11"/>
                <w:szCs w:val="11"/>
                <w:color w:val="auto"/>
              </w:rPr>
            </w:pPr>
          </w:p>
        </w:tc>
        <w:tc>
          <w:tcPr>
            <w:tcW w:w="120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6"/>
              </w:rPr>
              <w:t>Significant</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1"/>
                <w:szCs w:val="11"/>
                <w:color w:val="auto"/>
              </w:rPr>
            </w:pP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1"/>
                <w:szCs w:val="11"/>
                <w:color w:val="auto"/>
              </w:rPr>
            </w:pPr>
          </w:p>
        </w:tc>
        <w:tc>
          <w:tcPr>
            <w:tcW w:w="12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8"/>
              </w:rPr>
              <w:t>Observable</w:t>
            </w:r>
          </w:p>
        </w:tc>
        <w:tc>
          <w:tcPr>
            <w:tcW w:w="280" w:type="dxa"/>
            <w:vAlign w:val="bottom"/>
          </w:tcPr>
          <w:p>
            <w:pPr>
              <w:spacing w:after="0"/>
              <w:rPr>
                <w:sz w:val="11"/>
                <w:szCs w:val="11"/>
                <w:color w:val="auto"/>
              </w:rPr>
            </w:pPr>
          </w:p>
        </w:tc>
        <w:tc>
          <w:tcPr>
            <w:tcW w:w="120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34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0"/>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74"/>
              <w:spacing w:after="0" w:line="130" w:lineRule="exact"/>
              <w:rPr>
                <w:sz w:val="20"/>
                <w:szCs w:val="20"/>
                <w:color w:val="auto"/>
              </w:rPr>
            </w:pPr>
            <w:r>
              <w:rPr>
                <w:rFonts w:ascii="Arial" w:cs="Arial" w:eastAsia="Arial" w:hAnsi="Arial"/>
                <w:sz w:val="13"/>
                <w:szCs w:val="13"/>
                <w:b w:val="1"/>
                <w:bCs w:val="1"/>
                <w:color w:val="auto"/>
                <w:w w:val="96"/>
              </w:rPr>
              <w:t>Identical Assets</w:t>
            </w:r>
          </w:p>
        </w:tc>
        <w:tc>
          <w:tcPr>
            <w:tcW w:w="340" w:type="dxa"/>
            <w:vAlign w:val="bottom"/>
          </w:tcPr>
          <w:p>
            <w:pPr>
              <w:spacing w:after="0"/>
              <w:rPr>
                <w:sz w:val="11"/>
                <w:szCs w:val="11"/>
                <w:color w:val="auto"/>
              </w:rPr>
            </w:pPr>
          </w:p>
        </w:tc>
        <w:tc>
          <w:tcPr>
            <w:tcW w:w="1160" w:type="dxa"/>
            <w:vAlign w:val="bottom"/>
          </w:tcPr>
          <w:p>
            <w:pPr>
              <w:jc w:val="center"/>
              <w:ind w:right="175"/>
              <w:spacing w:after="0" w:line="130" w:lineRule="exact"/>
              <w:rPr>
                <w:sz w:val="20"/>
                <w:szCs w:val="20"/>
                <w:color w:val="auto"/>
              </w:rPr>
            </w:pPr>
            <w:r>
              <w:rPr>
                <w:rFonts w:ascii="Arial" w:cs="Arial" w:eastAsia="Arial" w:hAnsi="Arial"/>
                <w:sz w:val="13"/>
                <w:szCs w:val="13"/>
                <w:b w:val="1"/>
                <w:bCs w:val="1"/>
                <w:color w:val="auto"/>
                <w:w w:val="97"/>
              </w:rPr>
              <w:t>Inputs</w:t>
            </w:r>
          </w:p>
        </w:tc>
        <w:tc>
          <w:tcPr>
            <w:tcW w:w="280" w:type="dxa"/>
            <w:vAlign w:val="bottom"/>
          </w:tcPr>
          <w:p>
            <w:pPr>
              <w:spacing w:after="0"/>
              <w:rPr>
                <w:sz w:val="11"/>
                <w:szCs w:val="11"/>
                <w:color w:val="auto"/>
              </w:rPr>
            </w:pPr>
          </w:p>
        </w:tc>
        <w:tc>
          <w:tcPr>
            <w:tcW w:w="1200" w:type="dxa"/>
            <w:vAlign w:val="bottom"/>
          </w:tcPr>
          <w:p>
            <w:pPr>
              <w:jc w:val="center"/>
              <w:ind w:right="135"/>
              <w:spacing w:after="0" w:line="130" w:lineRule="exact"/>
              <w:rPr>
                <w:sz w:val="20"/>
                <w:szCs w:val="20"/>
                <w:color w:val="auto"/>
              </w:rPr>
            </w:pPr>
            <w:r>
              <w:rPr>
                <w:rFonts w:ascii="Arial" w:cs="Arial" w:eastAsia="Arial" w:hAnsi="Arial"/>
                <w:sz w:val="13"/>
                <w:szCs w:val="13"/>
                <w:b w:val="1"/>
                <w:bCs w:val="1"/>
                <w:color w:val="auto"/>
                <w:w w:val="97"/>
              </w:rPr>
              <w:t>Inputs</w:t>
            </w:r>
          </w:p>
        </w:tc>
        <w:tc>
          <w:tcPr>
            <w:tcW w:w="3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8"/>
              </w:rPr>
              <w:t>(Level 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4"/>
              </w:rPr>
              <w:t>(Level 2)</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98"/>
              </w:rPr>
              <w:t>(Level 3)</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4"/>
        </w:trPr>
        <w:tc>
          <w:tcPr>
            <w:tcW w:w="3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2014</w:t>
            </w:r>
          </w:p>
        </w:tc>
        <w:tc>
          <w:tcPr>
            <w:tcW w:w="20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9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2,443.5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2,443.5</w:t>
            </w:r>
          </w:p>
        </w:tc>
        <w:tc>
          <w:tcPr>
            <w:tcW w:w="26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D8D8D8"/>
            </w:tcBorders>
          </w:tcPr>
          <w:p>
            <w:pPr>
              <w:jc w:val="right"/>
              <w:ind w:right="34"/>
              <w:spacing w:after="0"/>
              <w:rPr>
                <w:sz w:val="20"/>
                <w:szCs w:val="20"/>
                <w:color w:val="auto"/>
              </w:rPr>
            </w:pPr>
            <w:r>
              <w:rPr>
                <w:rFonts w:ascii="Arial" w:cs="Arial" w:eastAsia="Arial" w:hAnsi="Arial"/>
                <w:sz w:val="18"/>
                <w:szCs w:val="18"/>
                <w:b w:val="1"/>
                <w:bCs w:val="1"/>
                <w:color w:val="auto"/>
              </w:rPr>
              <w:t>2,415.5</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28.0</w:t>
            </w:r>
          </w:p>
        </w:tc>
        <w:tc>
          <w:tcPr>
            <w:tcW w:w="280" w:type="dxa"/>
            <w:vAlign w:val="bottom"/>
            <w:tcBorders>
              <w:bottom w:val="single" w:sz="8" w:color="D8D8D8"/>
            </w:tcBorders>
          </w:tcPr>
          <w:p>
            <w:pPr>
              <w:ind w:left="1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2,443.5</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185.5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185.6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156.5</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29.0</w:t>
            </w:r>
          </w:p>
        </w:tc>
        <w:tc>
          <w:tcPr>
            <w:tcW w:w="28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5"/>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185.5</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767.4</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766.7</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767.4</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767.4</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securities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D8D8D8"/>
            </w:tcBorders>
          </w:tcPr>
          <w:p>
            <w:pPr>
              <w:spacing w:after="0"/>
              <w:rPr>
                <w:sz w:val="22"/>
                <w:szCs w:val="22"/>
                <w:color w:val="auto"/>
              </w:rPr>
            </w:pPr>
          </w:p>
        </w:tc>
        <w:tc>
          <w:tcPr>
            <w:tcW w:w="1240" w:type="dxa"/>
            <w:vAlign w:val="bottom"/>
            <w:tcBorders>
              <w:bottom w:val="single" w:sz="8" w:color="D8D8D8"/>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D8D8D8"/>
            </w:tcBorders>
          </w:tcPr>
          <w:p>
            <w:pPr>
              <w:spacing w:after="0"/>
              <w:rPr>
                <w:sz w:val="22"/>
                <w:szCs w:val="22"/>
                <w:color w:val="auto"/>
              </w:rPr>
            </w:pP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bottom w:val="single" w:sz="8" w:color="D8D8D8"/>
            </w:tcBorders>
          </w:tcPr>
          <w:p>
            <w:pPr>
              <w:spacing w:after="0"/>
              <w:rPr>
                <w:sz w:val="22"/>
                <w:szCs w:val="22"/>
                <w:color w:val="auto"/>
              </w:rPr>
            </w:pPr>
          </w:p>
        </w:tc>
        <w:tc>
          <w:tcPr>
            <w:tcW w:w="120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D8D8D8"/>
            </w:tcBorders>
          </w:tcPr>
          <w:p>
            <w:pPr>
              <w:spacing w:after="0"/>
              <w:rPr>
                <w:sz w:val="22"/>
                <w:szCs w:val="22"/>
                <w:color w:val="auto"/>
              </w:rPr>
            </w:pPr>
          </w:p>
        </w:tc>
        <w:tc>
          <w:tcPr>
            <w:tcW w:w="90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84"/>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955.4</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954.8</w:t>
            </w:r>
          </w:p>
        </w:tc>
        <w:tc>
          <w:tcPr>
            <w:tcW w:w="260" w:type="dxa"/>
            <w:vAlign w:val="bottom"/>
            <w:tcBorders>
              <w:bottom w:val="single" w:sz="8" w:color="D8D8D8"/>
            </w:tcBorders>
            <w:shd w:val="clear" w:color="auto" w:fill="D8D8D8"/>
          </w:tcPr>
          <w:p>
            <w:pPr>
              <w:spacing w:after="0"/>
              <w:rPr>
                <w:sz w:val="24"/>
                <w:szCs w:val="24"/>
                <w:color w:val="auto"/>
              </w:rPr>
            </w:pPr>
          </w:p>
        </w:tc>
        <w:tc>
          <w:tcPr>
            <w:tcW w:w="1240" w:type="dxa"/>
            <w:vAlign w:val="bottom"/>
            <w:tcBorders>
              <w:bottom w:val="single" w:sz="8" w:color="D8D8D8"/>
            </w:tcBorders>
            <w:shd w:val="clear" w:color="auto" w:fill="D8D8D8"/>
          </w:tcPr>
          <w:p>
            <w:pPr>
              <w:spacing w:after="0"/>
              <w:rPr>
                <w:sz w:val="24"/>
                <w:szCs w:val="24"/>
                <w:color w:val="auto"/>
              </w:rPr>
            </w:pPr>
          </w:p>
        </w:tc>
        <w:tc>
          <w:tcPr>
            <w:tcW w:w="340" w:type="dxa"/>
            <w:vAlign w:val="bottom"/>
            <w:tcBorders>
              <w:bottom w:val="single" w:sz="8" w:color="D8D8D8"/>
            </w:tcBorders>
            <w:shd w:val="clear" w:color="auto" w:fill="D8D8D8"/>
          </w:tcPr>
          <w:p>
            <w:pPr>
              <w:spacing w:after="0"/>
              <w:rPr>
                <w:sz w:val="24"/>
                <w:szCs w:val="24"/>
                <w:color w:val="auto"/>
              </w:rPr>
            </w:pPr>
          </w:p>
        </w:tc>
        <w:tc>
          <w:tcPr>
            <w:tcW w:w="1160" w:type="dxa"/>
            <w:vAlign w:val="bottom"/>
            <w:tcBorders>
              <w:bottom w:val="single" w:sz="8" w:color="D8D8D8"/>
            </w:tcBorders>
            <w:shd w:val="clear" w:color="auto" w:fill="D8D8D8"/>
          </w:tcPr>
          <w:p>
            <w:pPr>
              <w:spacing w:after="0"/>
              <w:rPr>
                <w:sz w:val="24"/>
                <w:szCs w:val="24"/>
                <w:color w:val="auto"/>
              </w:rPr>
            </w:pPr>
          </w:p>
        </w:tc>
        <w:tc>
          <w:tcPr>
            <w:tcW w:w="280" w:type="dxa"/>
            <w:vAlign w:val="bottom"/>
            <w:tcBorders>
              <w:bottom w:val="single" w:sz="8" w:color="D8D8D8"/>
            </w:tcBorders>
            <w:shd w:val="clear" w:color="auto" w:fill="D8D8D8"/>
          </w:tcPr>
          <w:p>
            <w:pPr>
              <w:spacing w:after="0"/>
              <w:rPr>
                <w:sz w:val="24"/>
                <w:szCs w:val="24"/>
                <w:color w:val="auto"/>
              </w:rPr>
            </w:pPr>
          </w:p>
        </w:tc>
        <w:tc>
          <w:tcPr>
            <w:tcW w:w="1200" w:type="dxa"/>
            <w:vAlign w:val="bottom"/>
            <w:tcBorders>
              <w:bottom w:val="single" w:sz="8" w:color="D8D8D8"/>
            </w:tcBorders>
            <w:shd w:val="clear" w:color="auto" w:fill="D8D8D8"/>
          </w:tcPr>
          <w:p>
            <w:pPr>
              <w:spacing w:after="0"/>
              <w:rPr>
                <w:sz w:val="24"/>
                <w:szCs w:val="24"/>
                <w:color w:val="auto"/>
              </w:rPr>
            </w:pPr>
          </w:p>
        </w:tc>
        <w:tc>
          <w:tcPr>
            <w:tcW w:w="340" w:type="dxa"/>
            <w:vAlign w:val="bottom"/>
            <w:tcBorders>
              <w:bottom w:val="single" w:sz="8" w:color="D8D8D8"/>
            </w:tcBorders>
            <w:shd w:val="clear" w:color="auto" w:fill="D8D8D8"/>
          </w:tcPr>
          <w:p>
            <w:pPr>
              <w:spacing w:after="0"/>
              <w:rPr>
                <w:sz w:val="24"/>
                <w:szCs w:val="24"/>
                <w:color w:val="auto"/>
              </w:rPr>
            </w:pPr>
          </w:p>
        </w:tc>
        <w:tc>
          <w:tcPr>
            <w:tcW w:w="90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756.7</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757.5</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747.5</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9.2</w:t>
            </w:r>
          </w:p>
        </w:tc>
        <w:tc>
          <w:tcPr>
            <w:tcW w:w="280" w:type="dxa"/>
            <w:vAlign w:val="bottom"/>
            <w:shd w:val="clear" w:color="auto" w:fill="D8D8D8"/>
          </w:tcPr>
          <w:p>
            <w:pPr>
              <w:ind w:left="1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756.7</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2,462.7</w:t>
            </w:r>
          </w:p>
        </w:tc>
        <w:tc>
          <w:tcPr>
            <w:tcW w:w="2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2,468.9</w:t>
            </w:r>
          </w:p>
        </w:tc>
        <w:tc>
          <w:tcPr>
            <w:tcW w:w="26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2,462.7</w:t>
            </w:r>
          </w:p>
        </w:tc>
        <w:tc>
          <w:tcPr>
            <w:tcW w:w="2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2,462.7</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Mortgage-backed</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217.0</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217.6</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217.0</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217.0</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w:t>
            </w:r>
          </w:p>
        </w:tc>
        <w:tc>
          <w:tcPr>
            <w:tcW w:w="2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477.8</w:t>
            </w:r>
          </w:p>
        </w:tc>
        <w:tc>
          <w:tcPr>
            <w:tcW w:w="2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478.0</w:t>
            </w:r>
          </w:p>
        </w:tc>
        <w:tc>
          <w:tcPr>
            <w:tcW w:w="26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477.8</w:t>
            </w:r>
          </w:p>
        </w:tc>
        <w:tc>
          <w:tcPr>
            <w:tcW w:w="2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477.8</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3.2</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3.2</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3.2</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Marketable equity</w:t>
            </w:r>
          </w:p>
        </w:tc>
        <w:tc>
          <w:tcPr>
            <w:tcW w:w="2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204.8</w:t>
            </w:r>
          </w:p>
        </w:tc>
        <w:tc>
          <w:tcPr>
            <w:tcW w:w="2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44.0</w:t>
            </w:r>
          </w:p>
        </w:tc>
        <w:tc>
          <w:tcPr>
            <w:tcW w:w="26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204.8</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204.8</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w w:val="98"/>
              </w:rPr>
              <w:t>Equity method and other investments</w:t>
            </w:r>
            <w:r>
              <w:rPr>
                <w:rFonts w:ascii="Arial" w:cs="Arial" w:eastAsia="Arial" w:hAnsi="Arial"/>
                <w:sz w:val="21"/>
                <w:szCs w:val="21"/>
                <w:color w:val="auto"/>
                <w:w w:val="98"/>
                <w:vertAlign w:val="superscript"/>
              </w:rPr>
              <w:t>(1)</w:t>
            </w:r>
          </w:p>
        </w:tc>
        <w:tc>
          <w:tcPr>
            <w:tcW w:w="20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446.7</w:t>
            </w:r>
          </w:p>
        </w:tc>
        <w:tc>
          <w:tcPr>
            <w:tcW w:w="28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446.7</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300" w:type="dxa"/>
            <w:vAlign w:val="bottom"/>
          </w:tcPr>
          <w:p>
            <w:pPr>
              <w:ind w:left="180"/>
              <w:spacing w:after="0"/>
              <w:rPr>
                <w:sz w:val="20"/>
                <w:szCs w:val="20"/>
                <w:color w:val="auto"/>
              </w:rPr>
            </w:pPr>
            <w:r>
              <w:rPr>
                <w:rFonts w:ascii="Arial" w:cs="Arial" w:eastAsia="Arial" w:hAnsi="Arial"/>
                <w:sz w:val="18"/>
                <w:szCs w:val="18"/>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4,568.9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4,415.9</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2013</w:t>
            </w:r>
          </w:p>
        </w:tc>
        <w:tc>
          <w:tcPr>
            <w:tcW w:w="2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2,574.7</w:t>
            </w:r>
          </w:p>
        </w:tc>
        <w:tc>
          <w:tcPr>
            <w:tcW w:w="260" w:type="dxa"/>
            <w:vAlign w:val="bottom"/>
            <w:tcBorders>
              <w:bottom w:val="single" w:sz="8" w:color="D8D8D8"/>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8D8D8"/>
            </w:tcBorders>
          </w:tcPr>
          <w:p>
            <w:pPr>
              <w:jc w:val="right"/>
              <w:ind w:right="34"/>
              <w:spacing w:after="0"/>
              <w:rPr>
                <w:sz w:val="20"/>
                <w:szCs w:val="20"/>
                <w:color w:val="auto"/>
              </w:rPr>
            </w:pPr>
            <w:r>
              <w:rPr>
                <w:rFonts w:ascii="Arial" w:cs="Arial" w:eastAsia="Arial" w:hAnsi="Arial"/>
                <w:sz w:val="18"/>
                <w:szCs w:val="18"/>
                <w:color w:val="auto"/>
              </w:rPr>
              <w:t>2,517.1</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color w:val="auto"/>
              </w:rPr>
              <w:t>57.6</w:t>
            </w:r>
          </w:p>
        </w:tc>
        <w:tc>
          <w:tcPr>
            <w:tcW w:w="280" w:type="dxa"/>
            <w:vAlign w:val="bottom"/>
            <w:tcBorders>
              <w:bottom w:val="single" w:sz="8" w:color="D8D8D8"/>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color w:val="auto"/>
              </w:rPr>
              <w:t>2,574.7</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276.4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931.7</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929.8</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931.7</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931.7</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w:t>
            </w:r>
          </w:p>
        </w:tc>
        <w:tc>
          <w:tcPr>
            <w:tcW w:w="20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356.3</w:t>
            </w:r>
          </w:p>
        </w:tc>
        <w:tc>
          <w:tcPr>
            <w:tcW w:w="28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356.3</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1,284.1</w:t>
            </w:r>
          </w:p>
        </w:tc>
        <w:tc>
          <w:tcPr>
            <w:tcW w:w="260" w:type="dxa"/>
            <w:vAlign w:val="bottom"/>
            <w:tcBorders>
              <w:bottom w:val="single" w:sz="8" w:color="D8D8D8"/>
            </w:tcBorders>
          </w:tcPr>
          <w:p>
            <w:pPr>
              <w:spacing w:after="0"/>
              <w:rPr>
                <w:sz w:val="24"/>
                <w:szCs w:val="24"/>
                <w:color w:val="auto"/>
              </w:rPr>
            </w:pPr>
          </w:p>
        </w:tc>
        <w:tc>
          <w:tcPr>
            <w:tcW w:w="124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280" w:type="dxa"/>
            <w:vAlign w:val="bottom"/>
            <w:tcBorders>
              <w:bottom w:val="single" w:sz="8" w:color="D8D8D8"/>
            </w:tcBorders>
          </w:tcPr>
          <w:p>
            <w:pPr>
              <w:spacing w:after="0"/>
              <w:rPr>
                <w:sz w:val="24"/>
                <w:szCs w:val="24"/>
                <w:color w:val="auto"/>
              </w:rPr>
            </w:pPr>
          </w:p>
        </w:tc>
        <w:tc>
          <w:tcPr>
            <w:tcW w:w="120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900" w:type="dxa"/>
            <w:vAlign w:val="bottom"/>
            <w:tcBorders>
              <w:bottom w:val="single" w:sz="8" w:color="D8D8D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00" w:type="dxa"/>
            <w:vAlign w:val="bottom"/>
            <w:shd w:val="clear" w:color="auto" w:fill="D8D8D8"/>
          </w:tcPr>
          <w:p>
            <w:pPr>
              <w:spacing w:after="0"/>
              <w:rPr>
                <w:sz w:val="22"/>
                <w:szCs w:val="22"/>
                <w:color w:val="auto"/>
              </w:rPr>
            </w:pPr>
          </w:p>
        </w:tc>
        <w:tc>
          <w:tcPr>
            <w:tcW w:w="960" w:type="dxa"/>
            <w:vAlign w:val="bottom"/>
            <w:shd w:val="clear" w:color="auto" w:fill="D8D8D8"/>
          </w:tcPr>
          <w:p>
            <w:pPr>
              <w:spacing w:after="0"/>
              <w:rPr>
                <w:sz w:val="22"/>
                <w:szCs w:val="22"/>
                <w:color w:val="auto"/>
              </w:rPr>
            </w:pPr>
          </w:p>
        </w:tc>
        <w:tc>
          <w:tcPr>
            <w:tcW w:w="280" w:type="dxa"/>
            <w:vAlign w:val="bottom"/>
            <w:shd w:val="clear" w:color="auto" w:fill="D8D8D8"/>
          </w:tcPr>
          <w:p>
            <w:pPr>
              <w:spacing w:after="0"/>
              <w:rPr>
                <w:sz w:val="22"/>
                <w:szCs w:val="22"/>
                <w:color w:val="auto"/>
              </w:rPr>
            </w:pPr>
          </w:p>
        </w:tc>
        <w:tc>
          <w:tcPr>
            <w:tcW w:w="96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124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280" w:type="dxa"/>
            <w:vAlign w:val="bottom"/>
            <w:shd w:val="clear" w:color="auto" w:fill="D8D8D8"/>
          </w:tcPr>
          <w:p>
            <w:pPr>
              <w:spacing w:after="0"/>
              <w:rPr>
                <w:sz w:val="22"/>
                <w:szCs w:val="22"/>
                <w:color w:val="auto"/>
              </w:rPr>
            </w:pPr>
          </w:p>
        </w:tc>
        <w:tc>
          <w:tcPr>
            <w:tcW w:w="120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c>
          <w:tcPr>
            <w:tcW w:w="9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1,035.6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80.0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4,940.5</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4,933.7</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4,940.5</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4,940.5</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w:t>
            </w:r>
          </w:p>
        </w:tc>
        <w:tc>
          <w:tcPr>
            <w:tcW w:w="2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636.0</w:t>
            </w:r>
          </w:p>
        </w:tc>
        <w:tc>
          <w:tcPr>
            <w:tcW w:w="2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652.4</w:t>
            </w:r>
          </w:p>
        </w:tc>
        <w:tc>
          <w:tcPr>
            <w:tcW w:w="26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636.0</w:t>
            </w:r>
          </w:p>
        </w:tc>
        <w:tc>
          <w:tcPr>
            <w:tcW w:w="2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490.0</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494.5</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490.0</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w:t>
            </w:r>
          </w:p>
        </w:tc>
        <w:tc>
          <w:tcPr>
            <w:tcW w:w="20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81.2</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w w:val="98"/>
              </w:rPr>
              <w:t>Equity method and other investments</w:t>
            </w:r>
            <w:r>
              <w:rPr>
                <w:rFonts w:ascii="Arial" w:cs="Arial" w:eastAsia="Arial" w:hAnsi="Arial"/>
                <w:sz w:val="21"/>
                <w:szCs w:val="21"/>
                <w:color w:val="auto"/>
                <w:w w:val="98"/>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354.3</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354.3</w:t>
            </w:r>
          </w:p>
        </w:tc>
        <w:tc>
          <w:tcPr>
            <w:tcW w:w="26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280" w:type="dxa"/>
            <w:vAlign w:val="bottom"/>
            <w:tcBorders>
              <w:bottom w:val="single" w:sz="8" w:color="D8D8D8"/>
            </w:tcBorders>
          </w:tcPr>
          <w:p>
            <w:pPr>
              <w:spacing w:after="0"/>
              <w:rPr>
                <w:sz w:val="23"/>
                <w:szCs w:val="23"/>
                <w:color w:val="auto"/>
              </w:rPr>
            </w:pPr>
          </w:p>
        </w:tc>
        <w:tc>
          <w:tcPr>
            <w:tcW w:w="120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90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7,624.9</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7,592.1</w:t>
            </w:r>
          </w:p>
        </w:tc>
        <w:tc>
          <w:tcPr>
            <w:tcW w:w="26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280" w:type="dxa"/>
            <w:vAlign w:val="bottom"/>
            <w:tcBorders>
              <w:bottom w:val="single" w:sz="8" w:color="D8D8D8"/>
            </w:tcBorders>
            <w:shd w:val="clear" w:color="auto" w:fill="D8D8D8"/>
          </w:tcPr>
          <w:p>
            <w:pPr>
              <w:spacing w:after="0"/>
              <w:rPr>
                <w:sz w:val="23"/>
                <w:szCs w:val="23"/>
                <w:color w:val="auto"/>
              </w:rPr>
            </w:pPr>
          </w:p>
        </w:tc>
        <w:tc>
          <w:tcPr>
            <w:tcW w:w="120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90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211" w:lineRule="auto"/>
        <w:tabs>
          <w:tab w:leader="none" w:pos="20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Fair value not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68</w:t>
      </w:r>
    </w:p>
    <w:p>
      <w:pPr>
        <w:sectPr>
          <w:pgSz w:w="11900" w:h="16838" w:orient="portrait"/>
          <w:cols w:equalWidth="0" w:num="1">
            <w:col w:w="11420"/>
          </w:cols>
          <w:pgMar w:left="240" w:top="738" w:right="239" w:bottom="1440" w:gutter="0" w:footer="0" w:header="0"/>
        </w:sectPr>
      </w:pPr>
    </w:p>
    <w:bookmarkStart w:id="68" w:name="page69"/>
    <w:bookmarkEnd w:id="68"/>
    <w:p>
      <w:pPr>
        <w:ind w:left="6980"/>
        <w:spacing w:after="0"/>
        <w:rPr>
          <w:sz w:val="20"/>
          <w:szCs w:val="20"/>
          <w:color w:val="auto"/>
        </w:rPr>
      </w:pPr>
      <w:r>
        <w:rPr>
          <w:rFonts w:ascii="Arial" w:cs="Arial" w:eastAsia="Arial" w:hAnsi="Arial"/>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2529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166"/>
              <w:spacing w:after="0"/>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1"/>
                <w:szCs w:val="11"/>
                <w:color w:val="auto"/>
              </w:rPr>
            </w:pPr>
          </w:p>
        </w:tc>
        <w:tc>
          <w:tcPr>
            <w:tcW w:w="1100" w:type="dxa"/>
            <w:vAlign w:val="bottom"/>
          </w:tcPr>
          <w:p>
            <w:pPr>
              <w:jc w:val="center"/>
              <w:ind w:right="166"/>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08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Carrying</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1"/>
                <w:szCs w:val="11"/>
                <w:color w:val="auto"/>
              </w:rPr>
            </w:pPr>
          </w:p>
        </w:tc>
        <w:tc>
          <w:tcPr>
            <w:tcW w:w="1100" w:type="dxa"/>
            <w:vAlign w:val="bottom"/>
          </w:tcPr>
          <w:p>
            <w:pPr>
              <w:jc w:val="center"/>
              <w:ind w:right="166"/>
              <w:spacing w:after="0" w:line="135"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1"/>
                <w:szCs w:val="11"/>
                <w:color w:val="auto"/>
              </w:rPr>
            </w:pPr>
          </w:p>
        </w:tc>
        <w:tc>
          <w:tcPr>
            <w:tcW w:w="108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1"/>
                <w:szCs w:val="11"/>
                <w:color w:val="auto"/>
              </w:rPr>
            </w:pPr>
          </w:p>
        </w:tc>
        <w:tc>
          <w:tcPr>
            <w:tcW w:w="9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line="130"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00" w:type="dxa"/>
            <w:vAlign w:val="bottom"/>
          </w:tcPr>
          <w:p>
            <w:pPr>
              <w:jc w:val="center"/>
              <w:ind w:right="166"/>
              <w:spacing w:after="0" w:line="130"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080" w:type="dxa"/>
            <w:vAlign w:val="bottom"/>
          </w:tcPr>
          <w:p>
            <w:pPr>
              <w:jc w:val="center"/>
              <w:ind w:right="64"/>
              <w:spacing w:after="0" w:line="130"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8"/>
              </w:rPr>
              <w:t>(Level 3)</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Short-term commercial paper borrowings</w:t>
            </w:r>
          </w:p>
        </w:tc>
        <w:tc>
          <w:tcPr>
            <w:tcW w:w="68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9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December 31, 2014</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b w:val="1"/>
                <w:bCs w:val="1"/>
                <w:color w:val="auto"/>
              </w:rPr>
              <w:t>(2,680.6)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
              <w:spacing w:after="0"/>
              <w:rPr>
                <w:sz w:val="20"/>
                <w:szCs w:val="20"/>
                <w:color w:val="auto"/>
              </w:rPr>
            </w:pPr>
            <w:r>
              <w:rPr>
                <w:rFonts w:ascii="Arial" w:cs="Arial" w:eastAsia="Arial" w:hAnsi="Arial"/>
                <w:sz w:val="18"/>
                <w:szCs w:val="18"/>
                <w:b w:val="1"/>
                <w:bCs w:val="1"/>
                <w:color w:val="auto"/>
              </w:rPr>
              <w:t>(2,680.6)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(2,680.6)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2013</w:t>
            </w:r>
          </w:p>
        </w:tc>
        <w:tc>
          <w:tcPr>
            <w:tcW w:w="68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117"/>
              <w:spacing w:after="0"/>
              <w:rPr>
                <w:sz w:val="20"/>
                <w:szCs w:val="20"/>
                <w:color w:val="auto"/>
              </w:rPr>
            </w:pPr>
            <w:r>
              <w:rPr>
                <w:rFonts w:ascii="Arial" w:cs="Arial" w:eastAsia="Arial" w:hAnsi="Arial"/>
                <w:sz w:val="18"/>
                <w:szCs w:val="18"/>
                <w:color w:val="auto"/>
              </w:rPr>
              <w:t>—</w:t>
            </w:r>
          </w:p>
        </w:tc>
        <w:tc>
          <w:tcPr>
            <w:tcW w:w="140" w:type="dxa"/>
            <w:vAlign w:val="bottom"/>
            <w:shd w:val="clear" w:color="auto" w:fill="D8D8D8"/>
          </w:tcPr>
          <w:p>
            <w:pPr>
              <w:spacing w:after="0"/>
              <w:rPr>
                <w:sz w:val="24"/>
                <w:szCs w:val="24"/>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66"/>
              <w:spacing w:after="0"/>
              <w:rPr>
                <w:sz w:val="20"/>
                <w:szCs w:val="20"/>
                <w:color w:val="auto"/>
              </w:rPr>
            </w:pPr>
            <w:r>
              <w:rPr>
                <w:rFonts w:ascii="Arial" w:cs="Arial" w:eastAsia="Arial" w:hAnsi="Arial"/>
                <w:sz w:val="18"/>
                <w:szCs w:val="18"/>
                <w:color w:val="auto"/>
              </w:rPr>
              <w:t>—</w:t>
            </w:r>
          </w:p>
        </w:tc>
        <w:tc>
          <w:tcPr>
            <w:tcW w:w="220" w:type="dxa"/>
            <w:vAlign w:val="bottom"/>
            <w:shd w:val="clear" w:color="auto" w:fill="D8D8D8"/>
          </w:tcPr>
          <w:p>
            <w:pPr>
              <w:spacing w:after="0"/>
              <w:rPr>
                <w:sz w:val="24"/>
                <w:szCs w:val="24"/>
                <w:color w:val="auto"/>
              </w:rPr>
            </w:pPr>
          </w:p>
        </w:tc>
        <w:tc>
          <w:tcPr>
            <w:tcW w:w="108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8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9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December 31, 2014</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b w:val="1"/>
                <w:bCs w:val="1"/>
                <w:color w:val="auto"/>
              </w:rPr>
              <w:t>(5,375.8)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
              <w:spacing w:after="0"/>
              <w:rPr>
                <w:sz w:val="20"/>
                <w:szCs w:val="20"/>
                <w:color w:val="auto"/>
              </w:rPr>
            </w:pPr>
            <w:r>
              <w:rPr>
                <w:rFonts w:ascii="Arial" w:cs="Arial" w:eastAsia="Arial" w:hAnsi="Arial"/>
                <w:sz w:val="18"/>
                <w:szCs w:val="18"/>
                <w:b w:val="1"/>
                <w:bCs w:val="1"/>
                <w:color w:val="auto"/>
              </w:rPr>
              <w:t>(5,722.1)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(5,722.1)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2013</w:t>
            </w:r>
          </w:p>
        </w:tc>
        <w:tc>
          <w:tcPr>
            <w:tcW w:w="68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(5,212.9)</w:t>
            </w:r>
          </w:p>
        </w:tc>
        <w:tc>
          <w:tcPr>
            <w:tcW w:w="140" w:type="dxa"/>
            <w:vAlign w:val="bottom"/>
            <w:shd w:val="clear" w:color="auto" w:fill="D8D8D8"/>
          </w:tcPr>
          <w:p>
            <w:pPr>
              <w:spacing w:after="0"/>
              <w:rPr>
                <w:sz w:val="24"/>
                <w:szCs w:val="24"/>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6"/>
              <w:spacing w:after="0"/>
              <w:rPr>
                <w:sz w:val="20"/>
                <w:szCs w:val="20"/>
                <w:color w:val="auto"/>
              </w:rPr>
            </w:pPr>
            <w:r>
              <w:rPr>
                <w:rFonts w:ascii="Arial" w:cs="Arial" w:eastAsia="Arial" w:hAnsi="Arial"/>
                <w:sz w:val="18"/>
                <w:szCs w:val="18"/>
                <w:color w:val="auto"/>
              </w:rPr>
              <w:t>(5,490.9)</w:t>
            </w:r>
          </w:p>
        </w:tc>
        <w:tc>
          <w:tcPr>
            <w:tcW w:w="220" w:type="dxa"/>
            <w:vAlign w:val="bottom"/>
            <w:shd w:val="clear" w:color="auto" w:fill="D8D8D8"/>
          </w:tcPr>
          <w:p>
            <w:pPr>
              <w:spacing w:after="0"/>
              <w:rPr>
                <w:sz w:val="24"/>
                <w:szCs w:val="24"/>
                <w:color w:val="auto"/>
              </w:rPr>
            </w:pPr>
          </w:p>
        </w:tc>
        <w:tc>
          <w:tcPr>
            <w:tcW w:w="108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4"/>
                <w:szCs w:val="24"/>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(5,490.9)</w:t>
            </w: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jc w:val="center"/>
              <w:ind w:right="24"/>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86"/>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1"/>
                <w:szCs w:val="11"/>
                <w:color w:val="auto"/>
              </w:rPr>
            </w:pPr>
          </w:p>
        </w:tc>
        <w:tc>
          <w:tcPr>
            <w:tcW w:w="1100" w:type="dxa"/>
            <w:vAlign w:val="bottom"/>
          </w:tcPr>
          <w:p>
            <w:pPr>
              <w:jc w:val="center"/>
              <w:ind w:right="206"/>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080" w:type="dxa"/>
            <w:vAlign w:val="bottom"/>
          </w:tcPr>
          <w:p>
            <w:pPr>
              <w:jc w:val="center"/>
              <w:ind w:right="84"/>
              <w:spacing w:after="0" w:line="135" w:lineRule="exact"/>
              <w:rPr>
                <w:sz w:val="20"/>
                <w:szCs w:val="20"/>
                <w:color w:val="auto"/>
              </w:rPr>
            </w:pPr>
            <w:r>
              <w:rPr>
                <w:rFonts w:ascii="Arial" w:cs="Arial" w:eastAsia="Arial" w:hAnsi="Arial"/>
                <w:sz w:val="13"/>
                <w:szCs w:val="13"/>
                <w:b w:val="1"/>
                <w:bCs w:val="1"/>
                <w:color w:val="auto"/>
                <w:w w:val="96"/>
              </w:rPr>
              <w:t>Significant</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Carrying</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1"/>
                <w:szCs w:val="11"/>
                <w:color w:val="auto"/>
              </w:rPr>
            </w:pPr>
          </w:p>
        </w:tc>
        <w:tc>
          <w:tcPr>
            <w:tcW w:w="110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1"/>
                <w:szCs w:val="11"/>
                <w:color w:val="auto"/>
              </w:rPr>
            </w:pPr>
          </w:p>
        </w:tc>
        <w:tc>
          <w:tcPr>
            <w:tcW w:w="1080" w:type="dxa"/>
            <w:vAlign w:val="bottom"/>
          </w:tcPr>
          <w:p>
            <w:pPr>
              <w:jc w:val="center"/>
              <w:ind w:right="8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400" w:type="dxa"/>
            <w:vAlign w:val="bottom"/>
          </w:tcPr>
          <w:p>
            <w:pPr>
              <w:spacing w:after="0"/>
              <w:rPr>
                <w:sz w:val="11"/>
                <w:szCs w:val="11"/>
                <w:color w:val="auto"/>
              </w:rPr>
            </w:pPr>
          </w:p>
        </w:tc>
        <w:tc>
          <w:tcPr>
            <w:tcW w:w="98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line="130"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100" w:type="dxa"/>
            <w:vAlign w:val="bottom"/>
          </w:tcPr>
          <w:p>
            <w:pPr>
              <w:jc w:val="center"/>
              <w:ind w:right="206"/>
              <w:spacing w:after="0" w:line="130"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080" w:type="dxa"/>
            <w:vAlign w:val="bottom"/>
          </w:tcPr>
          <w:p>
            <w:pPr>
              <w:jc w:val="center"/>
              <w:ind w:right="64"/>
              <w:spacing w:after="0" w:line="130"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8"/>
              </w:rPr>
              <w:t>(Level 3)</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4"/>
        </w:trPr>
        <w:tc>
          <w:tcPr>
            <w:tcW w:w="20" w:type="dxa"/>
            <w:vAlign w:val="bottom"/>
            <w:tcBorders>
              <w:bottom w:val="single" w:sz="8" w:color="D8D8D8"/>
            </w:tcBorders>
            <w:shd w:val="clear" w:color="auto" w:fill="D8D8D8"/>
          </w:tcPr>
          <w:p>
            <w:pPr>
              <w:spacing w:after="0"/>
              <w:rPr>
                <w:sz w:val="21"/>
                <w:szCs w:val="21"/>
                <w:color w:val="auto"/>
              </w:rPr>
            </w:pPr>
          </w:p>
        </w:tc>
        <w:tc>
          <w:tcPr>
            <w:tcW w:w="42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December 31, 2014</w:t>
            </w:r>
          </w:p>
        </w:tc>
        <w:tc>
          <w:tcPr>
            <w:tcW w:w="68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9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8D8D8"/>
          </w:tcPr>
          <w:p>
            <w:pPr>
              <w:spacing w:after="0"/>
              <w:rPr>
                <w:sz w:val="19"/>
                <w:szCs w:val="19"/>
                <w:color w:val="auto"/>
              </w:rPr>
            </w:pPr>
          </w:p>
        </w:tc>
        <w:tc>
          <w:tcPr>
            <w:tcW w:w="422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Interest rate contracts designated as hedging</w:t>
            </w:r>
          </w:p>
        </w:tc>
        <w:tc>
          <w:tcPr>
            <w:tcW w:w="68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8D8D8"/>
          </w:tcPr>
          <w:p>
            <w:pPr>
              <w:spacing w:after="0"/>
              <w:rPr>
                <w:sz w:val="20"/>
                <w:szCs w:val="20"/>
                <w:color w:val="auto"/>
              </w:rPr>
            </w:pPr>
          </w:p>
        </w:tc>
        <w:tc>
          <w:tcPr>
            <w:tcW w:w="4220" w:type="dxa"/>
            <w:vAlign w:val="bottom"/>
            <w:shd w:val="clear" w:color="auto" w:fill="D8D8D8"/>
          </w:tcPr>
          <w:p>
            <w:pPr>
              <w:ind w:left="320"/>
              <w:spacing w:after="0"/>
              <w:rPr>
                <w:sz w:val="20"/>
                <w:szCs w:val="20"/>
                <w:color w:val="auto"/>
              </w:rPr>
            </w:pPr>
            <w:r>
              <w:rPr>
                <w:rFonts w:ascii="Arial" w:cs="Arial" w:eastAsia="Arial" w:hAnsi="Arial"/>
                <w:sz w:val="18"/>
                <w:szCs w:val="18"/>
                <w:color w:val="auto"/>
              </w:rPr>
              <w:t>instruments:</w:t>
            </w:r>
          </w:p>
        </w:tc>
        <w:tc>
          <w:tcPr>
            <w:tcW w:w="68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108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9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7"/>
              <w:spacing w:after="0"/>
              <w:rPr>
                <w:sz w:val="20"/>
                <w:szCs w:val="20"/>
                <w:color w:val="auto"/>
              </w:rPr>
            </w:pPr>
            <w:r>
              <w:rPr>
                <w:rFonts w:ascii="Arial" w:cs="Arial" w:eastAsia="Arial" w:hAnsi="Arial"/>
                <w:sz w:val="18"/>
                <w:szCs w:val="18"/>
                <w:b w:val="1"/>
                <w:bCs w:val="1"/>
                <w:color w:val="auto"/>
              </w:rPr>
              <w:t>102.5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86"/>
              <w:spacing w:after="0"/>
              <w:rPr>
                <w:sz w:val="20"/>
                <w:szCs w:val="20"/>
                <w:color w:val="auto"/>
              </w:rPr>
            </w:pPr>
            <w:r>
              <w:rPr>
                <w:rFonts w:ascii="Arial" w:cs="Arial" w:eastAsia="Arial" w:hAnsi="Arial"/>
                <w:sz w:val="18"/>
                <w:szCs w:val="18"/>
                <w:b w:val="1"/>
                <w:bCs w:val="1"/>
                <w:color w:val="auto"/>
              </w:rPr>
              <w:t>102.5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102.5</w:t>
            </w:r>
          </w:p>
        </w:tc>
        <w:tc>
          <w:tcPr>
            <w:tcW w:w="0" w:type="dxa"/>
            <w:vAlign w:val="bottom"/>
          </w:tcPr>
          <w:p>
            <w:pPr>
              <w:spacing w:after="0"/>
              <w:rPr>
                <w:sz w:val="1"/>
                <w:szCs w:val="1"/>
                <w:color w:val="auto"/>
              </w:rPr>
            </w:pPr>
          </w:p>
        </w:tc>
      </w:tr>
      <w:tr>
        <w:trPr>
          <w:trHeight w:val="277"/>
        </w:trPr>
        <w:tc>
          <w:tcPr>
            <w:tcW w:w="20" w:type="dxa"/>
            <w:vAlign w:val="bottom"/>
            <w:shd w:val="clear" w:color="auto" w:fill="D8D8D8"/>
          </w:tcPr>
          <w:p>
            <w:pPr>
              <w:spacing w:after="0"/>
              <w:rPr>
                <w:sz w:val="24"/>
                <w:szCs w:val="24"/>
                <w:color w:val="auto"/>
              </w:rPr>
            </w:pPr>
          </w:p>
        </w:tc>
        <w:tc>
          <w:tcPr>
            <w:tcW w:w="4220" w:type="dxa"/>
            <w:vAlign w:val="bottom"/>
            <w:shd w:val="clear" w:color="auto" w:fill="D8D8D8"/>
          </w:tcPr>
          <w:p>
            <w:pPr>
              <w:ind w:left="36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77"/>
              <w:spacing w:after="0"/>
              <w:rPr>
                <w:sz w:val="20"/>
                <w:szCs w:val="20"/>
                <w:color w:val="auto"/>
              </w:rPr>
            </w:pPr>
            <w:r>
              <w:rPr>
                <w:rFonts w:ascii="Arial" w:cs="Arial" w:eastAsia="Arial" w:hAnsi="Arial"/>
                <w:sz w:val="18"/>
                <w:szCs w:val="18"/>
                <w:b w:val="1"/>
                <w:bCs w:val="1"/>
                <w:color w:val="auto"/>
              </w:rPr>
              <w:t>(149.5)</w:t>
            </w:r>
          </w:p>
        </w:tc>
        <w:tc>
          <w:tcPr>
            <w:tcW w:w="140" w:type="dxa"/>
            <w:vAlign w:val="bottom"/>
            <w:shd w:val="clear" w:color="auto" w:fill="D8D8D8"/>
          </w:tcPr>
          <w:p>
            <w:pPr>
              <w:spacing w:after="0"/>
              <w:rPr>
                <w:sz w:val="24"/>
                <w:szCs w:val="24"/>
                <w:color w:val="auto"/>
              </w:rPr>
            </w:pPr>
          </w:p>
        </w:tc>
        <w:tc>
          <w:tcPr>
            <w:tcW w:w="1160" w:type="dxa"/>
            <w:vAlign w:val="bottom"/>
            <w:shd w:val="clear" w:color="auto" w:fill="D8D8D8"/>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26"/>
              <w:spacing w:after="0"/>
              <w:rPr>
                <w:sz w:val="20"/>
                <w:szCs w:val="20"/>
                <w:color w:val="auto"/>
              </w:rPr>
            </w:pPr>
            <w:r>
              <w:rPr>
                <w:rFonts w:ascii="Arial" w:cs="Arial" w:eastAsia="Arial" w:hAnsi="Arial"/>
                <w:sz w:val="18"/>
                <w:szCs w:val="18"/>
                <w:b w:val="1"/>
                <w:bCs w:val="1"/>
                <w:color w:val="auto"/>
              </w:rPr>
              <w:t>(149.5)</w:t>
            </w:r>
          </w:p>
        </w:tc>
        <w:tc>
          <w:tcPr>
            <w:tcW w:w="220" w:type="dxa"/>
            <w:vAlign w:val="bottom"/>
            <w:shd w:val="clear" w:color="auto" w:fill="D8D8D8"/>
          </w:tcPr>
          <w:p>
            <w:pPr>
              <w:spacing w:after="0"/>
              <w:rPr>
                <w:sz w:val="24"/>
                <w:szCs w:val="24"/>
                <w:color w:val="auto"/>
              </w:rPr>
            </w:pPr>
          </w:p>
        </w:tc>
        <w:tc>
          <w:tcPr>
            <w:tcW w:w="1080" w:type="dxa"/>
            <w:vAlign w:val="bottom"/>
            <w:shd w:val="clear" w:color="auto" w:fill="D8D8D8"/>
          </w:tcPr>
          <w:p>
            <w:pPr>
              <w:ind w:left="8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8D8D8"/>
          </w:tcPr>
          <w:p>
            <w:pPr>
              <w:spacing w:after="0"/>
              <w:rPr>
                <w:sz w:val="24"/>
                <w:szCs w:val="24"/>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680" w:type="dxa"/>
            <w:vAlign w:val="bottom"/>
          </w:tcPr>
          <w:p>
            <w:pPr>
              <w:spacing w:after="0"/>
              <w:rPr>
                <w:sz w:val="22"/>
                <w:szCs w:val="22"/>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b w:val="1"/>
                <w:bCs w:val="1"/>
                <w:color w:val="auto"/>
              </w:rPr>
              <w:t>(0.7)</w:t>
            </w:r>
          </w:p>
        </w:tc>
        <w:tc>
          <w:tcPr>
            <w:tcW w:w="140" w:type="dxa"/>
            <w:vAlign w:val="bottom"/>
          </w:tcPr>
          <w:p>
            <w:pPr>
              <w:spacing w:after="0"/>
              <w:rPr>
                <w:sz w:val="22"/>
                <w:szCs w:val="22"/>
                <w:color w:val="auto"/>
              </w:rPr>
            </w:pPr>
          </w:p>
        </w:tc>
        <w:tc>
          <w:tcPr>
            <w:tcW w:w="1160" w:type="dxa"/>
            <w:vAlign w:val="bottom"/>
          </w:tcPr>
          <w:p>
            <w:pPr>
              <w:ind w:left="8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1100" w:type="dxa"/>
            <w:vAlign w:val="bottom"/>
          </w:tcPr>
          <w:p>
            <w:pPr>
              <w:jc w:val="right"/>
              <w:ind w:right="26"/>
              <w:spacing w:after="0"/>
              <w:rPr>
                <w:sz w:val="20"/>
                <w:szCs w:val="20"/>
                <w:color w:val="auto"/>
              </w:rPr>
            </w:pPr>
            <w:r>
              <w:rPr>
                <w:rFonts w:ascii="Arial" w:cs="Arial" w:eastAsia="Arial" w:hAnsi="Arial"/>
                <w:sz w:val="18"/>
                <w:szCs w:val="18"/>
                <w:b w:val="1"/>
                <w:bCs w:val="1"/>
                <w:color w:val="auto"/>
              </w:rPr>
              <w:t>(0.7)</w:t>
            </w:r>
          </w:p>
        </w:tc>
        <w:tc>
          <w:tcPr>
            <w:tcW w:w="22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2947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exchange contracts not designated as hedging</w:t>
      </w:r>
    </w:p>
    <w:p>
      <w:pPr>
        <w:ind w:left="340"/>
        <w:spacing w:after="0"/>
        <w:rPr>
          <w:sz w:val="20"/>
          <w:szCs w:val="20"/>
          <w:color w:val="auto"/>
        </w:rPr>
      </w:pPr>
      <w:r>
        <w:rPr>
          <w:rFonts w:ascii="Arial" w:cs="Arial" w:eastAsia="Arial" w:hAnsi="Arial"/>
          <w:sz w:val="18"/>
          <w:szCs w:val="18"/>
          <w:color w:val="auto"/>
        </w:rPr>
        <w:t>instruments:</w:t>
      </w:r>
    </w:p>
    <w:p>
      <w:pPr>
        <w:sectPr>
          <w:pgSz w:w="11900" w:h="16838" w:orient="portrait"/>
          <w:cols w:equalWidth="0" w:num="1">
            <w:col w:w="11420"/>
          </w:cols>
          <w:pgMar w:left="240" w:top="910" w:right="239" w:bottom="1440" w:gutter="0" w:footer="0" w:header="0"/>
        </w:sectPr>
      </w:pP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63" w:lineRule="exact"/>
        <w:rPr>
          <w:sz w:val="20"/>
          <w:szCs w:val="20"/>
          <w:color w:val="auto"/>
        </w:rPr>
      </w:pPr>
    </w:p>
    <w:p>
      <w:pPr>
        <w:ind w:left="340" w:right="920" w:hanging="161"/>
        <w:spacing w:after="0" w:line="246" w:lineRule="auto"/>
        <w:rPr>
          <w:sz w:val="20"/>
          <w:szCs w:val="20"/>
          <w:color w:val="auto"/>
        </w:rPr>
      </w:pPr>
      <w:r>
        <w:rPr>
          <w:rFonts w:ascii="Arial" w:cs="Arial" w:eastAsia="Arial" w:hAnsi="Arial"/>
          <w:sz w:val="18"/>
          <w:szCs w:val="18"/>
          <w:color w:val="auto"/>
        </w:rPr>
        <w:t>Interest rate contracts designated as hedging instruments: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rPr>
              <w:t>9.1</w:t>
            </w:r>
          </w:p>
        </w:tc>
        <w:tc>
          <w:tcPr>
            <w:tcW w:w="120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9.1</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270"/>
        </w:trPr>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w w:val="93"/>
              </w:rPr>
              <w:t>(14.0)</w:t>
            </w:r>
          </w:p>
        </w:tc>
        <w:tc>
          <w:tcPr>
            <w:tcW w:w="120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(14.0)</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-162560</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180340</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523240</wp:posOffset>
            </wp:positionV>
            <wp:extent cx="7229475"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1309" w:lineRule="exact"/>
        <w:rPr>
          <w:sz w:val="20"/>
          <w:szCs w:val="20"/>
          <w:color w:val="auto"/>
        </w:rPr>
      </w:pPr>
    </w:p>
    <w:p>
      <w:pPr>
        <w:sectPr>
          <w:pgSz w:w="11900" w:h="16838" w:orient="portrait"/>
          <w:cols w:equalWidth="0" w:num="2">
            <w:col w:w="4700" w:space="720"/>
            <w:col w:w="6000"/>
          </w:cols>
          <w:pgMar w:left="240" w:top="91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64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ind w:left="42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ind w:left="42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w:t>
            </w:r>
          </w:p>
        </w:tc>
      </w:tr>
      <w:tr>
        <w:trPr>
          <w:trHeight w:val="277"/>
        </w:trPr>
        <w:tc>
          <w:tcPr>
            <w:tcW w:w="46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278.7</w:t>
            </w:r>
          </w:p>
        </w:tc>
        <w:tc>
          <w:tcPr>
            <w:tcW w:w="620" w:type="dxa"/>
            <w:vAlign w:val="bottom"/>
            <w:shd w:val="clear" w:color="auto" w:fill="D8D8D8"/>
          </w:tcPr>
          <w:p>
            <w:pPr>
              <w:spacing w:after="0"/>
              <w:rPr>
                <w:sz w:val="24"/>
                <w:szCs w:val="24"/>
                <w:color w:val="auto"/>
              </w:rPr>
            </w:pPr>
          </w:p>
        </w:tc>
        <w:tc>
          <w:tcPr>
            <w:tcW w:w="12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278.7</w:t>
            </w:r>
          </w:p>
        </w:tc>
        <w:tc>
          <w:tcPr>
            <w:tcW w:w="620" w:type="dxa"/>
            <w:vAlign w:val="bottom"/>
            <w:shd w:val="clear" w:color="auto" w:fill="D8D8D8"/>
          </w:tcPr>
          <w:p>
            <w:pPr>
              <w:spacing w:after="0"/>
              <w:rPr>
                <w:sz w:val="24"/>
                <w:szCs w:val="24"/>
                <w:color w:val="auto"/>
              </w:rPr>
            </w:pPr>
          </w:p>
        </w:tc>
        <w:tc>
          <w:tcPr>
            <w:tcW w:w="12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278.7</w:t>
            </w: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5"/>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 exchange contracts not designated as hedging</w:t>
            </w:r>
          </w:p>
        </w:tc>
        <w:tc>
          <w:tcPr>
            <w:tcW w:w="42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30"/>
        </w:trPr>
        <w:tc>
          <w:tcPr>
            <w:tcW w:w="4640" w:type="dxa"/>
            <w:vAlign w:val="bottom"/>
            <w:shd w:val="clear" w:color="auto" w:fill="D8D8D8"/>
          </w:tcPr>
          <w:p>
            <w:pPr>
              <w:ind w:left="340"/>
              <w:spacing w:after="0"/>
              <w:rPr>
                <w:sz w:val="20"/>
                <w:szCs w:val="20"/>
                <w:color w:val="auto"/>
              </w:rPr>
            </w:pPr>
            <w:r>
              <w:rPr>
                <w:rFonts w:ascii="Arial" w:cs="Arial" w:eastAsia="Arial" w:hAnsi="Arial"/>
                <w:sz w:val="18"/>
                <w:szCs w:val="18"/>
                <w:color w:val="auto"/>
              </w:rPr>
              <w:t>instruments:</w:t>
            </w:r>
          </w:p>
        </w:tc>
        <w:tc>
          <w:tcPr>
            <w:tcW w:w="42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22"/>
                <w:szCs w:val="22"/>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7"/>
        </w:trPr>
        <w:tc>
          <w:tcPr>
            <w:tcW w:w="46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(7.1)</w:t>
            </w:r>
          </w:p>
        </w:tc>
        <w:tc>
          <w:tcPr>
            <w:tcW w:w="620" w:type="dxa"/>
            <w:vAlign w:val="bottom"/>
            <w:shd w:val="clear" w:color="auto" w:fill="D8D8D8"/>
          </w:tcPr>
          <w:p>
            <w:pPr>
              <w:spacing w:after="0"/>
              <w:rPr>
                <w:sz w:val="24"/>
                <w:szCs w:val="24"/>
                <w:color w:val="auto"/>
              </w:rPr>
            </w:pPr>
          </w:p>
        </w:tc>
        <w:tc>
          <w:tcPr>
            <w:tcW w:w="12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(7.1)</w:t>
            </w:r>
          </w:p>
        </w:tc>
        <w:tc>
          <w:tcPr>
            <w:tcW w:w="620" w:type="dxa"/>
            <w:vAlign w:val="bottom"/>
            <w:shd w:val="clear" w:color="auto" w:fill="D8D8D8"/>
          </w:tcPr>
          <w:p>
            <w:pPr>
              <w:spacing w:after="0"/>
              <w:rPr>
                <w:sz w:val="24"/>
                <w:szCs w:val="24"/>
                <w:color w:val="auto"/>
              </w:rPr>
            </w:pPr>
          </w:p>
        </w:tc>
        <w:tc>
          <w:tcPr>
            <w:tcW w:w="12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Equity contracts designated as hedging instruments: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6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(149.6)</w:t>
            </w:r>
          </w:p>
        </w:tc>
        <w:tc>
          <w:tcPr>
            <w:tcW w:w="620" w:type="dxa"/>
            <w:vAlign w:val="bottom"/>
            <w:shd w:val="clear" w:color="auto" w:fill="D8D8D8"/>
          </w:tcPr>
          <w:p>
            <w:pPr>
              <w:spacing w:after="0"/>
              <w:rPr>
                <w:sz w:val="23"/>
                <w:szCs w:val="23"/>
                <w:color w:val="auto"/>
              </w:rPr>
            </w:pPr>
          </w:p>
        </w:tc>
        <w:tc>
          <w:tcPr>
            <w:tcW w:w="12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(149.6)</w:t>
            </w:r>
          </w:p>
        </w:tc>
        <w:tc>
          <w:tcPr>
            <w:tcW w:w="620" w:type="dxa"/>
            <w:vAlign w:val="bottom"/>
            <w:shd w:val="clear" w:color="auto" w:fill="D8D8D8"/>
          </w:tcPr>
          <w:p>
            <w:pPr>
              <w:spacing w:after="0"/>
              <w:rPr>
                <w:sz w:val="23"/>
                <w:szCs w:val="23"/>
                <w:color w:val="auto"/>
              </w:rPr>
            </w:pPr>
          </w:p>
        </w:tc>
        <w:tc>
          <w:tcPr>
            <w:tcW w:w="12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(149.6)</w:t>
            </w:r>
          </w:p>
        </w:tc>
      </w:tr>
    </w:tbl>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69</w:t>
      </w:r>
    </w:p>
    <w:p>
      <w:pPr>
        <w:sectPr>
          <w:pgSz w:w="11900" w:h="16838" w:orient="portrait"/>
          <w:cols w:equalWidth="0" w:num="1">
            <w:col w:w="11420"/>
          </w:cols>
          <w:pgMar w:left="240" w:top="910" w:right="239" w:bottom="1440" w:gutter="0" w:footer="0" w:header="0"/>
          <w:type w:val="continuous"/>
        </w:sectPr>
      </w:pPr>
    </w:p>
    <w:bookmarkStart w:id="69" w:name="page70"/>
    <w:bookmarkEnd w:id="69"/>
    <w:p>
      <w:pPr>
        <w:ind w:right="320"/>
        <w:spacing w:after="0" w:line="256" w:lineRule="auto"/>
        <w:rPr>
          <w:sz w:val="20"/>
          <w:szCs w:val="20"/>
          <w:color w:val="auto"/>
        </w:rPr>
      </w:pPr>
      <w:r>
        <w:rPr>
          <w:rFonts w:ascii="Arial" w:cs="Arial" w:eastAsia="Arial" w:hAnsi="Arial"/>
          <w:sz w:val="18"/>
          <w:szCs w:val="18"/>
          <w:color w:val="auto"/>
        </w:rPr>
        <w:t>We determine fair values based on a market approach using quoted market values, significant other observable inputs for identical or comparable assets or liabilities, or discounted cash flow analyses. The fair value of equity method investments and other investments is not readily available.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2014:</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3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2"/>
        </w:trPr>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Within</w:t>
            </w:r>
          </w:p>
        </w:tc>
        <w:tc>
          <w:tcPr>
            <w:tcW w:w="300" w:type="dxa"/>
            <w:vAlign w:val="bottom"/>
          </w:tcPr>
          <w:p>
            <w:pPr>
              <w:spacing w:after="0"/>
              <w:rPr>
                <w:sz w:val="14"/>
                <w:szCs w:val="14"/>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rPr>
              <w:t>After 1 Year</w:t>
            </w:r>
          </w:p>
        </w:tc>
        <w:tc>
          <w:tcPr>
            <w:tcW w:w="160" w:type="dxa"/>
            <w:vAlign w:val="bottom"/>
          </w:tcPr>
          <w:p>
            <w:pPr>
              <w:spacing w:after="0"/>
              <w:rPr>
                <w:sz w:val="14"/>
                <w:szCs w:val="14"/>
                <w:color w:val="auto"/>
              </w:rPr>
            </w:pPr>
          </w:p>
        </w:tc>
        <w:tc>
          <w:tcPr>
            <w:tcW w:w="11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Through 10</w:t>
            </w:r>
          </w:p>
        </w:tc>
        <w:tc>
          <w:tcPr>
            <w:tcW w:w="320" w:type="dxa"/>
            <w:vAlign w:val="bottom"/>
          </w:tcPr>
          <w:p>
            <w:pPr>
              <w:spacing w:after="0"/>
              <w:rPr>
                <w:sz w:val="14"/>
                <w:szCs w:val="14"/>
                <w:color w:val="auto"/>
              </w:rPr>
            </w:pPr>
          </w:p>
        </w:tc>
        <w:tc>
          <w:tcPr>
            <w:tcW w:w="1020" w:type="dxa"/>
            <w:vAlign w:val="bottom"/>
          </w:tcPr>
          <w:p>
            <w:pPr>
              <w:jc w:val="center"/>
              <w:ind w:right="142"/>
              <w:spacing w:after="0"/>
              <w:rPr>
                <w:sz w:val="20"/>
                <w:szCs w:val="20"/>
                <w:color w:val="auto"/>
              </w:rPr>
            </w:pPr>
            <w:r>
              <w:rPr>
                <w:rFonts w:ascii="Arial" w:cs="Arial" w:eastAsia="Arial" w:hAnsi="Arial"/>
                <w:sz w:val="14"/>
                <w:szCs w:val="14"/>
                <w:b w:val="1"/>
                <w:bCs w:val="1"/>
                <w:color w:val="auto"/>
                <w:w w:val="97"/>
              </w:rPr>
              <w:t>After</w:t>
            </w:r>
          </w:p>
        </w:tc>
      </w:tr>
      <w:tr>
        <w:trPr>
          <w:trHeight w:val="196"/>
        </w:trPr>
        <w:tc>
          <w:tcPr>
            <w:tcW w:w="3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1 Year</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Through 5 Years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9"/>
              </w:rPr>
              <w:t>Years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346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debt securities</w:t>
            </w:r>
          </w:p>
        </w:tc>
        <w:tc>
          <w:tcPr>
            <w:tcW w:w="15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4,872.8</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22"/>
              <w:spacing w:after="0"/>
              <w:rPr>
                <w:sz w:val="20"/>
                <w:szCs w:val="20"/>
                <w:color w:val="auto"/>
              </w:rPr>
            </w:pPr>
            <w:r>
              <w:rPr>
                <w:rFonts w:ascii="Arial" w:cs="Arial" w:eastAsia="Arial" w:hAnsi="Arial"/>
                <w:sz w:val="18"/>
                <w:szCs w:val="18"/>
                <w:color w:val="auto"/>
              </w:rPr>
              <w:t>955.4</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19"/>
              <w:spacing w:after="0"/>
              <w:rPr>
                <w:sz w:val="20"/>
                <w:szCs w:val="20"/>
                <w:color w:val="auto"/>
              </w:rPr>
            </w:pPr>
            <w:r>
              <w:rPr>
                <w:rFonts w:ascii="Arial" w:cs="Arial" w:eastAsia="Arial" w:hAnsi="Arial"/>
                <w:sz w:val="18"/>
                <w:szCs w:val="18"/>
                <w:color w:val="auto"/>
              </w:rPr>
              <w:t>3,462.1</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44"/>
              <w:spacing w:after="0"/>
              <w:rPr>
                <w:sz w:val="20"/>
                <w:szCs w:val="20"/>
                <w:color w:val="auto"/>
              </w:rPr>
            </w:pPr>
            <w:r>
              <w:rPr>
                <w:rFonts w:ascii="Arial" w:cs="Arial" w:eastAsia="Arial" w:hAnsi="Arial"/>
                <w:sz w:val="18"/>
                <w:szCs w:val="18"/>
                <w:color w:val="auto"/>
              </w:rPr>
              <w:t>230.7</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22"/>
              <w:spacing w:after="0"/>
              <w:rPr>
                <w:sz w:val="20"/>
                <w:szCs w:val="20"/>
                <w:color w:val="auto"/>
              </w:rPr>
            </w:pPr>
            <w:r>
              <w:rPr>
                <w:rFonts w:ascii="Arial" w:cs="Arial" w:eastAsia="Arial" w:hAnsi="Arial"/>
                <w:sz w:val="18"/>
                <w:szCs w:val="18"/>
                <w:color w:val="auto"/>
              </w:rPr>
              <w:t>224.6</w:t>
            </w:r>
          </w:p>
        </w:tc>
      </w:tr>
    </w:tbl>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70"/>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gross gains</w:t>
            </w:r>
          </w:p>
        </w:tc>
        <w:tc>
          <w:tcPr>
            <w:tcW w:w="2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171.9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375.6</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18.3</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59.8</w:t>
            </w:r>
          </w:p>
        </w:tc>
      </w:tr>
      <w:tr>
        <w:trPr>
          <w:trHeight w:val="277"/>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24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1,778.8</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4,982.7</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3,129.2</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3,664.7</w:t>
            </w:r>
          </w:p>
        </w:tc>
      </w:tr>
    </w:tbl>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Other-than-temporary impairment losses on investment securities of $ 12.5 million, $11.3 million, and $22.6 million were recognized in the consolidated statements of operations for the years ended December 31, 2014, 2013, and 2012, respectively. For fixed-income securities, the amount of credit losses represents the difference between the present value of cash flows expected to be collected on these securities and the amortized cost. Factors considered in assessing the credit loss were the position in the capital structure, vintage and amount of collateral, delinquency rates, current credit support, and geographic concentration.</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securities in an unrealized loss position include fixed-rate debt securities of varying maturities. The value of fixed-income securities is sensitive to changes in the yield curve and other market conditions. Approximately 90 percent of the securities in a loss position are investment-grade debt securities. At this time, there is no indication of default on interest or principal payments for debt securities other than those for which an other-than-temporary impairment charge has been recorded. We do not intend to sell, and it is not more likely than not we will be required to sell, the securities in a loss position before the market values recover or the underlying cash flows have been received, and we have concluded that no additional other-than-temporary loss is required to be charged to earnings as of December 31, 2014.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7"/>
                <w:szCs w:val="17"/>
                <w:color w:val="auto"/>
              </w:rPr>
            </w:pPr>
          </w:p>
        </w:tc>
      </w:tr>
      <w:tr>
        <w:trPr>
          <w:trHeight w:val="270"/>
        </w:trPr>
        <w:tc>
          <w:tcPr>
            <w:tcW w:w="6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Proceeds from sales</w:t>
            </w:r>
          </w:p>
        </w:tc>
        <w:tc>
          <w:tcPr>
            <w:tcW w:w="4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D8D8D8"/>
          </w:tcPr>
          <w:p>
            <w:pPr>
              <w:jc w:val="right"/>
              <w:ind w:right="94"/>
              <w:spacing w:after="0"/>
              <w:rPr>
                <w:sz w:val="20"/>
                <w:szCs w:val="20"/>
                <w:color w:val="auto"/>
              </w:rPr>
            </w:pPr>
            <w:r>
              <w:rPr>
                <w:rFonts w:ascii="Arial" w:cs="Arial" w:eastAsia="Arial" w:hAnsi="Arial"/>
                <w:sz w:val="18"/>
                <w:szCs w:val="18"/>
                <w:b w:val="1"/>
                <w:bCs w:val="1"/>
                <w:color w:val="auto"/>
              </w:rPr>
              <w:t>14,609.5</w:t>
            </w:r>
          </w:p>
        </w:tc>
        <w:tc>
          <w:tcPr>
            <w:tcW w:w="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13,753.5</w:t>
            </w:r>
          </w:p>
        </w:tc>
        <w:tc>
          <w:tcPr>
            <w:tcW w:w="4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6,529.8</w:t>
            </w:r>
          </w:p>
        </w:tc>
        <w:tc>
          <w:tcPr>
            <w:tcW w:w="60" w:type="dxa"/>
            <w:vAlign w:val="bottom"/>
            <w:shd w:val="clear" w:color="auto" w:fill="D8D8D8"/>
          </w:tcPr>
          <w:p>
            <w:pPr>
              <w:spacing w:after="0"/>
              <w:rPr>
                <w:sz w:val="23"/>
                <w:szCs w:val="23"/>
                <w:color w:val="auto"/>
              </w:rPr>
            </w:pPr>
          </w:p>
        </w:tc>
      </w:tr>
      <w:tr>
        <w:trPr>
          <w:trHeight w:val="263"/>
        </w:trPr>
        <w:tc>
          <w:tcPr>
            <w:tcW w:w="692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460" w:type="dxa"/>
            <w:vAlign w:val="bottom"/>
          </w:tcPr>
          <w:p>
            <w:pPr>
              <w:spacing w:after="0"/>
              <w:rPr>
                <w:sz w:val="22"/>
                <w:szCs w:val="22"/>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b w:val="1"/>
                <w:bCs w:val="1"/>
                <w:color w:val="auto"/>
              </w:rPr>
              <w:t>353.5</w:t>
            </w:r>
          </w:p>
        </w:tc>
        <w:tc>
          <w:tcPr>
            <w:tcW w:w="34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22"/>
                <w:szCs w:val="22"/>
                <w:color w:val="auto"/>
              </w:rPr>
            </w:pPr>
          </w:p>
        </w:tc>
      </w:tr>
      <w:tr>
        <w:trPr>
          <w:trHeight w:val="277"/>
        </w:trPr>
        <w:tc>
          <w:tcPr>
            <w:tcW w:w="6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Realized gross losses on sales</w:t>
            </w:r>
          </w:p>
        </w:tc>
        <w:tc>
          <w:tcPr>
            <w:tcW w:w="46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94"/>
              <w:spacing w:after="0"/>
              <w:rPr>
                <w:sz w:val="20"/>
                <w:szCs w:val="20"/>
                <w:color w:val="auto"/>
              </w:rPr>
            </w:pPr>
            <w:r>
              <w:rPr>
                <w:rFonts w:ascii="Arial" w:cs="Arial" w:eastAsia="Arial" w:hAnsi="Arial"/>
                <w:sz w:val="18"/>
                <w:szCs w:val="18"/>
                <w:b w:val="1"/>
                <w:bCs w:val="1"/>
                <w:color w:val="auto"/>
              </w:rPr>
              <w:t>29.4</w:t>
            </w:r>
          </w:p>
        </w:tc>
        <w:tc>
          <w:tcPr>
            <w:tcW w:w="3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D8D8D8"/>
          </w:tcPr>
          <w:p>
            <w:pPr>
              <w:spacing w:after="0"/>
              <w:rPr>
                <w:sz w:val="24"/>
                <w:szCs w:val="24"/>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D8D8D8"/>
          </w:tcPr>
          <w:p>
            <w:pPr>
              <w:spacing w:after="0"/>
              <w:rPr>
                <w:sz w:val="24"/>
                <w:szCs w:val="24"/>
                <w:color w:val="auto"/>
              </w:rPr>
            </w:pPr>
          </w:p>
        </w:tc>
      </w:tr>
      <w:tr>
        <w:trPr>
          <w:trHeight w:val="432"/>
        </w:trPr>
        <w:tc>
          <w:tcPr>
            <w:tcW w:w="6920" w:type="dxa"/>
            <w:vAlign w:val="bottom"/>
          </w:tcPr>
          <w:p>
            <w:pPr>
              <w:spacing w:after="0"/>
              <w:rPr>
                <w:sz w:val="20"/>
                <w:szCs w:val="20"/>
                <w:color w:val="auto"/>
              </w:rPr>
            </w:pPr>
            <w:r>
              <w:rPr>
                <w:rFonts w:ascii="Arial" w:cs="Arial" w:eastAsia="Arial" w:hAnsi="Arial"/>
                <w:sz w:val="18"/>
                <w:szCs w:val="18"/>
                <w:b w:val="1"/>
                <w:bCs w:val="1"/>
                <w:color w:val="CC0000"/>
              </w:rPr>
              <w:t>Note 8: Goodwill and Other Intangibles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6920" w:type="dxa"/>
            <w:vAlign w:val="bottom"/>
          </w:tcPr>
          <w:p>
            <w:pPr>
              <w:spacing w:after="0"/>
              <w:rPr>
                <w:sz w:val="20"/>
                <w:szCs w:val="20"/>
                <w:color w:val="auto"/>
              </w:rPr>
            </w:pPr>
            <w:r>
              <w:rPr>
                <w:rFonts w:ascii="Arial" w:cs="Arial" w:eastAsia="Arial" w:hAnsi="Arial"/>
                <w:sz w:val="18"/>
                <w:szCs w:val="18"/>
                <w:color w:val="auto"/>
              </w:rPr>
              <w:t>Goodwill and other indefinite-lived intangible assets at December 31 were as follows: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6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24"/>
                <w:szCs w:val="24"/>
                <w:color w:val="auto"/>
              </w:rPr>
            </w:pPr>
          </w:p>
        </w:tc>
      </w:tr>
      <w:tr>
        <w:trPr>
          <w:trHeight w:val="250"/>
        </w:trPr>
        <w:tc>
          <w:tcPr>
            <w:tcW w:w="69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Goodwill (by segment):</w:t>
            </w:r>
          </w:p>
        </w:tc>
        <w:tc>
          <w:tcPr>
            <w:tcW w:w="4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9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1,354.3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1,354.7</w:t>
            </w:r>
          </w:p>
        </w:tc>
        <w:tc>
          <w:tcPr>
            <w:tcW w:w="60" w:type="dxa"/>
            <w:vAlign w:val="bottom"/>
          </w:tcPr>
          <w:p>
            <w:pPr>
              <w:spacing w:after="0"/>
              <w:rPr>
                <w:sz w:val="22"/>
                <w:szCs w:val="22"/>
                <w:color w:val="auto"/>
              </w:rPr>
            </w:pPr>
          </w:p>
        </w:tc>
      </w:tr>
      <w:tr>
        <w:trPr>
          <w:trHeight w:val="277"/>
        </w:trPr>
        <w:tc>
          <w:tcPr>
            <w:tcW w:w="69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w:t>
            </w:r>
          </w:p>
        </w:tc>
        <w:tc>
          <w:tcPr>
            <w:tcW w:w="46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34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403.8</w:t>
            </w:r>
          </w:p>
        </w:tc>
        <w:tc>
          <w:tcPr>
            <w:tcW w:w="42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162.1</w:t>
            </w:r>
          </w:p>
        </w:tc>
        <w:tc>
          <w:tcPr>
            <w:tcW w:w="60" w:type="dxa"/>
            <w:vAlign w:val="bottom"/>
          </w:tcPr>
          <w:p>
            <w:pPr>
              <w:spacing w:after="0"/>
              <w:rPr>
                <w:sz w:val="24"/>
                <w:szCs w:val="24"/>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1,758.1</w:t>
            </w:r>
          </w:p>
        </w:tc>
        <w:tc>
          <w:tcPr>
            <w:tcW w:w="42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1,516.8</w:t>
            </w:r>
          </w:p>
        </w:tc>
        <w:tc>
          <w:tcPr>
            <w:tcW w:w="60" w:type="dxa"/>
            <w:vAlign w:val="bottom"/>
          </w:tcPr>
          <w:p>
            <w:pPr>
              <w:spacing w:after="0"/>
              <w:rPr>
                <w:sz w:val="22"/>
                <w:szCs w:val="22"/>
                <w:color w:val="auto"/>
              </w:rPr>
            </w:pPr>
          </w:p>
        </w:tc>
      </w:tr>
      <w:tr>
        <w:trPr>
          <w:trHeight w:val="277"/>
        </w:trPr>
        <w:tc>
          <w:tcPr>
            <w:tcW w:w="6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In-process research and development</w:t>
            </w:r>
          </w:p>
        </w:tc>
        <w:tc>
          <w:tcPr>
            <w:tcW w:w="46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34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11.4</w:t>
            </w:r>
          </w:p>
        </w:tc>
        <w:tc>
          <w:tcPr>
            <w:tcW w:w="42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4"/>
                <w:szCs w:val="24"/>
                <w:color w:val="auto"/>
              </w:rPr>
            </w:pPr>
          </w:p>
        </w:tc>
      </w:tr>
      <w:tr>
        <w:trPr>
          <w:trHeight w:val="271"/>
        </w:trPr>
        <w:tc>
          <w:tcPr>
            <w:tcW w:w="6920" w:type="dxa"/>
            <w:vAlign w:val="bottom"/>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1,769.5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1,550.4</w:t>
            </w:r>
          </w:p>
        </w:tc>
        <w:tc>
          <w:tcPr>
            <w:tcW w:w="60" w:type="dxa"/>
            <w:vAlign w:val="bottom"/>
          </w:tcPr>
          <w:p>
            <w:pPr>
              <w:spacing w:after="0"/>
              <w:rPr>
                <w:sz w:val="23"/>
                <w:szCs w:val="23"/>
                <w:color w:val="auto"/>
              </w:rPr>
            </w:pPr>
          </w:p>
        </w:tc>
      </w:tr>
      <w:tr>
        <w:trPr>
          <w:trHeight w:val="459"/>
        </w:trPr>
        <w:tc>
          <w:tcPr>
            <w:tcW w:w="6920" w:type="dxa"/>
            <w:vAlign w:val="bottom"/>
          </w:tcPr>
          <w:p>
            <w:pPr>
              <w:spacing w:after="0"/>
              <w:rPr>
                <w:sz w:val="20"/>
                <w:szCs w:val="20"/>
                <w:color w:val="auto"/>
              </w:rPr>
            </w:pPr>
            <w:r>
              <w:rPr>
                <w:rFonts w:ascii="Arial" w:cs="Arial" w:eastAsia="Arial" w:hAnsi="Arial"/>
                <w:sz w:val="18"/>
                <w:szCs w:val="18"/>
                <w:b w:val="1"/>
                <w:bCs w:val="1"/>
                <w:i w:val="1"/>
                <w:iCs w:val="1"/>
                <w:color w:val="auto"/>
              </w:rPr>
              <w:t>70</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706"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increase in goodwill for the animal health segment in 2014 is a result of the acquisition of Lohmann AH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2014, 2013, and 2012.</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IPR&amp;D consists of the acquisition date fair value of products under development acquired in business combinations that have not yet achieved regulatory approval for marketing, adjusted for subsequent impairments, if any. As discussed in Note 1, we use the "income method" to calculate the fair value of the IPR&amp;D assets, which is a Level 3 fair value measurement.</w:t>
      </w:r>
    </w:p>
    <w:p>
      <w:pPr>
        <w:spacing w:after="0" w:line="9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No material impairments occurred with respect to the carrying value of IPR&amp;D for the years ended December 31, 2014 and 2013. In 2012, we recorded impairment charges of $205.0 million related to liprotamase as a result of changes in key assumptions used in the valuation, based upon additional communications with the FDA regarding the clinical trial that would be required for resubmission, and our expectations for the product.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at December 31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5"/>
                <w:szCs w:val="15"/>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70"/>
        </w:trPr>
        <w:tc>
          <w:tcPr>
            <w:tcW w:w="258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Marketed products</w:t>
            </w:r>
          </w:p>
        </w:tc>
        <w:tc>
          <w:tcPr>
            <w:tcW w:w="24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5,684.3</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(2,915.6)</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2,768.7</w:t>
            </w:r>
          </w:p>
        </w:tc>
        <w:tc>
          <w:tcPr>
            <w:tcW w:w="100" w:type="dxa"/>
            <w:vAlign w:val="bottom"/>
            <w:shd w:val="clear" w:color="auto" w:fill="D8D8D8"/>
          </w:tcPr>
          <w:p>
            <w:pPr>
              <w:spacing w:after="0"/>
              <w:rPr>
                <w:sz w:val="23"/>
                <w:szCs w:val="23"/>
                <w:color w:val="auto"/>
              </w:rPr>
            </w:pPr>
          </w:p>
        </w:tc>
        <w:tc>
          <w:tcPr>
            <w:tcW w:w="2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5,136.1</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(2,447.2)</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2,688.9</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149.3</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(45.2)</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104.1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164.8</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(73.0)</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5"/>
        </w:trPr>
        <w:tc>
          <w:tcPr>
            <w:tcW w:w="25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finite-lived intangible</w:t>
            </w:r>
          </w:p>
        </w:tc>
        <w:tc>
          <w:tcPr>
            <w:tcW w:w="24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5,833.6</w:t>
            </w:r>
          </w:p>
        </w:tc>
        <w:tc>
          <w:tcPr>
            <w:tcW w:w="2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(2,960.8)</w:t>
            </w:r>
          </w:p>
        </w:tc>
        <w:tc>
          <w:tcPr>
            <w:tcW w:w="30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2,872.8</w:t>
            </w:r>
          </w:p>
        </w:tc>
        <w:tc>
          <w:tcPr>
            <w:tcW w:w="100" w:type="dxa"/>
            <w:vAlign w:val="bottom"/>
            <w:shd w:val="clear" w:color="auto" w:fill="D8D8D8"/>
          </w:tcPr>
          <w:p>
            <w:pPr>
              <w:spacing w:after="0"/>
              <w:rPr>
                <w:sz w:val="18"/>
                <w:szCs w:val="18"/>
                <w:color w:val="auto"/>
              </w:rPr>
            </w:pPr>
          </w:p>
        </w:tc>
        <w:tc>
          <w:tcPr>
            <w:tcW w:w="24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D8D8D8"/>
          </w:tcPr>
          <w:p>
            <w:pPr>
              <w:jc w:val="right"/>
              <w:ind w:right="39"/>
              <w:spacing w:after="0"/>
              <w:rPr>
                <w:sz w:val="20"/>
                <w:szCs w:val="20"/>
                <w:color w:val="auto"/>
              </w:rPr>
            </w:pPr>
            <w:r>
              <w:rPr>
                <w:rFonts w:ascii="Arial" w:cs="Arial" w:eastAsia="Arial" w:hAnsi="Arial"/>
                <w:sz w:val="18"/>
                <w:szCs w:val="18"/>
                <w:color w:val="auto"/>
              </w:rPr>
              <w:t>5,300.9</w:t>
            </w:r>
          </w:p>
        </w:tc>
        <w:tc>
          <w:tcPr>
            <w:tcW w:w="2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D8D8D8"/>
          </w:tcPr>
          <w:p>
            <w:pPr>
              <w:jc w:val="right"/>
              <w:ind w:right="19"/>
              <w:spacing w:after="0"/>
              <w:rPr>
                <w:sz w:val="20"/>
                <w:szCs w:val="20"/>
                <w:color w:val="auto"/>
              </w:rPr>
            </w:pPr>
            <w:r>
              <w:rPr>
                <w:rFonts w:ascii="Arial" w:cs="Arial" w:eastAsia="Arial" w:hAnsi="Arial"/>
                <w:sz w:val="18"/>
                <w:szCs w:val="18"/>
                <w:color w:val="auto"/>
              </w:rPr>
              <w:t>(2,520.2)</w:t>
            </w:r>
          </w:p>
        </w:tc>
        <w:tc>
          <w:tcPr>
            <w:tcW w:w="30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D8D8D8"/>
          </w:tcPr>
          <w:p>
            <w:pPr>
              <w:jc w:val="right"/>
              <w:ind w:right="39"/>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24"/>
        </w:trPr>
        <w:tc>
          <w:tcPr>
            <w:tcW w:w="258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vMerge w:val="continue"/>
            <w:shd w:val="clear" w:color="auto" w:fill="D8D8D8"/>
          </w:tcPr>
          <w:p>
            <w:pPr>
              <w:spacing w:after="0"/>
              <w:rPr>
                <w:sz w:val="19"/>
                <w:szCs w:val="19"/>
                <w:color w:val="auto"/>
              </w:rPr>
            </w:pPr>
          </w:p>
        </w:tc>
        <w:tc>
          <w:tcPr>
            <w:tcW w:w="1160" w:type="dxa"/>
            <w:vAlign w:val="bottom"/>
            <w:tcBorders>
              <w:bottom w:val="single" w:sz="8" w:color="auto"/>
            </w:tcBorders>
            <w:vMerge w:val="continue"/>
            <w:shd w:val="clear" w:color="auto" w:fill="D8D8D8"/>
          </w:tcPr>
          <w:p>
            <w:pPr>
              <w:spacing w:after="0"/>
              <w:rPr>
                <w:sz w:val="19"/>
                <w:szCs w:val="19"/>
                <w:color w:val="auto"/>
              </w:rPr>
            </w:pPr>
          </w:p>
        </w:tc>
        <w:tc>
          <w:tcPr>
            <w:tcW w:w="280" w:type="dxa"/>
            <w:vAlign w:val="bottom"/>
            <w:tcBorders>
              <w:bottom w:val="single" w:sz="8" w:color="auto"/>
            </w:tcBorders>
            <w:vMerge w:val="continue"/>
            <w:shd w:val="clear" w:color="auto" w:fill="D8D8D8"/>
          </w:tcPr>
          <w:p>
            <w:pPr>
              <w:spacing w:after="0"/>
              <w:rPr>
                <w:sz w:val="19"/>
                <w:szCs w:val="19"/>
                <w:color w:val="auto"/>
              </w:rPr>
            </w:pPr>
          </w:p>
        </w:tc>
        <w:tc>
          <w:tcPr>
            <w:tcW w:w="1240" w:type="dxa"/>
            <w:vAlign w:val="bottom"/>
            <w:tcBorders>
              <w:bottom w:val="single" w:sz="8" w:color="auto"/>
            </w:tcBorders>
            <w:vMerge w:val="continue"/>
            <w:shd w:val="clear" w:color="auto" w:fill="D8D8D8"/>
          </w:tcPr>
          <w:p>
            <w:pPr>
              <w:spacing w:after="0"/>
              <w:rPr>
                <w:sz w:val="19"/>
                <w:szCs w:val="19"/>
                <w:color w:val="auto"/>
              </w:rPr>
            </w:pPr>
          </w:p>
        </w:tc>
        <w:tc>
          <w:tcPr>
            <w:tcW w:w="300" w:type="dxa"/>
            <w:vAlign w:val="bottom"/>
            <w:tcBorders>
              <w:bottom w:val="single" w:sz="8" w:color="auto"/>
            </w:tcBorders>
            <w:vMerge w:val="continue"/>
            <w:shd w:val="clear" w:color="auto" w:fill="D8D8D8"/>
          </w:tcPr>
          <w:p>
            <w:pPr>
              <w:spacing w:after="0"/>
              <w:rPr>
                <w:sz w:val="19"/>
                <w:szCs w:val="19"/>
                <w:color w:val="auto"/>
              </w:rPr>
            </w:pPr>
          </w:p>
        </w:tc>
        <w:tc>
          <w:tcPr>
            <w:tcW w:w="1140" w:type="dxa"/>
            <w:vAlign w:val="bottom"/>
            <w:tcBorders>
              <w:bottom w:val="single" w:sz="8" w:color="auto"/>
            </w:tcBorders>
            <w:vMerge w:val="continue"/>
            <w:shd w:val="clear" w:color="auto" w:fill="D8D8D8"/>
          </w:tcPr>
          <w:p>
            <w:pPr>
              <w:spacing w:after="0"/>
              <w:rPr>
                <w:sz w:val="19"/>
                <w:szCs w:val="19"/>
                <w:color w:val="auto"/>
              </w:rPr>
            </w:pPr>
          </w:p>
        </w:tc>
        <w:tc>
          <w:tcPr>
            <w:tcW w:w="100" w:type="dxa"/>
            <w:vAlign w:val="bottom"/>
            <w:tcBorders>
              <w:bottom w:val="single" w:sz="8" w:color="auto"/>
            </w:tcBorders>
            <w:shd w:val="clear" w:color="auto" w:fill="D8D8D8"/>
          </w:tcPr>
          <w:p>
            <w:pPr>
              <w:spacing w:after="0"/>
              <w:rPr>
                <w:sz w:val="19"/>
                <w:szCs w:val="19"/>
                <w:color w:val="auto"/>
              </w:rPr>
            </w:pPr>
          </w:p>
        </w:tc>
        <w:tc>
          <w:tcPr>
            <w:tcW w:w="240" w:type="dxa"/>
            <w:vAlign w:val="bottom"/>
            <w:tcBorders>
              <w:bottom w:val="single" w:sz="8" w:color="auto"/>
            </w:tcBorders>
            <w:vMerge w:val="continue"/>
            <w:shd w:val="clear" w:color="auto" w:fill="D8D8D8"/>
          </w:tcPr>
          <w:p>
            <w:pPr>
              <w:spacing w:after="0"/>
              <w:rPr>
                <w:sz w:val="19"/>
                <w:szCs w:val="19"/>
                <w:color w:val="auto"/>
              </w:rPr>
            </w:pPr>
          </w:p>
        </w:tc>
        <w:tc>
          <w:tcPr>
            <w:tcW w:w="1160" w:type="dxa"/>
            <w:vAlign w:val="bottom"/>
            <w:tcBorders>
              <w:bottom w:val="single" w:sz="8" w:color="auto"/>
            </w:tcBorders>
            <w:vMerge w:val="continue"/>
            <w:shd w:val="clear" w:color="auto" w:fill="D8D8D8"/>
          </w:tcPr>
          <w:p>
            <w:pPr>
              <w:spacing w:after="0"/>
              <w:rPr>
                <w:sz w:val="19"/>
                <w:szCs w:val="19"/>
                <w:color w:val="auto"/>
              </w:rPr>
            </w:pPr>
          </w:p>
        </w:tc>
        <w:tc>
          <w:tcPr>
            <w:tcW w:w="280" w:type="dxa"/>
            <w:vAlign w:val="bottom"/>
            <w:tcBorders>
              <w:bottom w:val="single" w:sz="8" w:color="auto"/>
            </w:tcBorders>
            <w:vMerge w:val="continue"/>
            <w:shd w:val="clear" w:color="auto" w:fill="D8D8D8"/>
          </w:tcPr>
          <w:p>
            <w:pPr>
              <w:spacing w:after="0"/>
              <w:rPr>
                <w:sz w:val="19"/>
                <w:szCs w:val="19"/>
                <w:color w:val="auto"/>
              </w:rPr>
            </w:pPr>
          </w:p>
        </w:tc>
        <w:tc>
          <w:tcPr>
            <w:tcW w:w="1240" w:type="dxa"/>
            <w:vAlign w:val="bottom"/>
            <w:tcBorders>
              <w:bottom w:val="single" w:sz="8" w:color="auto"/>
            </w:tcBorders>
            <w:vMerge w:val="continue"/>
            <w:shd w:val="clear" w:color="auto" w:fill="D8D8D8"/>
          </w:tcPr>
          <w:p>
            <w:pPr>
              <w:spacing w:after="0"/>
              <w:rPr>
                <w:sz w:val="19"/>
                <w:szCs w:val="19"/>
                <w:color w:val="auto"/>
              </w:rPr>
            </w:pPr>
          </w:p>
        </w:tc>
        <w:tc>
          <w:tcPr>
            <w:tcW w:w="300" w:type="dxa"/>
            <w:vAlign w:val="bottom"/>
            <w:tcBorders>
              <w:bottom w:val="single" w:sz="8" w:color="auto"/>
            </w:tcBorders>
            <w:vMerge w:val="continue"/>
            <w:shd w:val="clear" w:color="auto" w:fill="D8D8D8"/>
          </w:tcPr>
          <w:p>
            <w:pPr>
              <w:spacing w:after="0"/>
              <w:rPr>
                <w:sz w:val="19"/>
                <w:szCs w:val="19"/>
                <w:color w:val="auto"/>
              </w:rPr>
            </w:pPr>
          </w:p>
        </w:tc>
        <w:tc>
          <w:tcPr>
            <w:tcW w:w="114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Other intangibles consist primarily of the amortized cost of licensed platform technologies that have alternative future uses in research and development, manufacturing technologies, and customer relationships from business combinations. No material impairments occurred with respect to the carrying value of finite-lived intangible assets for the years ended December 31, 2014, 2013 and 2012.</w:t>
      </w:r>
    </w:p>
    <w:p>
      <w:pPr>
        <w:spacing w:after="0" w:line="9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See Note 3 for further discussion of intangible assets acquired in recent business combinations and Note 4 for additional discussion of recent capitalized milestone payments.</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of December 31, 2014, the remaining weighted-average amortization period for finite-lived intangible assets is approximately 10 years. Amortization expense was $535.9 million, $555.0 million, and $563.0 million for the years ended December 31, 2014, 2013, and 2012, respectively. The estimated amortization expense associated with our current finite-lived intangible assets for each of the next five years approximates $465 million in 2015, $360 million in 2016, $325 million in 2017, $215 million in 2018, and $185 million in 2019. These estimated amounts exclude the amortization related to the acquired intangible assets which will be recorded in association with the January 1, 2015 acquisition of Novartis AH. Amortization expense is included in either cost of sales, marketing, selling, and administrative or research and development depending on the nature of the intangible asset being amortized.</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71</w:t>
      </w:r>
    </w:p>
    <w:p>
      <w:pPr>
        <w:sectPr>
          <w:pgSz w:w="11900" w:h="16838" w:orient="portrait"/>
          <w:cols w:equalWidth="0" w:num="1">
            <w:col w:w="11420"/>
          </w:cols>
          <w:pgMar w:left="240" w:top="70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321" w:lineRule="exact"/>
        <w:rPr>
          <w:sz w:val="20"/>
          <w:szCs w:val="20"/>
          <w:color w:val="auto"/>
        </w:rPr>
      </w:pPr>
    </w:p>
    <w:p>
      <w:pPr>
        <w:jc w:val="both"/>
        <w:ind w:left="8900"/>
        <w:spacing w:after="0"/>
        <w:tabs>
          <w:tab w:leader="none" w:pos="104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accumulated depreciation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205.2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198.7</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6,516.2</w:t>
      </w:r>
      <w:r>
        <w:rPr>
          <w:sz w:val="20"/>
          <w:szCs w:val="20"/>
          <w:color w:val="auto"/>
        </w:rPr>
        <w:tab/>
      </w:r>
      <w:r>
        <w:rPr>
          <w:rFonts w:ascii="Arial" w:cs="Arial" w:eastAsia="Arial" w:hAnsi="Arial"/>
          <w:sz w:val="17"/>
          <w:szCs w:val="17"/>
          <w:color w:val="auto"/>
        </w:rPr>
        <w:t>6,489.9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7,609.7</w:t>
      </w:r>
      <w:r>
        <w:rPr>
          <w:sz w:val="20"/>
          <w:szCs w:val="20"/>
          <w:color w:val="auto"/>
        </w:rPr>
        <w:tab/>
      </w:r>
      <w:r>
        <w:rPr>
          <w:rFonts w:ascii="Arial" w:cs="Arial" w:eastAsia="Arial" w:hAnsi="Arial"/>
          <w:sz w:val="17"/>
          <w:szCs w:val="17"/>
          <w:color w:val="auto"/>
        </w:rPr>
        <w:t>7,752.7</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1,698.2</w:t>
      </w:r>
      <w:r>
        <w:rPr>
          <w:sz w:val="20"/>
          <w:szCs w:val="20"/>
          <w:color w:val="auto"/>
        </w:rPr>
        <w:tab/>
      </w:r>
      <w:r>
        <w:rPr>
          <w:rFonts w:ascii="Arial" w:cs="Arial" w:eastAsia="Arial" w:hAnsi="Arial"/>
          <w:sz w:val="17"/>
          <w:szCs w:val="17"/>
          <w:color w:val="auto"/>
        </w:rPr>
        <w:t>1,205.4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16,029.3</w:t>
      </w:r>
      <w:r>
        <w:rPr>
          <w:sz w:val="20"/>
          <w:szCs w:val="20"/>
          <w:color w:val="auto"/>
        </w:rPr>
        <w:tab/>
      </w:r>
      <w:r>
        <w:rPr>
          <w:rFonts w:ascii="Arial" w:cs="Arial" w:eastAsia="Arial" w:hAnsi="Arial"/>
          <w:sz w:val="17"/>
          <w:szCs w:val="17"/>
          <w:color w:val="auto"/>
        </w:rPr>
        <w:t>15,646.7</w:t>
      </w:r>
    </w:p>
    <w:p>
      <w:pPr>
        <w:spacing w:after="0" w:line="63" w:lineRule="exact"/>
        <w:rPr>
          <w:sz w:val="20"/>
          <w:szCs w:val="20"/>
          <w:color w:val="auto"/>
        </w:rPr>
      </w:pPr>
    </w:p>
    <w:p>
      <w:pPr>
        <w:jc w:val="right"/>
        <w:ind w:right="200"/>
        <w:spacing w:after="0"/>
        <w:tabs>
          <w:tab w:leader="none" w:pos="700" w:val="left"/>
        </w:tabs>
        <w:rPr>
          <w:sz w:val="20"/>
          <w:szCs w:val="20"/>
          <w:color w:val="auto"/>
        </w:rPr>
      </w:pPr>
      <w:r>
        <w:rPr>
          <w:rFonts w:ascii="Arial" w:cs="Arial" w:eastAsia="Arial" w:hAnsi="Arial"/>
          <w:sz w:val="18"/>
          <w:szCs w:val="18"/>
          <w:b w:val="1"/>
          <w:bCs w:val="1"/>
          <w:color w:val="auto"/>
        </w:rPr>
        <w:t>(8,065.4)</w:t>
      </w:r>
      <w:r>
        <w:rPr>
          <w:sz w:val="20"/>
          <w:szCs w:val="20"/>
          <w:color w:val="auto"/>
        </w:rPr>
        <w:tab/>
      </w:r>
      <w:r>
        <w:rPr>
          <w:rFonts w:ascii="Arial" w:cs="Arial" w:eastAsia="Arial" w:hAnsi="Arial"/>
          <w:sz w:val="17"/>
          <w:szCs w:val="17"/>
          <w:color w:val="auto"/>
        </w:rPr>
        <w:t>(7,671.2)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7,963.9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7,975.5</w:t>
      </w:r>
    </w:p>
    <w:p>
      <w:pPr>
        <w:spacing w:after="0" w:line="200" w:lineRule="exact"/>
        <w:rPr>
          <w:sz w:val="20"/>
          <w:szCs w:val="20"/>
          <w:color w:val="auto"/>
        </w:rPr>
      </w:pPr>
    </w:p>
    <w:p>
      <w:pPr>
        <w:sectPr>
          <w:pgSz w:w="11900" w:h="16838" w:orient="portrait"/>
          <w:cols w:equalWidth="0" w:num="2">
            <w:col w:w="7620" w:space="720"/>
            <w:col w:w="3080"/>
          </w:cols>
          <w:pgMar w:left="240" w:top="792" w:right="239" w:bottom="1440" w:gutter="0" w:footer="0" w:header="0"/>
          <w:type w:val="continuous"/>
        </w:sectPr>
      </w:pPr>
    </w:p>
    <w:p>
      <w:pPr>
        <w:spacing w:after="0" w:line="3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Depreciation expense for the years ended December 31, 2014, 2013, and 2012 was $759.1 million, $774.8 million, and $754.0 million, respectively. Capitalized interest costs were not material for the years ended December 31, 2014, 2013, and 2012, respectively. Total rental expense for all leases, including contingent rentals (not material), amounted to $227.3 million, $227.2 million, and $262.2 million for the years ended December 31, 2014, 2013, and 2012, respectively. Assets under capital leases included in property and equipment, net on the consolidated balance sheets, capital lease obligations entered into, and future minimum rental commitments are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10: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321" w:lineRule="exact"/>
        <w:rPr>
          <w:sz w:val="20"/>
          <w:szCs w:val="20"/>
          <w:color w:val="auto"/>
        </w:rPr>
      </w:pPr>
    </w:p>
    <w:p>
      <w:pPr>
        <w:ind w:left="9060"/>
        <w:spacing w:after="0"/>
        <w:tabs>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commercial paper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1.95 to 7.13 percent long-term notes (due 2016-2044)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debt, including capitalized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 on long-term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620" w:val="left"/>
          <w:tab w:leader="none" w:pos="1460" w:val="left"/>
          <w:tab w:leader="none" w:pos="25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2,680.6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4,887.3</w:t>
      </w:r>
      <w:r>
        <w:rPr>
          <w:sz w:val="20"/>
          <w:szCs w:val="20"/>
          <w:color w:val="auto"/>
        </w:rPr>
        <w:tab/>
      </w:r>
      <w:r>
        <w:rPr>
          <w:rFonts w:ascii="Arial" w:cs="Arial" w:eastAsia="Arial" w:hAnsi="Arial"/>
          <w:sz w:val="17"/>
          <w:szCs w:val="17"/>
          <w:color w:val="auto"/>
        </w:rPr>
        <w:t>4,887.3</w:t>
      </w:r>
    </w:p>
    <w:p>
      <w:pPr>
        <w:spacing w:after="0" w:line="6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7"/>
          <w:szCs w:val="17"/>
          <w:color w:val="auto"/>
        </w:rPr>
        <w:t>27.1</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455.4</w:t>
      </w:r>
      <w:r>
        <w:rPr>
          <w:sz w:val="20"/>
          <w:szCs w:val="20"/>
          <w:color w:val="auto"/>
        </w:rPr>
        <w:tab/>
      </w:r>
      <w:r>
        <w:rPr>
          <w:rFonts w:ascii="Arial" w:cs="Arial" w:eastAsia="Arial" w:hAnsi="Arial"/>
          <w:sz w:val="17"/>
          <w:szCs w:val="17"/>
          <w:color w:val="auto"/>
        </w:rPr>
        <w:t>298.5</w:t>
      </w:r>
    </w:p>
    <w:p>
      <w:pPr>
        <w:spacing w:after="0" w:line="77"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8"/>
          <w:szCs w:val="18"/>
          <w:b w:val="1"/>
          <w:bCs w:val="1"/>
          <w:color w:val="auto"/>
        </w:rPr>
        <w:t>8,056.4</w:t>
      </w:r>
      <w:r>
        <w:rPr>
          <w:sz w:val="20"/>
          <w:szCs w:val="20"/>
          <w:color w:val="auto"/>
        </w:rPr>
        <w:tab/>
      </w:r>
      <w:r>
        <w:rPr>
          <w:rFonts w:ascii="Arial" w:cs="Arial" w:eastAsia="Arial" w:hAnsi="Arial"/>
          <w:sz w:val="17"/>
          <w:szCs w:val="17"/>
          <w:color w:val="auto"/>
        </w:rPr>
        <w:t>5,212.9</w:t>
      </w:r>
    </w:p>
    <w:p>
      <w:pPr>
        <w:spacing w:after="0" w:line="63" w:lineRule="exact"/>
        <w:rPr>
          <w:sz w:val="20"/>
          <w:szCs w:val="20"/>
          <w:color w:val="auto"/>
        </w:rPr>
      </w:pPr>
    </w:p>
    <w:p>
      <w:pPr>
        <w:jc w:val="right"/>
        <w:ind w:right="80"/>
        <w:spacing w:after="0"/>
        <w:tabs>
          <w:tab w:leader="none" w:pos="700" w:val="left"/>
        </w:tabs>
        <w:rPr>
          <w:sz w:val="20"/>
          <w:szCs w:val="20"/>
          <w:color w:val="auto"/>
        </w:rPr>
      </w:pPr>
      <w:r>
        <w:rPr>
          <w:rFonts w:ascii="Arial" w:cs="Arial" w:eastAsia="Arial" w:hAnsi="Arial"/>
          <w:sz w:val="18"/>
          <w:szCs w:val="18"/>
          <w:b w:val="1"/>
          <w:bCs w:val="1"/>
          <w:color w:val="auto"/>
        </w:rPr>
        <w:t>(2,688.7)</w:t>
      </w:r>
      <w:r>
        <w:rPr>
          <w:sz w:val="20"/>
          <w:szCs w:val="20"/>
          <w:color w:val="auto"/>
        </w:rPr>
        <w:tab/>
      </w:r>
      <w:r>
        <w:rPr>
          <w:rFonts w:ascii="Arial" w:cs="Arial" w:eastAsia="Arial" w:hAnsi="Arial"/>
          <w:sz w:val="17"/>
          <w:szCs w:val="17"/>
          <w:color w:val="auto"/>
        </w:rPr>
        <w:t>(1,012.6)</w:t>
      </w:r>
    </w:p>
    <w:p>
      <w:pPr>
        <w:spacing w:after="0" w:line="7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5,367.7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4,200.3</w:t>
      </w:r>
    </w:p>
    <w:p>
      <w:pPr>
        <w:spacing w:after="0" w:line="180" w:lineRule="exact"/>
        <w:rPr>
          <w:sz w:val="20"/>
          <w:szCs w:val="20"/>
          <w:color w:val="auto"/>
        </w:rPr>
      </w:pPr>
    </w:p>
    <w:p>
      <w:pPr>
        <w:sectPr>
          <w:pgSz w:w="11900" w:h="16838" w:orient="portrait"/>
          <w:cols w:equalWidth="0" w:num="2">
            <w:col w:w="7840" w:space="720"/>
            <w:col w:w="2860"/>
          </w:cols>
          <w:pgMar w:left="240" w:top="792" w:right="239" w:bottom="1440" w:gutter="0" w:footer="0" w:header="0"/>
          <w:type w:val="continuous"/>
        </w:sectPr>
      </w:pPr>
    </w:p>
    <w:p>
      <w:pPr>
        <w:jc w:val="both"/>
        <w:spacing w:after="0" w:line="256" w:lineRule="auto"/>
        <w:rPr>
          <w:sz w:val="20"/>
          <w:szCs w:val="20"/>
          <w:color w:val="auto"/>
        </w:rPr>
      </w:pPr>
      <w:r>
        <w:rPr>
          <w:rFonts w:ascii="Arial" w:cs="Arial" w:eastAsia="Arial" w:hAnsi="Arial"/>
          <w:sz w:val="18"/>
          <w:szCs w:val="18"/>
          <w:color w:val="auto"/>
        </w:rPr>
        <w:t>At December 31, 2014, we had $2.68 billion outstanding borrowings under our commercial paper program. There were no amounts outstanding under our commercial paper program at December 31, 2013. The weighted-average effective borrowing rate on outstanding commercial paper at December 31, 2014 was 0.18 percent.</w:t>
      </w:r>
    </w:p>
    <w:p>
      <w:pPr>
        <w:spacing w:after="0" w:line="9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At December 31, 2014, we had a total of $3.31 billion of unused committed bank credit facilities. In August 2014, we refinanced our revolving bank credit facilities and entered into a $1.20 billion credit facility with a five-year term and a $2.00 billion credit facility with a 364-day term, both of which are available to support our commercial paper program. There were no amounts outstanding under the revolving credit facility during the year ended December 31, 2014. Compensating balances and commitment fees are not material, and there are no conditions that are probable of occurring under which the lines may be withdrawn.</w:t>
      </w:r>
    </w:p>
    <w:p>
      <w:pPr>
        <w:spacing w:after="0" w:line="97"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In February 2014, we issued $ 600.0 million of 1.95 percent and $400.0 million of 4.65 percent fixed-rate notes with interest to be paid semi-annually and maturity dates of March 15, 2019, and June 15, 2044, respectively. Current maturities of long-term notes of $1.00 billion were repaid in March 2014.</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aggregate amounts of maturities on long-term debt for the next five years are $8.1 million in 2015, $208.5 million in 2016, $1.01 billion in 2017, $203.8 million in 2018, and $601.0 million in 2019.</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converted approximately 55 percent of our long-term fixed-rate notes to floating rates through the use of interest rate swaps. The weighted-average effective borrowing rates based on long-term debt obligations and interest rates at December 31, 2014 and 2013, including the effects of interest rate swaps for hedged debt obligations, were 3.69 percent and 3.10 percent,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72</w:t>
      </w:r>
    </w:p>
    <w:p>
      <w:pPr>
        <w:sectPr>
          <w:pgSz w:w="11900" w:h="16838" w:orient="portrait"/>
          <w:cols w:equalWidth="0" w:num="1">
            <w:col w:w="11420"/>
          </w:cols>
          <w:pgMar w:left="240" w:top="792" w:right="239" w:bottom="1440" w:gutter="0" w:footer="0" w:header="0"/>
          <w:type w:val="continuous"/>
        </w:sectPr>
      </w:pPr>
    </w:p>
    <w:bookmarkStart w:id="72" w:name="page73"/>
    <w:bookmarkEnd w:id="72"/>
    <w:p>
      <w:pPr>
        <w:ind w:right="60"/>
        <w:spacing w:after="0" w:line="262" w:lineRule="auto"/>
        <w:rPr>
          <w:sz w:val="20"/>
          <w:szCs w:val="20"/>
          <w:color w:val="auto"/>
        </w:rPr>
      </w:pPr>
      <w:r>
        <w:rPr>
          <w:rFonts w:ascii="Arial" w:cs="Arial" w:eastAsia="Arial" w:hAnsi="Arial"/>
          <w:sz w:val="18"/>
          <w:szCs w:val="18"/>
          <w:color w:val="auto"/>
        </w:rPr>
        <w:t>For the years ended December 31, 2014, 2013, and 2012, cash payments for interest on borrowings totaled $140.4 million, $139.7 million, and $171.9 million, respectively, net of capitalized interest.</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11: Stock-Based Compensation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Stock-based compensation expense of $156.0 million, $144.9 million, and $141.5 million was recognized for the years ended December 31, 2014, 2013, and 2012, respectively, as well as related tax benefits of $54.6 million, $50.7 million, and $49.5 million, respectively. Our stock-based compensation expense consists of performance awards (PAs), shareholder value awards (SVAs), and restricted stock units (RSUs). We recognize stock-based compensation expense over the requisite service period of the individual grantees, which equals the vesting period. We provide newly issued shares and treasury stock to satisfy stock option exercises and for the issuance of PA, SVA, and RSU shares. We classify tax benefits resulting from tax deductions in excess of the compensation cost recognized for exercised stock options as a financing cash flow in the consolidated statements of cash flows.</w:t>
      </w:r>
    </w:p>
    <w:p>
      <w:pPr>
        <w:spacing w:after="0" w:line="9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December 31, 2014, additional stock-based compensation awards may be granted under the 2002 Lilly Stock Plan for not more than 101.0 million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periods. The fair values of PAs granted for the years ended December 31, 2014, 2013, and 2012 were $48.81, $ 50.19, and $35.74, respectively. The number of shares ultimately issued for the PA program is dependent upon the earnings achieved during the vesting period. Pursuant to this plan, approximately 0.7 million shares, 0.7 million shares, and 1.6 million shares were issued during the years ended December 31, 2014, 2013, and 2012, respectively. Approximately 0.5 million shares are expected to be issued in 2015. As of December 31, 2014, the total remaining unrecognized compensation cost related to nonvested PAs was $19.8 million, which will be amortized over the weighted-average remaining requisite service period of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SVAs are granted to officers and management and are payable in shares of our common stock at the end of a three-year period.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2014, 2013, and 2012 were $41.97, $45.17, and $30.35, respectively, determined using the following assumptions: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(Percents)</w:t>
            </w:r>
          </w:p>
        </w:tc>
        <w:tc>
          <w:tcPr>
            <w:tcW w:w="39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2013</w:t>
            </w: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7"/>
                <w:szCs w:val="17"/>
                <w:color w:val="auto"/>
              </w:rPr>
            </w:pPr>
          </w:p>
        </w:tc>
      </w:tr>
      <w:tr>
        <w:trPr>
          <w:trHeight w:val="270"/>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D8D8D8"/>
          </w:tcPr>
          <w:p>
            <w:pPr>
              <w:jc w:val="right"/>
              <w:ind w:right="194"/>
              <w:spacing w:after="0"/>
              <w:rPr>
                <w:sz w:val="20"/>
                <w:szCs w:val="20"/>
                <w:color w:val="auto"/>
              </w:rPr>
            </w:pPr>
            <w:r>
              <w:rPr>
                <w:rFonts w:ascii="Arial" w:cs="Arial" w:eastAsia="Arial" w:hAnsi="Arial"/>
                <w:sz w:val="18"/>
                <w:szCs w:val="18"/>
                <w:b w:val="1"/>
                <w:bCs w:val="1"/>
                <w:color w:val="auto"/>
              </w:rPr>
              <w:t>3.50%</w:t>
            </w:r>
          </w:p>
        </w:tc>
        <w:tc>
          <w:tcPr>
            <w:tcW w:w="1640" w:type="dxa"/>
            <w:vAlign w:val="bottom"/>
            <w:shd w:val="clear" w:color="auto" w:fill="D8D8D8"/>
          </w:tcPr>
          <w:p>
            <w:pPr>
              <w:jc w:val="right"/>
              <w:ind w:right="174"/>
              <w:spacing w:after="0"/>
              <w:rPr>
                <w:sz w:val="20"/>
                <w:szCs w:val="20"/>
                <w:color w:val="auto"/>
              </w:rPr>
            </w:pPr>
            <w:r>
              <w:rPr>
                <w:rFonts w:ascii="Arial" w:cs="Arial" w:eastAsia="Arial" w:hAnsi="Arial"/>
                <w:sz w:val="18"/>
                <w:szCs w:val="18"/>
                <w:color w:val="auto"/>
              </w:rPr>
              <w:t>3.50%</w:t>
            </w:r>
          </w:p>
        </w:tc>
        <w:tc>
          <w:tcPr>
            <w:tcW w:w="14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3"/>
                <w:szCs w:val="23"/>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jc w:val="right"/>
              <w:ind w:right="354"/>
              <w:spacing w:after="0"/>
              <w:rPr>
                <w:sz w:val="20"/>
                <w:szCs w:val="20"/>
                <w:color w:val="auto"/>
              </w:rPr>
            </w:pPr>
            <w:r>
              <w:rPr>
                <w:rFonts w:ascii="Arial" w:cs="Arial" w:eastAsia="Arial" w:hAnsi="Arial"/>
                <w:sz w:val="18"/>
                <w:szCs w:val="18"/>
                <w:b w:val="1"/>
                <w:bCs w:val="1"/>
                <w:color w:val="auto"/>
              </w:rPr>
              <w:t>.08-.71</w:t>
            </w:r>
          </w:p>
        </w:tc>
        <w:tc>
          <w:tcPr>
            <w:tcW w:w="1640" w:type="dxa"/>
            <w:vAlign w:val="bottom"/>
          </w:tcPr>
          <w:p>
            <w:pPr>
              <w:jc w:val="right"/>
              <w:ind w:right="334"/>
              <w:spacing w:after="0"/>
              <w:rPr>
                <w:sz w:val="20"/>
                <w:szCs w:val="20"/>
                <w:color w:val="auto"/>
              </w:rPr>
            </w:pPr>
            <w:r>
              <w:rPr>
                <w:rFonts w:ascii="Arial" w:cs="Arial" w:eastAsia="Arial" w:hAnsi="Arial"/>
                <w:sz w:val="18"/>
                <w:szCs w:val="18"/>
                <w:color w:val="auto"/>
              </w:rPr>
              <w:t>.08-.43</w:t>
            </w: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2"/>
                <w:szCs w:val="22"/>
                <w:color w:val="auto"/>
              </w:rPr>
            </w:pPr>
          </w:p>
        </w:tc>
      </w:tr>
      <w:tr>
        <w:trPr>
          <w:trHeight w:val="277"/>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Range of volatilities</w:t>
            </w:r>
          </w:p>
        </w:tc>
        <w:tc>
          <w:tcPr>
            <w:tcW w:w="3900" w:type="dxa"/>
            <w:vAlign w:val="bottom"/>
            <w:shd w:val="clear" w:color="auto" w:fill="D8D8D8"/>
          </w:tcPr>
          <w:p>
            <w:pPr>
              <w:jc w:val="right"/>
              <w:ind w:right="354"/>
              <w:spacing w:after="0"/>
              <w:rPr>
                <w:sz w:val="20"/>
                <w:szCs w:val="20"/>
                <w:color w:val="auto"/>
              </w:rPr>
            </w:pPr>
            <w:r>
              <w:rPr>
                <w:rFonts w:ascii="Arial" w:cs="Arial" w:eastAsia="Arial" w:hAnsi="Arial"/>
                <w:sz w:val="18"/>
                <w:szCs w:val="18"/>
                <w:b w:val="1"/>
                <w:bCs w:val="1"/>
                <w:color w:val="auto"/>
              </w:rPr>
              <w:t>18.87-21.56</w:t>
            </w:r>
          </w:p>
        </w:tc>
        <w:tc>
          <w:tcPr>
            <w:tcW w:w="1640" w:type="dxa"/>
            <w:vAlign w:val="bottom"/>
            <w:shd w:val="clear" w:color="auto" w:fill="D8D8D8"/>
          </w:tcPr>
          <w:p>
            <w:pPr>
              <w:jc w:val="right"/>
              <w:ind w:right="334"/>
              <w:spacing w:after="0"/>
              <w:rPr>
                <w:sz w:val="20"/>
                <w:szCs w:val="20"/>
                <w:color w:val="auto"/>
              </w:rPr>
            </w:pPr>
            <w:r>
              <w:rPr>
                <w:rFonts w:ascii="Arial" w:cs="Arial" w:eastAsia="Arial" w:hAnsi="Arial"/>
                <w:sz w:val="18"/>
                <w:szCs w:val="18"/>
                <w:color w:val="auto"/>
              </w:rPr>
              <w:t>18.95-22.37</w:t>
            </w:r>
          </w:p>
        </w:tc>
        <w:tc>
          <w:tcPr>
            <w:tcW w:w="1420" w:type="dxa"/>
            <w:vAlign w:val="bottom"/>
            <w:shd w:val="clear" w:color="auto" w:fill="D8D8D8"/>
          </w:tcPr>
          <w:p>
            <w:pPr>
              <w:jc w:val="right"/>
              <w:ind w:right="114"/>
              <w:spacing w:after="0"/>
              <w:rPr>
                <w:sz w:val="20"/>
                <w:szCs w:val="20"/>
                <w:color w:val="auto"/>
              </w:rPr>
            </w:pPr>
            <w:r>
              <w:rPr>
                <w:rFonts w:ascii="Arial" w:cs="Arial" w:eastAsia="Arial" w:hAnsi="Arial"/>
                <w:sz w:val="18"/>
                <w:szCs w:val="18"/>
                <w:color w:val="auto"/>
              </w:rPr>
              <w:t>22.40-25.64</w:t>
            </w:r>
          </w:p>
        </w:tc>
        <w:tc>
          <w:tcPr>
            <w:tcW w:w="20" w:type="dxa"/>
            <w:vAlign w:val="bottom"/>
          </w:tcPr>
          <w:p>
            <w:pPr>
              <w:spacing w:after="0"/>
              <w:rPr>
                <w:sz w:val="24"/>
                <w:szCs w:val="24"/>
                <w:color w:val="auto"/>
              </w:rPr>
            </w:pPr>
          </w:p>
        </w:tc>
      </w:tr>
      <w:tr>
        <w:trPr>
          <w:trHeight w:val="459"/>
        </w:trPr>
        <w:tc>
          <w:tcPr>
            <w:tcW w:w="4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73</w:t>
            </w:r>
          </w:p>
        </w:tc>
      </w:tr>
    </w:tbl>
    <w:p>
      <w:pPr>
        <w:sectPr>
          <w:pgSz w:w="11900" w:h="16838" w:orient="portrait"/>
          <w:cols w:equalWidth="0" w:num="1">
            <w:col w:w="11420"/>
          </w:cols>
          <w:pgMar w:left="240" w:top="70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 summary of the SVA activity is presented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Units Attributable to SVAs (in thousands)</w:t>
            </w:r>
          </w:p>
        </w:tc>
        <w:tc>
          <w:tcPr>
            <w:tcW w:w="18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r>
      <w:tr>
        <w:trPr>
          <w:trHeight w:val="270"/>
        </w:trPr>
        <w:tc>
          <w:tcPr>
            <w:tcW w:w="67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Outstanding at January 1</w:t>
            </w:r>
          </w:p>
        </w:tc>
        <w:tc>
          <w:tcPr>
            <w:tcW w:w="1800" w:type="dxa"/>
            <w:vAlign w:val="bottom"/>
            <w:shd w:val="clear" w:color="auto" w:fill="D8D8D8"/>
          </w:tcPr>
          <w:p>
            <w:pPr>
              <w:jc w:val="right"/>
              <w:ind w:right="333"/>
              <w:spacing w:after="0"/>
              <w:rPr>
                <w:sz w:val="20"/>
                <w:szCs w:val="20"/>
                <w:color w:val="auto"/>
              </w:rPr>
            </w:pPr>
            <w:r>
              <w:rPr>
                <w:rFonts w:ascii="Arial" w:cs="Arial" w:eastAsia="Arial" w:hAnsi="Arial"/>
                <w:sz w:val="18"/>
                <w:szCs w:val="18"/>
                <w:b w:val="1"/>
                <w:bCs w:val="1"/>
                <w:color w:val="auto"/>
              </w:rPr>
              <w:t>6,636</w:t>
            </w:r>
          </w:p>
        </w:tc>
        <w:tc>
          <w:tcPr>
            <w:tcW w:w="1600" w:type="dxa"/>
            <w:vAlign w:val="bottom"/>
            <w:shd w:val="clear" w:color="auto" w:fill="D8D8D8"/>
          </w:tcPr>
          <w:p>
            <w:pPr>
              <w:jc w:val="right"/>
              <w:ind w:right="353"/>
              <w:spacing w:after="0"/>
              <w:rPr>
                <w:sz w:val="20"/>
                <w:szCs w:val="20"/>
                <w:color w:val="auto"/>
              </w:rPr>
            </w:pPr>
            <w:r>
              <w:rPr>
                <w:rFonts w:ascii="Arial" w:cs="Arial" w:eastAsia="Arial" w:hAnsi="Arial"/>
                <w:sz w:val="18"/>
                <w:szCs w:val="18"/>
                <w:color w:val="auto"/>
              </w:rPr>
              <w:t>7,539</w:t>
            </w:r>
          </w:p>
        </w:tc>
        <w:tc>
          <w:tcPr>
            <w:tcW w:w="12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7,036</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33"/>
              <w:spacing w:after="0"/>
              <w:rPr>
                <w:sz w:val="20"/>
                <w:szCs w:val="20"/>
                <w:color w:val="auto"/>
              </w:rPr>
            </w:pPr>
            <w:r>
              <w:rPr>
                <w:rFonts w:ascii="Arial" w:cs="Arial" w:eastAsia="Arial" w:hAnsi="Arial"/>
                <w:sz w:val="18"/>
                <w:szCs w:val="18"/>
                <w:b w:val="1"/>
                <w:bCs w:val="1"/>
                <w:color w:val="auto"/>
              </w:rPr>
              <w:t>1,987</w:t>
            </w: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1,795</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2,439</w:t>
            </w:r>
          </w:p>
        </w:tc>
      </w:tr>
      <w:tr>
        <w:trPr>
          <w:trHeight w:val="277"/>
        </w:trPr>
        <w:tc>
          <w:tcPr>
            <w:tcW w:w="67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Issued</w:t>
            </w:r>
          </w:p>
        </w:tc>
        <w:tc>
          <w:tcPr>
            <w:tcW w:w="1800" w:type="dxa"/>
            <w:vAlign w:val="bottom"/>
            <w:shd w:val="clear" w:color="auto" w:fill="D8D8D8"/>
          </w:tcPr>
          <w:p>
            <w:pPr>
              <w:jc w:val="right"/>
              <w:ind w:right="273"/>
              <w:spacing w:after="0"/>
              <w:rPr>
                <w:sz w:val="20"/>
                <w:szCs w:val="20"/>
                <w:color w:val="auto"/>
              </w:rPr>
            </w:pPr>
            <w:r>
              <w:rPr>
                <w:rFonts w:ascii="Arial" w:cs="Arial" w:eastAsia="Arial" w:hAnsi="Arial"/>
                <w:sz w:val="18"/>
                <w:szCs w:val="18"/>
                <w:b w:val="1"/>
                <w:bCs w:val="1"/>
                <w:color w:val="auto"/>
              </w:rPr>
              <w:t>(2,224)</w:t>
            </w:r>
          </w:p>
        </w:tc>
        <w:tc>
          <w:tcPr>
            <w:tcW w:w="1600" w:type="dxa"/>
            <w:vAlign w:val="bottom"/>
            <w:shd w:val="clear" w:color="auto" w:fill="D8D8D8"/>
          </w:tcPr>
          <w:p>
            <w:pPr>
              <w:jc w:val="right"/>
              <w:ind w:right="293"/>
              <w:spacing w:after="0"/>
              <w:rPr>
                <w:sz w:val="20"/>
                <w:szCs w:val="20"/>
                <w:color w:val="auto"/>
              </w:rPr>
            </w:pPr>
            <w:r>
              <w:rPr>
                <w:rFonts w:ascii="Arial" w:cs="Arial" w:eastAsia="Arial" w:hAnsi="Arial"/>
                <w:sz w:val="18"/>
                <w:szCs w:val="18"/>
                <w:color w:val="auto"/>
              </w:rPr>
              <w:t>(2,397)</w:t>
            </w:r>
          </w:p>
        </w:tc>
        <w:tc>
          <w:tcPr>
            <w:tcW w:w="1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(973)</w:t>
            </w:r>
          </w:p>
        </w:tc>
      </w:tr>
      <w:tr>
        <w:trPr>
          <w:trHeight w:val="264"/>
        </w:trPr>
        <w:tc>
          <w:tcPr>
            <w:tcW w:w="67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Forfeited or expired</w:t>
            </w:r>
          </w:p>
        </w:tc>
        <w:tc>
          <w:tcPr>
            <w:tcW w:w="18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(300)</w:t>
            </w:r>
          </w:p>
        </w:tc>
        <w:tc>
          <w:tcPr>
            <w:tcW w:w="16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(301)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77"/>
        </w:trPr>
        <w:tc>
          <w:tcPr>
            <w:tcW w:w="67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Outstanding at December 31</w:t>
            </w:r>
          </w:p>
        </w:tc>
        <w:tc>
          <w:tcPr>
            <w:tcW w:w="1800" w:type="dxa"/>
            <w:vAlign w:val="bottom"/>
            <w:tcBorders>
              <w:bottom w:val="single" w:sz="8" w:color="auto"/>
            </w:tcBorders>
            <w:shd w:val="clear" w:color="auto" w:fill="D8D8D8"/>
          </w:tcPr>
          <w:p>
            <w:pPr>
              <w:jc w:val="right"/>
              <w:ind w:right="333"/>
              <w:spacing w:after="0"/>
              <w:rPr>
                <w:sz w:val="20"/>
                <w:szCs w:val="20"/>
                <w:color w:val="auto"/>
              </w:rPr>
            </w:pPr>
            <w:r>
              <w:rPr>
                <w:rFonts w:ascii="Arial" w:cs="Arial" w:eastAsia="Arial" w:hAnsi="Arial"/>
                <w:sz w:val="18"/>
                <w:szCs w:val="18"/>
                <w:b w:val="1"/>
                <w:bCs w:val="1"/>
                <w:color w:val="auto"/>
              </w:rPr>
              <w:t>6,099</w:t>
            </w:r>
          </w:p>
        </w:tc>
        <w:tc>
          <w:tcPr>
            <w:tcW w:w="160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8"/>
                <w:szCs w:val="18"/>
                <w:color w:val="auto"/>
              </w:rPr>
              <w:t>6,636</w:t>
            </w:r>
          </w:p>
        </w:tc>
        <w:tc>
          <w:tcPr>
            <w:tcW w:w="12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7,539</w:t>
            </w:r>
          </w:p>
        </w:tc>
      </w:tr>
    </w:tbl>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Approximately 2.2 million shares are expected to be issued in 2015. As of December 31, 2014, the total remaining unrecognized compensation cost related to nonvested SVAs was $53.8 million, which will be amortized over the weighted-average remaining requisite service period of 20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3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3 years. The fair values of RSU awards granted during the years ended December 31, 2014, 2013, and 2012 were $52.72, $54.10, and $39.65, respectively. The number of shares ultimately issued for the RSU program remains constant with the exception of forfeitures. Pursuant to this plan, 1.2 million, 1.1 million, and 1.4 million shares were granted during the years ended December 31, 2014, 2013, and 2012, respectively, and approximately 0.9 million, 0.8 million, and 0.3 million shares were issued during the years ended December 31, 2014, 2013, and 2012, respectively. Approximately 0.8 million shares are expected to be issued in 2015. As of December 31, 2014, the total remaining unrecognized compensation cost related to nonvested RSUs was $87.9 million, which will be amortized over the weighted-average remaining requisite service period of 27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Program</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Stock options were granted prior to 2007 to officers, management, and board members at exercise prices equal to the fair market value of our stock at the date of grant. Options fully vested 3 years from the grant date and have a term of 10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 ended December 31, 2014 is summarized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Attributable to</w:t>
            </w:r>
          </w:p>
        </w:tc>
        <w:tc>
          <w:tcPr>
            <w:tcW w:w="28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Weighted-Average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4"/>
                <w:szCs w:val="14"/>
                <w:color w:val="auto"/>
              </w:rPr>
            </w:pPr>
          </w:p>
        </w:tc>
        <w:tc>
          <w:tcPr>
            <w:tcW w:w="1140" w:type="dxa"/>
            <w:vAlign w:val="bottom"/>
          </w:tcPr>
          <w:p>
            <w:pPr>
              <w:jc w:val="center"/>
              <w:ind w:right="161"/>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3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620" w:type="dxa"/>
            <w:vAlign w:val="bottom"/>
          </w:tcPr>
          <w:p>
            <w:pPr>
              <w:jc w:val="center"/>
              <w:ind w:right="177"/>
              <w:spacing w:after="0"/>
              <w:rPr>
                <w:sz w:val="20"/>
                <w:szCs w:val="20"/>
                <w:color w:val="auto"/>
              </w:rPr>
            </w:pPr>
            <w:r>
              <w:rPr>
                <w:rFonts w:ascii="Arial" w:cs="Arial" w:eastAsia="Arial" w:hAnsi="Arial"/>
                <w:sz w:val="14"/>
                <w:szCs w:val="14"/>
                <w:b w:val="1"/>
                <w:bCs w:val="1"/>
                <w:color w:val="auto"/>
              </w:rPr>
              <w:t>Exercise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Contractual Term</w:t>
            </w:r>
          </w:p>
        </w:tc>
        <w:tc>
          <w:tcPr>
            <w:tcW w:w="380" w:type="dxa"/>
            <w:vAlign w:val="bottom"/>
          </w:tcPr>
          <w:p>
            <w:pPr>
              <w:spacing w:after="0"/>
              <w:rPr>
                <w:sz w:val="14"/>
                <w:szCs w:val="14"/>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43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 of Options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70"/>
        </w:trPr>
        <w:tc>
          <w:tcPr>
            <w:tcW w:w="4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Outstanding at January 1, 2014</w:t>
            </w:r>
          </w:p>
        </w:tc>
        <w:tc>
          <w:tcPr>
            <w:tcW w:w="2000" w:type="dxa"/>
            <w:vAlign w:val="bottom"/>
            <w:shd w:val="clear" w:color="auto" w:fill="D8D8D8"/>
          </w:tcPr>
          <w:p>
            <w:pPr>
              <w:jc w:val="right"/>
              <w:ind w:right="359"/>
              <w:spacing w:after="0"/>
              <w:rPr>
                <w:sz w:val="20"/>
                <w:szCs w:val="20"/>
                <w:color w:val="auto"/>
              </w:rPr>
            </w:pPr>
            <w:r>
              <w:rPr>
                <w:rFonts w:ascii="Arial" w:cs="Arial" w:eastAsia="Arial" w:hAnsi="Arial"/>
                <w:sz w:val="18"/>
                <w:szCs w:val="18"/>
                <w:color w:val="auto"/>
              </w:rPr>
              <w:t>16,140</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D8D8D8"/>
          </w:tcPr>
          <w:p>
            <w:pPr>
              <w:jc w:val="right"/>
              <w:ind w:right="137"/>
              <w:spacing w:after="0"/>
              <w:rPr>
                <w:sz w:val="20"/>
                <w:szCs w:val="20"/>
                <w:color w:val="auto"/>
              </w:rPr>
            </w:pPr>
            <w:r>
              <w:rPr>
                <w:rFonts w:ascii="Arial" w:cs="Arial" w:eastAsia="Arial" w:hAnsi="Arial"/>
                <w:sz w:val="18"/>
                <w:szCs w:val="18"/>
                <w:color w:val="auto"/>
              </w:rPr>
              <w:t>66.66</w:t>
            </w:r>
          </w:p>
        </w:tc>
        <w:tc>
          <w:tcPr>
            <w:tcW w:w="162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40" w:type="dxa"/>
            <w:vAlign w:val="bottom"/>
            <w:shd w:val="clear" w:color="auto" w:fill="D8D8D8"/>
          </w:tcPr>
          <w:p>
            <w:pPr>
              <w:spacing w:after="0"/>
              <w:rPr>
                <w:sz w:val="23"/>
                <w:szCs w:val="23"/>
                <w:color w:val="auto"/>
              </w:rPr>
            </w:pPr>
          </w:p>
        </w:tc>
      </w:tr>
      <w:tr>
        <w:trPr>
          <w:trHeight w:val="263"/>
        </w:trPr>
        <w:tc>
          <w:tcPr>
            <w:tcW w:w="43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000" w:type="dxa"/>
            <w:vAlign w:val="bottom"/>
          </w:tcPr>
          <w:p>
            <w:pPr>
              <w:jc w:val="right"/>
              <w:ind w:right="299"/>
              <w:spacing w:after="0"/>
              <w:rPr>
                <w:sz w:val="20"/>
                <w:szCs w:val="20"/>
                <w:color w:val="auto"/>
              </w:rPr>
            </w:pPr>
            <w:r>
              <w:rPr>
                <w:rFonts w:ascii="Arial" w:cs="Arial" w:eastAsia="Arial" w:hAnsi="Arial"/>
                <w:sz w:val="18"/>
                <w:szCs w:val="18"/>
                <w:color w:val="auto"/>
              </w:rPr>
              <w:t>(3,670)</w:t>
            </w:r>
          </w:p>
        </w:tc>
        <w:tc>
          <w:tcPr>
            <w:tcW w:w="280" w:type="dxa"/>
            <w:vAlign w:val="bottom"/>
          </w:tcPr>
          <w:p>
            <w:pPr>
              <w:spacing w:after="0"/>
              <w:rPr>
                <w:sz w:val="22"/>
                <w:szCs w:val="22"/>
                <w:color w:val="auto"/>
              </w:rPr>
            </w:pPr>
          </w:p>
        </w:tc>
        <w:tc>
          <w:tcPr>
            <w:tcW w:w="1620" w:type="dxa"/>
            <w:vAlign w:val="bottom"/>
          </w:tcPr>
          <w:p>
            <w:pPr>
              <w:jc w:val="right"/>
              <w:ind w:right="137"/>
              <w:spacing w:after="0"/>
              <w:rPr>
                <w:sz w:val="20"/>
                <w:szCs w:val="20"/>
                <w:color w:val="auto"/>
              </w:rPr>
            </w:pPr>
            <w:r>
              <w:rPr>
                <w:rFonts w:ascii="Arial" w:cs="Arial" w:eastAsia="Arial" w:hAnsi="Arial"/>
                <w:sz w:val="18"/>
                <w:szCs w:val="18"/>
                <w:color w:val="auto"/>
              </w:rPr>
              <w:t>55.86</w:t>
            </w:r>
          </w:p>
        </w:tc>
        <w:tc>
          <w:tcPr>
            <w:tcW w:w="1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Forfeited or expired</w:t>
            </w:r>
          </w:p>
        </w:tc>
        <w:tc>
          <w:tcPr>
            <w:tcW w:w="2000" w:type="dxa"/>
            <w:vAlign w:val="bottom"/>
            <w:tcBorders>
              <w:bottom w:val="single" w:sz="8" w:color="auto"/>
            </w:tcBorders>
            <w:shd w:val="clear" w:color="auto" w:fill="D8D8D8"/>
          </w:tcPr>
          <w:p>
            <w:pPr>
              <w:jc w:val="right"/>
              <w:ind w:right="299"/>
              <w:spacing w:after="0"/>
              <w:rPr>
                <w:sz w:val="20"/>
                <w:szCs w:val="20"/>
                <w:color w:val="auto"/>
              </w:rPr>
            </w:pPr>
            <w:r>
              <w:rPr>
                <w:rFonts w:ascii="Arial" w:cs="Arial" w:eastAsia="Arial" w:hAnsi="Arial"/>
                <w:sz w:val="18"/>
                <w:szCs w:val="18"/>
                <w:color w:val="auto"/>
              </w:rPr>
              <w:t>(10,154)</w:t>
            </w:r>
          </w:p>
        </w:tc>
        <w:tc>
          <w:tcPr>
            <w:tcW w:w="280" w:type="dxa"/>
            <w:vAlign w:val="bottom"/>
            <w:shd w:val="clear" w:color="auto" w:fill="D8D8D8"/>
          </w:tcPr>
          <w:p>
            <w:pPr>
              <w:spacing w:after="0"/>
              <w:rPr>
                <w:sz w:val="24"/>
                <w:szCs w:val="24"/>
                <w:color w:val="auto"/>
              </w:rPr>
            </w:pPr>
          </w:p>
        </w:tc>
        <w:tc>
          <w:tcPr>
            <w:tcW w:w="1620" w:type="dxa"/>
            <w:vAlign w:val="bottom"/>
            <w:shd w:val="clear" w:color="auto" w:fill="D8D8D8"/>
          </w:tcPr>
          <w:p>
            <w:pPr>
              <w:jc w:val="right"/>
              <w:ind w:right="137"/>
              <w:spacing w:after="0"/>
              <w:rPr>
                <w:sz w:val="20"/>
                <w:szCs w:val="20"/>
                <w:color w:val="auto"/>
              </w:rPr>
            </w:pPr>
            <w:r>
              <w:rPr>
                <w:rFonts w:ascii="Arial" w:cs="Arial" w:eastAsia="Arial" w:hAnsi="Arial"/>
                <w:sz w:val="18"/>
                <w:szCs w:val="18"/>
                <w:color w:val="auto"/>
              </w:rPr>
              <w:t>72.93</w:t>
            </w:r>
          </w:p>
        </w:tc>
        <w:tc>
          <w:tcPr>
            <w:tcW w:w="162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1140" w:type="dxa"/>
            <w:vAlign w:val="bottom"/>
            <w:shd w:val="clear" w:color="auto" w:fill="D8D8D8"/>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2000" w:type="dxa"/>
            <w:vAlign w:val="bottom"/>
          </w:tcPr>
          <w:p>
            <w:pPr>
              <w:jc w:val="right"/>
              <w:ind w:right="359"/>
              <w:spacing w:after="0"/>
              <w:rPr>
                <w:sz w:val="20"/>
                <w:szCs w:val="20"/>
                <w:color w:val="auto"/>
              </w:rPr>
            </w:pPr>
            <w:r>
              <w:rPr>
                <w:rFonts w:ascii="Arial" w:cs="Arial" w:eastAsia="Arial" w:hAnsi="Arial"/>
                <w:sz w:val="18"/>
                <w:szCs w:val="18"/>
                <w:color w:val="auto"/>
              </w:rPr>
              <w:t>2,316</w:t>
            </w:r>
          </w:p>
        </w:tc>
        <w:tc>
          <w:tcPr>
            <w:tcW w:w="280" w:type="dxa"/>
            <w:vAlign w:val="bottom"/>
          </w:tcPr>
          <w:p>
            <w:pPr>
              <w:spacing w:after="0"/>
              <w:rPr>
                <w:sz w:val="21"/>
                <w:szCs w:val="21"/>
                <w:color w:val="auto"/>
              </w:rPr>
            </w:pPr>
          </w:p>
        </w:tc>
        <w:tc>
          <w:tcPr>
            <w:tcW w:w="1620" w:type="dxa"/>
            <w:vAlign w:val="bottom"/>
          </w:tcPr>
          <w:p>
            <w:pPr>
              <w:jc w:val="right"/>
              <w:ind w:right="137"/>
              <w:spacing w:after="0"/>
              <w:rPr>
                <w:sz w:val="20"/>
                <w:szCs w:val="20"/>
                <w:color w:val="auto"/>
              </w:rPr>
            </w:pPr>
            <w:r>
              <w:rPr>
                <w:rFonts w:ascii="Arial" w:cs="Arial" w:eastAsia="Arial" w:hAnsi="Arial"/>
                <w:sz w:val="18"/>
                <w:szCs w:val="18"/>
                <w:color w:val="auto"/>
              </w:rPr>
              <w:t>56.26</w:t>
            </w:r>
          </w:p>
        </w:tc>
        <w:tc>
          <w:tcPr>
            <w:tcW w:w="1620" w:type="dxa"/>
            <w:vAlign w:val="bottom"/>
          </w:tcPr>
          <w:p>
            <w:pPr>
              <w:jc w:val="center"/>
              <w:spacing w:after="0"/>
              <w:rPr>
                <w:sz w:val="20"/>
                <w:szCs w:val="20"/>
                <w:color w:val="auto"/>
              </w:rPr>
            </w:pPr>
            <w:r>
              <w:rPr>
                <w:rFonts w:ascii="Arial" w:cs="Arial" w:eastAsia="Arial" w:hAnsi="Arial"/>
                <w:sz w:val="18"/>
                <w:szCs w:val="18"/>
                <w:color w:val="auto"/>
              </w:rPr>
              <w:t>0.9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29.6</w:t>
            </w:r>
          </w:p>
        </w:tc>
      </w:tr>
      <w:tr>
        <w:trPr>
          <w:trHeight w:val="277"/>
        </w:trPr>
        <w:tc>
          <w:tcPr>
            <w:tcW w:w="43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Exercisable at December 31, 2014</w:t>
            </w:r>
          </w:p>
        </w:tc>
        <w:tc>
          <w:tcPr>
            <w:tcW w:w="2000" w:type="dxa"/>
            <w:vAlign w:val="bottom"/>
            <w:shd w:val="clear" w:color="auto" w:fill="D8D8D8"/>
          </w:tcPr>
          <w:p>
            <w:pPr>
              <w:jc w:val="right"/>
              <w:ind w:right="359"/>
              <w:spacing w:after="0"/>
              <w:rPr>
                <w:sz w:val="20"/>
                <w:szCs w:val="20"/>
                <w:color w:val="auto"/>
              </w:rPr>
            </w:pPr>
            <w:r>
              <w:rPr>
                <w:rFonts w:ascii="Arial" w:cs="Arial" w:eastAsia="Arial" w:hAnsi="Arial"/>
                <w:sz w:val="18"/>
                <w:szCs w:val="18"/>
                <w:color w:val="auto"/>
              </w:rPr>
              <w:t>2,316</w:t>
            </w:r>
          </w:p>
        </w:tc>
        <w:tc>
          <w:tcPr>
            <w:tcW w:w="280" w:type="dxa"/>
            <w:vAlign w:val="bottom"/>
            <w:shd w:val="clear" w:color="auto" w:fill="D8D8D8"/>
          </w:tcPr>
          <w:p>
            <w:pPr>
              <w:spacing w:after="0"/>
              <w:rPr>
                <w:sz w:val="24"/>
                <w:szCs w:val="24"/>
                <w:color w:val="auto"/>
              </w:rPr>
            </w:pPr>
          </w:p>
        </w:tc>
        <w:tc>
          <w:tcPr>
            <w:tcW w:w="1620" w:type="dxa"/>
            <w:vAlign w:val="bottom"/>
            <w:shd w:val="clear" w:color="auto" w:fill="D8D8D8"/>
          </w:tcPr>
          <w:p>
            <w:pPr>
              <w:jc w:val="right"/>
              <w:ind w:right="137"/>
              <w:spacing w:after="0"/>
              <w:rPr>
                <w:sz w:val="20"/>
                <w:szCs w:val="20"/>
                <w:color w:val="auto"/>
              </w:rPr>
            </w:pPr>
            <w:r>
              <w:rPr>
                <w:rFonts w:ascii="Arial" w:cs="Arial" w:eastAsia="Arial" w:hAnsi="Arial"/>
                <w:sz w:val="18"/>
                <w:szCs w:val="18"/>
                <w:color w:val="auto"/>
              </w:rPr>
              <w:t>56.26</w:t>
            </w:r>
          </w:p>
        </w:tc>
        <w:tc>
          <w:tcPr>
            <w:tcW w:w="1620" w:type="dxa"/>
            <w:vAlign w:val="bottom"/>
            <w:shd w:val="clear" w:color="auto" w:fill="D8D8D8"/>
          </w:tcPr>
          <w:p>
            <w:pPr>
              <w:jc w:val="center"/>
              <w:spacing w:after="0"/>
              <w:rPr>
                <w:sz w:val="20"/>
                <w:szCs w:val="20"/>
                <w:color w:val="auto"/>
              </w:rPr>
            </w:pPr>
            <w:r>
              <w:rPr>
                <w:rFonts w:ascii="Arial" w:cs="Arial" w:eastAsia="Arial" w:hAnsi="Arial"/>
                <w:sz w:val="18"/>
                <w:szCs w:val="18"/>
                <w:color w:val="auto"/>
              </w:rPr>
              <w:t>0.9</w:t>
            </w:r>
          </w:p>
        </w:tc>
        <w:tc>
          <w:tcPr>
            <w:tcW w:w="380" w:type="dxa"/>
            <w:vAlign w:val="bottom"/>
            <w:shd w:val="clear" w:color="auto" w:fill="D8D8D8"/>
          </w:tcPr>
          <w:p>
            <w:pPr>
              <w:spacing w:after="0"/>
              <w:rPr>
                <w:sz w:val="24"/>
                <w:szCs w:val="24"/>
                <w:color w:val="auto"/>
              </w:rPr>
            </w:pPr>
          </w:p>
        </w:tc>
        <w:tc>
          <w:tcPr>
            <w:tcW w:w="1140" w:type="dxa"/>
            <w:vAlign w:val="bottom"/>
            <w:shd w:val="clear" w:color="auto" w:fill="D8D8D8"/>
          </w:tcPr>
          <w:p>
            <w:pPr>
              <w:jc w:val="right"/>
              <w:ind w:right="41"/>
              <w:spacing w:after="0"/>
              <w:rPr>
                <w:sz w:val="20"/>
                <w:szCs w:val="20"/>
                <w:color w:val="auto"/>
              </w:rPr>
            </w:pPr>
            <w:r>
              <w:rPr>
                <w:rFonts w:ascii="Arial" w:cs="Arial" w:eastAsia="Arial" w:hAnsi="Arial"/>
                <w:sz w:val="18"/>
                <w:szCs w:val="18"/>
                <w:color w:val="auto"/>
              </w:rPr>
              <w:t>29.6</w:t>
            </w:r>
          </w:p>
        </w:tc>
      </w:tr>
    </w:tbl>
    <w:p>
      <w:pPr>
        <w:spacing w:after="0" w:line="10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intrinsic value of options exercised during 2014, 2013, and 2012 amounted to $31.2 million, $0.5 million, and $1.4 million, respectively. We received cash of $188.1 million, $ 11.3 million, and $1.0 million from exercises of stock options during 2014, 2013, and 2012, respectively, and recognized related tax benefits of $8.9 million, $0.2 million, and $0.5 million during those same years.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CC0000"/>
        </w:rPr>
        <w:t>Note 12:</w:t>
        <w:tab/>
        <w:t>Shareholders' Equity</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2014 and 2013, we repurchased $800.0 million and $500.0 million, respectively, of shares associated with our $5.00 billion share repurchase program announced in 2013. As of December 31, 2014, there were $3.70 billion of shares remaining in that program. During 2013 and 2012, we repurchased $1.10 billion and $400.0 million, respectively, of shares, completing our $1.50 billion share repurchase program announced in 2012. During 2012, we also repurchased $419.2 million of shares to complete our $3.00 billion share repurchase program announced in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74</w:t>
      </w:r>
    </w:p>
    <w:p>
      <w:pPr>
        <w:sectPr>
          <w:pgSz w:w="11900" w:h="16838" w:orient="portrait"/>
          <w:cols w:equalWidth="0" w:num="1">
            <w:col w:w="11400"/>
          </w:cols>
          <w:pgMar w:left="240" w:top="706"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We have 5.0 million authorized shares of preferred stock. As of December 31, 2014 and 2013, no preferred stock has been issued.</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2014 and 2013, to provide a source of funds to assist us in meeting our obligations under various employee benefit plans. The cost basis of the shares held in the trust was $3.01 billion at both December 31, 2014 and 2013, and is shown as a reduction in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2014, 2013, and 2012.</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CC0000"/>
        </w:rPr>
        <w:t>Note 13:</w:t>
      </w:r>
      <w:r>
        <w:rPr>
          <w:sz w:val="20"/>
          <w:szCs w:val="20"/>
          <w:color w:val="auto"/>
        </w:rPr>
        <w:tab/>
      </w:r>
      <w:r>
        <w:rPr>
          <w:rFonts w:ascii="Arial" w:cs="Arial" w:eastAsia="Arial" w:hAnsi="Arial"/>
          <w:sz w:val="17"/>
          <w:szCs w:val="17"/>
          <w:b w:val="1"/>
          <w:bCs w:val="1"/>
          <w:color w:val="CC0000"/>
        </w:rPr>
        <w:t>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7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D8D8D8"/>
            </w:tcBorders>
            <w:shd w:val="clear" w:color="auto" w:fill="D8D8D8"/>
          </w:tcPr>
          <w:p>
            <w:pPr>
              <w:spacing w:after="0"/>
              <w:rPr>
                <w:sz w:val="21"/>
                <w:szCs w:val="21"/>
                <w:color w:val="auto"/>
              </w:rPr>
            </w:pPr>
          </w:p>
        </w:tc>
        <w:tc>
          <w:tcPr>
            <w:tcW w:w="108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168.9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259.1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596.8</w:t>
            </w:r>
          </w:p>
        </w:tc>
      </w:tr>
      <w:tr>
        <w:trPr>
          <w:trHeight w:val="277"/>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406.2</w:t>
            </w:r>
          </w:p>
        </w:tc>
        <w:tc>
          <w:tcPr>
            <w:tcW w:w="40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553.2</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540.6</w:t>
            </w:r>
          </w:p>
        </w:tc>
      </w:tr>
      <w:tr>
        <w:trPr>
          <w:trHeight w:val="264"/>
        </w:trPr>
        <w:tc>
          <w:tcPr>
            <w:tcW w:w="70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126.3</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56.2</w:t>
            </w:r>
          </w:p>
        </w:tc>
      </w:tr>
      <w:tr>
        <w:trPr>
          <w:trHeight w:val="270"/>
        </w:trPr>
        <w:tc>
          <w:tcPr>
            <w:tcW w:w="704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current tax expense</w:t>
            </w:r>
          </w:p>
        </w:tc>
        <w:tc>
          <w:tcPr>
            <w:tcW w:w="34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573.0</w:t>
            </w:r>
          </w:p>
        </w:tc>
        <w:tc>
          <w:tcPr>
            <w:tcW w:w="4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938.6</w:t>
            </w: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1,193.6</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D8D8D8"/>
          </w:tcPr>
          <w:p>
            <w:pPr>
              <w:spacing w:after="0"/>
              <w:rPr>
                <w:sz w:val="23"/>
                <w:szCs w:val="23"/>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(83.3)</w:t>
            </w:r>
          </w:p>
        </w:tc>
        <w:tc>
          <w:tcPr>
            <w:tcW w:w="4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297.0</w:t>
            </w: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87.0</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120.2</w:t>
            </w:r>
          </w:p>
        </w:tc>
        <w:tc>
          <w:tcPr>
            <w:tcW w:w="4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29.9</w:t>
            </w:r>
          </w:p>
        </w:tc>
      </w:tr>
      <w:tr>
        <w:trPr>
          <w:trHeight w:val="277"/>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9.1</w:t>
            </w:r>
          </w:p>
        </w:tc>
      </w:tr>
      <w:tr>
        <w:trPr>
          <w:trHeight w:val="257"/>
        </w:trPr>
        <w:tc>
          <w:tcPr>
            <w:tcW w:w="7040" w:type="dxa"/>
            <w:vAlign w:val="bottom"/>
            <w:tcBorders>
              <w:bottom w:val="single" w:sz="8" w:color="D8D8D8"/>
            </w:tcBorders>
          </w:tcPr>
          <w:p>
            <w:pPr>
              <w:ind w:left="380"/>
              <w:spacing w:after="0"/>
              <w:rPr>
                <w:sz w:val="20"/>
                <w:szCs w:val="20"/>
                <w:color w:val="auto"/>
              </w:rPr>
            </w:pPr>
            <w:r>
              <w:rPr>
                <w:rFonts w:ascii="Arial" w:cs="Arial" w:eastAsia="Arial" w:hAnsi="Arial"/>
                <w:sz w:val="18"/>
                <w:szCs w:val="18"/>
                <w:color w:val="auto"/>
              </w:rPr>
              <w:t>Total deferred tax expense</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36.8</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265.9</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126.0</w:t>
            </w:r>
          </w:p>
        </w:tc>
      </w:tr>
      <w:tr>
        <w:trPr>
          <w:trHeight w:val="277"/>
        </w:trPr>
        <w:tc>
          <w:tcPr>
            <w:tcW w:w="7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609.8</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1,204.5</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1,319.6</w:t>
            </w:r>
          </w:p>
        </w:tc>
      </w:tr>
      <w:tr>
        <w:trPr>
          <w:trHeight w:val="324"/>
        </w:trPr>
        <w:tc>
          <w:tcPr>
            <w:tcW w:w="8460" w:type="dxa"/>
            <w:vAlign w:val="bottom"/>
            <w:gridSpan w:val="3"/>
          </w:tcPr>
          <w:p>
            <w:pPr>
              <w:spacing w:after="0"/>
              <w:rPr>
                <w:sz w:val="20"/>
                <w:szCs w:val="20"/>
                <w:color w:val="auto"/>
              </w:rPr>
            </w:pPr>
            <w:r>
              <w:rPr>
                <w:rFonts w:ascii="Arial" w:cs="Arial" w:eastAsia="Arial" w:hAnsi="Arial"/>
                <w:sz w:val="18"/>
                <w:szCs w:val="18"/>
                <w:color w:val="auto"/>
              </w:rPr>
              <w:t>Significant components of our deferred tax assets and liabilities as of December 31 are as follows: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1"/>
        </w:trPr>
        <w:tc>
          <w:tcPr>
            <w:tcW w:w="7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intangible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Tax credit carryforwards and carrybacks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541147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1147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loss carryforwards and carrybacks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 return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Intercompany profit in inventories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gross deferred tax assets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deferred tax 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Unremitted earnings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1147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147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employee benefits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deferred tax liabilities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 - net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897.3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639.8</w:t>
            </w:r>
          </w:p>
        </w:tc>
      </w:tr>
      <w:tr>
        <w:trPr>
          <w:trHeight w:val="270"/>
        </w:trPr>
        <w:tc>
          <w:tcPr>
            <w:tcW w:w="38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473.3</w:t>
            </w:r>
          </w:p>
        </w:tc>
        <w:tc>
          <w:tcPr>
            <w:tcW w:w="4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418.8</w:t>
            </w:r>
          </w:p>
        </w:tc>
      </w:tr>
      <w:tr>
        <w:trPr>
          <w:trHeight w:val="277"/>
        </w:trPr>
        <w:tc>
          <w:tcPr>
            <w:tcW w:w="38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279.4</w:t>
            </w:r>
          </w:p>
        </w:tc>
        <w:tc>
          <w:tcPr>
            <w:tcW w:w="4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494.6</w:t>
            </w:r>
          </w:p>
        </w:tc>
      </w:tr>
      <w:tr>
        <w:trPr>
          <w:trHeight w:val="277"/>
        </w:trPr>
        <w:tc>
          <w:tcPr>
            <w:tcW w:w="38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70"/>
              <w:spacing w:after="0"/>
              <w:rPr>
                <w:sz w:val="20"/>
                <w:szCs w:val="20"/>
                <w:color w:val="auto"/>
              </w:rPr>
            </w:pPr>
            <w:r>
              <w:rPr>
                <w:rFonts w:ascii="Arial" w:cs="Arial" w:eastAsia="Arial" w:hAnsi="Arial"/>
                <w:sz w:val="18"/>
                <w:szCs w:val="18"/>
                <w:b w:val="1"/>
                <w:bCs w:val="1"/>
                <w:color w:val="auto"/>
              </w:rPr>
              <w:t>265.5</w:t>
            </w:r>
          </w:p>
        </w:tc>
        <w:tc>
          <w:tcPr>
            <w:tcW w:w="420" w:type="dxa"/>
            <w:vAlign w:val="bottom"/>
            <w:shd w:val="clear" w:color="auto" w:fill="DDDDDD"/>
          </w:tcPr>
          <w:p>
            <w:pPr>
              <w:spacing w:after="0"/>
              <w:rPr>
                <w:sz w:val="24"/>
                <w:szCs w:val="24"/>
                <w:color w:val="auto"/>
              </w:rPr>
            </w:pPr>
          </w:p>
        </w:tc>
        <w:tc>
          <w:tcPr>
            <w:tcW w:w="10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311.7</w:t>
            </w:r>
          </w:p>
        </w:tc>
      </w:tr>
      <w:tr>
        <w:trPr>
          <w:trHeight w:val="257"/>
        </w:trPr>
        <w:tc>
          <w:tcPr>
            <w:tcW w:w="38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241.8</w:t>
            </w: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313.7</w:t>
            </w:r>
          </w:p>
        </w:tc>
      </w:tr>
      <w:tr>
        <w:trPr>
          <w:trHeight w:val="270"/>
        </w:trPr>
        <w:tc>
          <w:tcPr>
            <w:tcW w:w="38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176.0</w:t>
            </w:r>
          </w:p>
        </w:tc>
        <w:tc>
          <w:tcPr>
            <w:tcW w:w="4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110.0</w:t>
            </w:r>
          </w:p>
        </w:tc>
      </w:tr>
      <w:tr>
        <w:trPr>
          <w:trHeight w:val="270"/>
        </w:trPr>
        <w:tc>
          <w:tcPr>
            <w:tcW w:w="38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68.9</w:t>
            </w:r>
          </w:p>
        </w:tc>
        <w:tc>
          <w:tcPr>
            <w:tcW w:w="4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106.0</w:t>
            </w:r>
          </w:p>
        </w:tc>
      </w:tr>
      <w:tr>
        <w:trPr>
          <w:trHeight w:val="270"/>
        </w:trPr>
        <w:tc>
          <w:tcPr>
            <w:tcW w:w="38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104.5</w:t>
            </w:r>
          </w:p>
        </w:tc>
      </w:tr>
      <w:tr>
        <w:trPr>
          <w:trHeight w:val="277"/>
        </w:trPr>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633.3</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595.0</w:t>
            </w:r>
          </w:p>
        </w:tc>
      </w:tr>
      <w:tr>
        <w:trPr>
          <w:trHeight w:val="257"/>
        </w:trPr>
        <w:tc>
          <w:tcPr>
            <w:tcW w:w="38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3,035.5</w:t>
            </w: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3,094.1</w:t>
            </w:r>
          </w:p>
        </w:tc>
      </w:tr>
      <w:tr>
        <w:trPr>
          <w:trHeight w:val="277"/>
        </w:trPr>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(601.1)</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w:t>
            </w:r>
          </w:p>
        </w:tc>
      </w:tr>
      <w:tr>
        <w:trPr>
          <w:trHeight w:val="257"/>
        </w:trPr>
        <w:tc>
          <w:tcPr>
            <w:tcW w:w="38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2,434.4</w:t>
            </w: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2,447.0</w:t>
            </w:r>
          </w:p>
        </w:tc>
      </w:tr>
      <w:tr>
        <w:trPr>
          <w:trHeight w:val="540"/>
        </w:trPr>
        <w:tc>
          <w:tcPr>
            <w:tcW w:w="3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(737.1)</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(898.3)</w:t>
            </w:r>
          </w:p>
        </w:tc>
      </w:tr>
      <w:tr>
        <w:trPr>
          <w:trHeight w:val="270"/>
        </w:trPr>
        <w:tc>
          <w:tcPr>
            <w:tcW w:w="3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(684.6)</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(685.6)</w:t>
            </w:r>
          </w:p>
        </w:tc>
      </w:tr>
      <w:tr>
        <w:trPr>
          <w:trHeight w:val="270"/>
        </w:trPr>
        <w:tc>
          <w:tcPr>
            <w:tcW w:w="3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(582.6)</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(598.9)</w:t>
            </w:r>
          </w:p>
        </w:tc>
      </w:tr>
      <w:tr>
        <w:trPr>
          <w:trHeight w:val="277"/>
        </w:trPr>
        <w:tc>
          <w:tcPr>
            <w:tcW w:w="38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(424.7)</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(379.1)</w:t>
            </w:r>
          </w:p>
        </w:tc>
      </w:tr>
      <w:tr>
        <w:trPr>
          <w:trHeight w:val="277"/>
        </w:trPr>
        <w:tc>
          <w:tcPr>
            <w:tcW w:w="38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10"/>
              <w:spacing w:after="0"/>
              <w:rPr>
                <w:sz w:val="20"/>
                <w:szCs w:val="20"/>
                <w:color w:val="auto"/>
              </w:rPr>
            </w:pPr>
            <w:r>
              <w:rPr>
                <w:rFonts w:ascii="Arial" w:cs="Arial" w:eastAsia="Arial" w:hAnsi="Arial"/>
                <w:sz w:val="18"/>
                <w:szCs w:val="18"/>
                <w:b w:val="1"/>
                <w:bCs w:val="1"/>
                <w:color w:val="auto"/>
              </w:rPr>
              <w:t>(275.8)</w:t>
            </w:r>
          </w:p>
        </w:tc>
        <w:tc>
          <w:tcPr>
            <w:tcW w:w="42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(446.2)</w:t>
            </w:r>
          </w:p>
        </w:tc>
      </w:tr>
      <w:tr>
        <w:trPr>
          <w:trHeight w:val="264"/>
        </w:trPr>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(161.5)</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r>
      <w:tr>
        <w:trPr>
          <w:trHeight w:val="264"/>
        </w:trPr>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(2,866.3)</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(3,117.7)</w:t>
            </w:r>
          </w:p>
        </w:tc>
      </w:tr>
      <w:tr>
        <w:trPr>
          <w:trHeight w:val="277"/>
        </w:trPr>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(431.9)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r>
    </w:tbl>
    <w:p>
      <w:pPr>
        <w:spacing w:after="0" w:line="107" w:lineRule="exact"/>
        <w:rPr>
          <w:sz w:val="20"/>
          <w:szCs w:val="20"/>
          <w:color w:val="auto"/>
        </w:rPr>
      </w:pPr>
    </w:p>
    <w:p>
      <w:pPr>
        <w:sectPr>
          <w:pgSz w:w="11900" w:h="16838" w:orient="portrait"/>
          <w:cols w:equalWidth="0" w:num="2">
            <w:col w:w="7800" w:space="720"/>
            <w:col w:w="2900"/>
          </w:cols>
          <w:pgMar w:left="240" w:top="7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At December 31, 2014 and 2013, no individually significant items were classified as “Other” deferred tax assets.</w:t>
      </w:r>
    </w:p>
    <w:p>
      <w:pPr>
        <w:sectPr>
          <w:pgSz w:w="11900" w:h="16838" w:orient="portrait"/>
          <w:cols w:equalWidth="0" w:num="1">
            <w:col w:w="11420"/>
          </w:cols>
          <w:pgMar w:left="240" w:top="706" w:right="239" w:bottom="1440" w:gutter="0" w:footer="0" w:header="0"/>
          <w:type w:val="continuous"/>
        </w:sectPr>
      </w:pPr>
    </w:p>
    <w:p>
      <w:pPr>
        <w:spacing w:after="0" w:line="239"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75</w:t>
      </w:r>
    </w:p>
    <w:p>
      <w:pPr>
        <w:sectPr>
          <w:pgSz w:w="11900" w:h="16838" w:orient="portrait"/>
          <w:cols w:equalWidth="0" w:num="1">
            <w:col w:w="11420"/>
          </w:cols>
          <w:pgMar w:left="240" w:top="706" w:right="239" w:bottom="1440" w:gutter="0" w:footer="0" w:header="0"/>
          <w:type w:val="continuous"/>
        </w:sectPr>
      </w:pPr>
    </w:p>
    <w:bookmarkStart w:id="75" w:name="page76"/>
    <w:bookmarkEnd w:id="75"/>
    <w:p>
      <w:pPr>
        <w:ind w:right="240"/>
        <w:spacing w:after="0" w:line="262" w:lineRule="auto"/>
        <w:rPr>
          <w:sz w:val="20"/>
          <w:szCs w:val="20"/>
          <w:color w:val="auto"/>
        </w:rPr>
      </w:pPr>
      <w:r>
        <w:rPr>
          <w:rFonts w:ascii="Arial" w:cs="Arial" w:eastAsia="Arial" w:hAnsi="Arial"/>
          <w:sz w:val="18"/>
          <w:szCs w:val="18"/>
          <w:color w:val="auto"/>
        </w:rPr>
        <w:t>The deferred tax asset and related valuation allowance amounts for U.S. federal and state net operating losses and tax credits shown above have been reduced for differences between financial reporting and tax return filings.</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Based on filed tax returns, we have tax credit carryforwards and carrybacks of $459.9 million available to reduce future income taxes; $180.5 million, if unused, will expire by 2021. The remaining portion of the tax credit carryforwards is related to federal tax credits of $80.3 million, international tax credits of $104.4 million, and state tax credits of $94.7 million, all of which are substantially reserved.</w:t>
      </w:r>
    </w:p>
    <w:p>
      <w:pPr>
        <w:spacing w:after="0" w:line="9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At December 31, 2014, based on filed tax returns we had net operating losses and other carryforwards for international and U.S. income tax purposes of $ 493.9 million: $74.6 million will expire by 2019; $366.1 million will expire between 2019 and 2029; and $53.2 million of the carryforwards will never expire. Net operating losses and other carryforwards for international and U.S. federal income tax purposes are partially reserved. Deferred tax assets related to state net operating losses of $97.0 million and other state carryforwards of $8.9 million are fully reserved.</w:t>
      </w:r>
    </w:p>
    <w:p>
      <w:pPr>
        <w:spacing w:after="0" w:line="9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Domestic and Puerto Rican companies contributed approximately 20 percent, 60 percent, and 55 percent for the years ended December 31, 2014, 2013, and 2012, respectively, to consolidated income before income taxes. We have a subsidiary operating in Puerto Rico under a tax incentive grant effective through the end of 2016. A similar, new tax incentive grant will begin in 2017 and will be in effect for 15 years.</w:t>
      </w:r>
    </w:p>
    <w:p>
      <w:pPr>
        <w:spacing w:after="0" w:line="9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At December 31, 2014, U.S. income taxes have not been provided on approximately $ 25.7 billion of unremitted earnings of foreign subsidiaries as we consider these unremitted earnings to be indefinitely invested for continued use in our foreign operations. Additional tax provisions will be required if these earnings are repatriated in the future to the United States. Due to complexities in the tax laws and assumptions that we would have to make, it is not practicable to determine the amount of the related unrecognized deferred income tax liability.</w:t>
      </w:r>
    </w:p>
    <w:p>
      <w:pPr>
        <w:spacing w:after="0" w:line="8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Cash payments of income taxes totaled $729.7 million, $1.26 billion, and $992.0 million, for the years ended December 31, 2014, 2013, and 2012, respectively.</w:t>
      </w:r>
    </w:p>
    <w:p>
      <w:pPr>
        <w:spacing w:after="0" w:line="8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Following is a reconciliation of the income tax expense applying the U.S. federal statutory rate to income before income taxes to reported income tax expense: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70"/>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at the U.S. federal statutory tax rate</w:t>
            </w:r>
          </w:p>
        </w:tc>
        <w:tc>
          <w:tcPr>
            <w:tcW w:w="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1,050.1</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2,061.3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1,892.9</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Add (deduct):</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 operations, including Puerto Rico</w:t>
            </w:r>
          </w:p>
        </w:tc>
        <w:tc>
          <w:tcPr>
            <w:tcW w:w="340" w:type="dxa"/>
            <w:vAlign w:val="bottom"/>
            <w:shd w:val="clear" w:color="auto" w:fill="D8D8D8"/>
          </w:tcPr>
          <w:p>
            <w:pPr>
              <w:spacing w:after="0"/>
              <w:rPr>
                <w:sz w:val="23"/>
                <w:szCs w:val="23"/>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(344.8)</w:t>
            </w:r>
          </w:p>
        </w:tc>
        <w:tc>
          <w:tcPr>
            <w:tcW w:w="40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(778.3)</w:t>
            </w: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(593.8)</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General business credits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4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(175.6)</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7"/>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(51.2)</w:t>
            </w:r>
          </w:p>
        </w:tc>
        <w:tc>
          <w:tcPr>
            <w:tcW w:w="40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97.1</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31.7</w:t>
            </w:r>
          </w:p>
        </w:tc>
      </w:tr>
      <w:tr>
        <w:trPr>
          <w:trHeight w:val="271"/>
        </w:trPr>
        <w:tc>
          <w:tcPr>
            <w:tcW w:w="70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609.8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1,204.5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1,319.6</w:t>
            </w:r>
          </w:p>
        </w:tc>
      </w:tr>
    </w:tbl>
    <w:p>
      <w:pPr>
        <w:spacing w:after="0" w:line="10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American Taxpayer Relief Act of 2012, which included the reinstatement of the research tax credit for the year 2012, was enacted in early 2013. Therefore, the research tax credits for the years 2012 and 2013 are both included in 2013 with general business credits.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70"/>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w:t>
            </w:r>
          </w:p>
        </w:tc>
        <w:tc>
          <w:tcPr>
            <w:tcW w:w="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1,136.4</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1,534.3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1,369.3</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126.4</w:t>
            </w:r>
          </w:p>
        </w:tc>
        <w:tc>
          <w:tcPr>
            <w:tcW w:w="40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142.5</w:t>
            </w:r>
          </w:p>
        </w:tc>
        <w:tc>
          <w:tcPr>
            <w:tcW w:w="3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144.8</w:t>
            </w:r>
          </w:p>
        </w:tc>
      </w:tr>
      <w:tr>
        <w:trPr>
          <w:trHeight w:val="277"/>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132.6</w:t>
            </w:r>
          </w:p>
        </w:tc>
        <w:tc>
          <w:tcPr>
            <w:tcW w:w="40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251.5</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70.1</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(358.2)</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7"/>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D8D8D8"/>
          </w:tcPr>
          <w:p>
            <w:pPr>
              <w:spacing w:after="0"/>
              <w:rPr>
                <w:sz w:val="24"/>
                <w:szCs w:val="24"/>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(4.2)</w:t>
            </w:r>
          </w:p>
        </w:tc>
        <w:tc>
          <w:tcPr>
            <w:tcW w:w="40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(404.9)</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color w:val="auto"/>
              </w:rPr>
              <w:t>Lapses of statutes of limitation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Changes related to the impact of foreign currency translation</w:t>
            </w:r>
          </w:p>
        </w:tc>
        <w:tc>
          <w:tcPr>
            <w:tcW w:w="34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(16.8)</w:t>
            </w:r>
          </w:p>
        </w:tc>
        <w:tc>
          <w:tcPr>
            <w:tcW w:w="40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2.4</w:t>
            </w:r>
          </w:p>
        </w:tc>
      </w:tr>
      <w:tr>
        <w:trPr>
          <w:trHeight w:val="271"/>
        </w:trPr>
        <w:tc>
          <w:tcPr>
            <w:tcW w:w="704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1,338.8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1,136.4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1,534.3</w:t>
            </w:r>
          </w:p>
        </w:tc>
      </w:tr>
    </w:tbl>
    <w:p>
      <w:pPr>
        <w:spacing w:after="0" w:line="1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$638.8 million and $523.3 million at December 31, 2014 and 2013,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76</w:t>
      </w:r>
    </w:p>
    <w:p>
      <w:pPr>
        <w:sectPr>
          <w:pgSz w:w="11900" w:h="16838" w:orient="portrait"/>
          <w:cols w:equalWidth="0" w:num="1">
            <w:col w:w="11400"/>
          </w:cols>
          <w:pgMar w:left="240" w:top="706"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We file income tax returns in the U.S. federal jurisdiction and various state, local, and non-U.S. jurisdictions. We are no longer subject to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or non-U.S. income tax examinations in most major taxing jurisdictions for years before 2007.</w:t>
      </w:r>
    </w:p>
    <w:p>
      <w:pPr>
        <w:spacing w:after="0" w:line="11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During 2013, we reached resolution on the remaining matters related to tax years 2008–2009 that were not settled as part of a previous U.S. examination. Considering the impact of this resolution on periods that have not yet been examined, as well as its impact on tax asset carryforwards, there was an immaterial benefit to our consolidated results of operations. We made cash payments of approximately</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$135 million related to tax years 2008–2009 after application of available tax credit carryforwards and carrybacks. The examination of tax years 2010-2012 commenced during the fourth quarter of 2013. While it is reasonably possible that the U.S. examination of 2010-2012 could conclude within the next 12 months, resolution of certain matters is dependent upon a number of factors, including the potential for formal administrative and legal proceedings. As a result, it is not possible to estimate the range of the reasonably possible changes in unrecognized tax benefits that could occur within the next 12 months related to these years, nor is it possible to reliably estimate the total future cash flows related to these unrecognized tax benefits.</w:t>
      </w:r>
    </w:p>
    <w:p>
      <w:pPr>
        <w:spacing w:after="0" w:line="10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During the years ended December 31, 2014, 2013, and 2012, we recognized income tax expense (benefit) of $35.9 million, $(10.9) million, and $42.3 million, respectively, related to interest and penalties. At December 31, 2014 and 2013, our accruals for the payment of interest and penalties totaled $207.2 million and $161.5 million, respectively.</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77</w:t>
      </w:r>
    </w:p>
    <w:p>
      <w:pPr>
        <w:sectPr>
          <w:pgSz w:w="11900" w:h="16838" w:orient="portrait"/>
          <w:cols w:equalWidth="0" w:num="1">
            <w:col w:w="11420"/>
          </w:cols>
          <w:pgMar w:left="240" w:top="706" w:right="239" w:bottom="1440" w:gutter="0" w:footer="0" w:header="0"/>
        </w:sectPr>
      </w:pPr>
    </w:p>
    <w:bookmarkStart w:id="77" w:name="page78"/>
    <w:bookmarkEnd w:id="77"/>
    <w:p>
      <w:pPr>
        <w:spacing w:after="0"/>
        <w:tabs>
          <w:tab w:leader="none" w:pos="900" w:val="left"/>
        </w:tabs>
        <w:rPr>
          <w:sz w:val="20"/>
          <w:szCs w:val="20"/>
          <w:color w:val="auto"/>
        </w:rPr>
      </w:pPr>
      <w:r>
        <w:rPr>
          <w:rFonts w:ascii="Arial" w:cs="Arial" w:eastAsia="Arial" w:hAnsi="Arial"/>
          <w:sz w:val="18"/>
          <w:szCs w:val="18"/>
          <w:b w:val="1"/>
          <w:bCs w:val="1"/>
          <w:color w:val="CC0000"/>
        </w:rPr>
        <w:t>Note 14:</w:t>
      </w:r>
      <w:r>
        <w:rPr>
          <w:sz w:val="20"/>
          <w:szCs w:val="20"/>
          <w:color w:val="auto"/>
        </w:rPr>
        <w:tab/>
      </w:r>
      <w:r>
        <w:rPr>
          <w:rFonts w:ascii="Arial" w:cs="Arial" w:eastAsia="Arial" w:hAnsi="Arial"/>
          <w:sz w:val="17"/>
          <w:szCs w:val="17"/>
          <w:b w:val="1"/>
          <w:bCs w:val="1"/>
          <w:color w:val="CC0000"/>
        </w:rPr>
        <w:t>Retirement Benefits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rPr>
              <w:t>Defined Benefit</w:t>
            </w:r>
          </w:p>
        </w:tc>
        <w:tc>
          <w:tcPr>
            <w:tcW w:w="380" w:type="dxa"/>
            <w:vAlign w:val="bottom"/>
          </w:tcPr>
          <w:p>
            <w:pPr>
              <w:spacing w:after="0"/>
              <w:rPr>
                <w:sz w:val="14"/>
                <w:szCs w:val="14"/>
                <w:color w:val="auto"/>
              </w:rPr>
            </w:pPr>
          </w:p>
        </w:tc>
        <w:tc>
          <w:tcPr>
            <w:tcW w:w="152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5"/>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9,976.4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w w:val="96"/>
              </w:rPr>
              <w:t>10,423.8</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1,757.2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2,337.7</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240.9</w:t>
            </w:r>
          </w:p>
        </w:tc>
        <w:tc>
          <w:tcPr>
            <w:tcW w:w="5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287.1</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33.0</w:t>
            </w:r>
          </w:p>
        </w:tc>
        <w:tc>
          <w:tcPr>
            <w:tcW w:w="52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49.9</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2"/>
                <w:szCs w:val="22"/>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472.6</w:t>
            </w:r>
          </w:p>
        </w:tc>
        <w:tc>
          <w:tcPr>
            <w:tcW w:w="52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437.2</w:t>
            </w:r>
          </w:p>
        </w:tc>
        <w:tc>
          <w:tcPr>
            <w:tcW w:w="38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85.6</w:t>
            </w:r>
          </w:p>
        </w:tc>
        <w:tc>
          <w:tcPr>
            <w:tcW w:w="52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98.1</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1,996.3</w:t>
            </w:r>
          </w:p>
        </w:tc>
        <w:tc>
          <w:tcPr>
            <w:tcW w:w="52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(792.2)</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293.5</w:t>
            </w:r>
          </w:p>
        </w:tc>
        <w:tc>
          <w:tcPr>
            <w:tcW w:w="52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(642.5)</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b w:val="1"/>
                <w:bCs w:val="1"/>
                <w:color w:val="auto"/>
              </w:rPr>
              <w:t>(421.2)</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(402.3)</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(76.1)</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Plan amendments</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(2.4)</w:t>
            </w:r>
          </w:p>
        </w:tc>
        <w:tc>
          <w:tcPr>
            <w:tcW w:w="52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(533.6)</w:t>
            </w:r>
          </w:p>
        </w:tc>
        <w:tc>
          <w:tcPr>
            <w:tcW w:w="52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60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(250.2)</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12,012.4</w:t>
            </w:r>
          </w:p>
        </w:tc>
        <w:tc>
          <w:tcPr>
            <w:tcW w:w="52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9,976.4</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1,553.5</w:t>
            </w:r>
          </w:p>
        </w:tc>
        <w:tc>
          <w:tcPr>
            <w:tcW w:w="5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plan assets:</w:t>
      </w:r>
    </w:p>
    <w:p>
      <w:pPr>
        <w:sectPr>
          <w:pgSz w:w="11900" w:h="16838" w:orient="portrait"/>
          <w:cols w:equalWidth="0" w:num="1">
            <w:col w:w="11420"/>
          </w:cols>
          <w:pgMar w:left="240" w:top="576" w:right="239" w:bottom="1440" w:gutter="0" w:footer="0" w:header="0"/>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Employer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exchange rate changes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Funded status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net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prior service (benefit)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 consisted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Accumulated other comprehensive (income) loss before income taxes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9,481.7</w:t>
            </w:r>
          </w:p>
        </w:tc>
        <w:tc>
          <w:tcPr>
            <w:tcW w:w="3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8,286.6</w:t>
            </w:r>
          </w:p>
        </w:tc>
        <w:tc>
          <w:tcPr>
            <w:tcW w:w="4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1,879.6</w:t>
            </w:r>
          </w:p>
        </w:tc>
        <w:tc>
          <w:tcPr>
            <w:tcW w:w="4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1,518.0</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813.6</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1,144.6</w:t>
            </w:r>
          </w:p>
        </w:tc>
        <w:tc>
          <w:tcPr>
            <w:tcW w:w="4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157.4</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365.7</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127.2</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428.9</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(421.2)</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(402.3)</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(76.1)</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7"/>
        </w:trPr>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9,835.7</w:t>
            </w:r>
          </w:p>
        </w:tc>
        <w:tc>
          <w:tcPr>
            <w:tcW w:w="3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9,481.7</w:t>
            </w:r>
          </w:p>
        </w:tc>
        <w:tc>
          <w:tcPr>
            <w:tcW w:w="42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1,918.7</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1,879.6</w:t>
            </w:r>
          </w:p>
        </w:tc>
      </w:tr>
      <w:tr>
        <w:trPr>
          <w:trHeight w:val="149"/>
        </w:trPr>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50"/>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(2,176.7)</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(494.7)</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365.2</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122.4</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5,114.9</w:t>
            </w:r>
          </w:p>
        </w:tc>
        <w:tc>
          <w:tcPr>
            <w:tcW w:w="3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3,546.3</w:t>
            </w:r>
          </w:p>
        </w:tc>
        <w:tc>
          <w:tcPr>
            <w:tcW w:w="42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439.5</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178.1</w:t>
            </w:r>
          </w:p>
        </w:tc>
      </w:tr>
      <w:tr>
        <w:trPr>
          <w:trHeight w:val="277"/>
        </w:trPr>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43.5</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50.7</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(666.7)</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277"/>
        </w:trPr>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2,981.7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3,102.3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138.0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r>
      <w:tr>
        <w:trPr>
          <w:trHeight w:val="662"/>
        </w:trPr>
        <w:tc>
          <w:tcPr>
            <w:tcW w:w="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211.2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881.2</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609.4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366.4</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(62.3)</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(2,325.6)</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(1,313.1)</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(237.3)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77"/>
        </w:trPr>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5,158.4</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3,597.0</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(227.2)</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77"/>
        </w:trPr>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2,981.7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3,102.3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138.0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r>
    </w:tbl>
    <w:p>
      <w:pPr>
        <w:spacing w:after="0" w:line="107" w:lineRule="exact"/>
        <w:rPr>
          <w:sz w:val="20"/>
          <w:szCs w:val="20"/>
          <w:color w:val="auto"/>
        </w:rPr>
      </w:pPr>
    </w:p>
    <w:p>
      <w:pPr>
        <w:sectPr>
          <w:pgSz w:w="11900" w:h="16838" w:orient="portrait"/>
          <w:cols w:equalWidth="0" w:num="2">
            <w:col w:w="5740" w:space="280"/>
            <w:col w:w="5400"/>
          </w:cols>
          <w:pgMar w:left="240" w:top="576" w:right="239" w:bottom="1440" w:gutter="0" w:footer="0" w:header="0"/>
          <w:type w:val="continuous"/>
        </w:sectPr>
      </w:pPr>
    </w:p>
    <w:p>
      <w:pPr>
        <w:ind w:right="240"/>
        <w:spacing w:after="0" w:line="262" w:lineRule="auto"/>
        <w:rPr>
          <w:sz w:val="20"/>
          <w:szCs w:val="20"/>
          <w:color w:val="auto"/>
        </w:rPr>
      </w:pPr>
      <w:r>
        <w:rPr>
          <w:rFonts w:ascii="Arial" w:cs="Arial" w:eastAsia="Arial" w:hAnsi="Arial"/>
          <w:sz w:val="18"/>
          <w:szCs w:val="18"/>
          <w:color w:val="auto"/>
        </w:rPr>
        <w:t>The unrecognized net actuarial loss and unrecognized prior service cost (benefit) have not yet been recognized in net periodic pension costs and are included in accumulated other comprehensive loss at December 31, 2014.</w:t>
      </w:r>
    </w:p>
    <w:p>
      <w:pPr>
        <w:spacing w:after="0" w:line="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 change to our U.S. retiree health benefit plan was approved in 2014 and communicated to retirees in January 2015. Beginning in 2016, Medicare-eligible retirees and Medicare-eligible dependents will choose health care coverage from insurance providers through a private Medicare supplement marketplace, while still receiving financial support from Lilly. This change decreased our retiree health benefit obligation and increased our unrecognized prior service benefit as of December 31, 2014 by $520.8 million.</w:t>
      </w:r>
    </w:p>
    <w:p>
      <w:pPr>
        <w:spacing w:after="0" w:line="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2015, we expect the following components of accumulated other comprehensive loss to be recognized as components of net periodic benefit cost: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w:t>
      </w:r>
    </w:p>
    <w:p>
      <w:pPr>
        <w:sectPr>
          <w:pgSz w:w="11900" w:h="16838" w:orient="portrait"/>
          <w:cols w:equalWidth="0" w:num="1">
            <w:col w:w="11420"/>
          </w:cols>
          <w:pgMar w:left="240" w:top="576" w:right="2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Defined Benefit</w:t>
            </w:r>
          </w:p>
        </w:tc>
        <w:tc>
          <w:tcPr>
            <w:tcW w:w="500" w:type="dxa"/>
            <w:vAlign w:val="bottom"/>
          </w:tcPr>
          <w:p>
            <w:pPr>
              <w:spacing w:after="0"/>
              <w:rPr>
                <w:sz w:val="14"/>
                <w:szCs w:val="14"/>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Retiree Health</w:t>
            </w:r>
          </w:p>
        </w:tc>
      </w:tr>
      <w:tr>
        <w:trPr>
          <w:trHeight w:val="196"/>
        </w:trPr>
        <w:tc>
          <w:tcPr>
            <w:tcW w:w="6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Pension Plans</w:t>
            </w: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Benefit Plans</w:t>
            </w:r>
          </w:p>
        </w:tc>
      </w:tr>
      <w:tr>
        <w:trPr>
          <w:trHeight w:val="270"/>
        </w:trPr>
        <w:tc>
          <w:tcPr>
            <w:tcW w:w="682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Unrecognized net actuarial loss</w:t>
            </w:r>
          </w:p>
        </w:tc>
        <w:tc>
          <w:tcPr>
            <w:tcW w:w="580" w:type="dxa"/>
            <w:vAlign w:val="bottom"/>
            <w:shd w:val="clear" w:color="auto" w:fill="D8D8D8"/>
          </w:tcPr>
          <w:p>
            <w:pPr>
              <w:spacing w:after="0"/>
              <w:rPr>
                <w:sz w:val="23"/>
                <w:szCs w:val="23"/>
                <w:color w:val="auto"/>
              </w:rPr>
            </w:pPr>
          </w:p>
        </w:tc>
        <w:tc>
          <w:tcPr>
            <w:tcW w:w="1080" w:type="dxa"/>
            <w:vAlign w:val="bottom"/>
            <w:gridSpan w:val="2"/>
            <w:shd w:val="clear" w:color="auto" w:fill="D8D8D8"/>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387.4</w:t>
            </w:r>
          </w:p>
        </w:tc>
        <w:tc>
          <w:tcPr>
            <w:tcW w:w="50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spacing w:after="0"/>
              <w:rPr>
                <w:sz w:val="23"/>
                <w:szCs w:val="23"/>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37.9</w:t>
            </w:r>
          </w:p>
        </w:tc>
        <w:tc>
          <w:tcPr>
            <w:tcW w:w="20" w:type="dxa"/>
            <w:vAlign w:val="bottom"/>
            <w:shd w:val="clear" w:color="auto" w:fill="D8D8D8"/>
          </w:tcPr>
          <w:p>
            <w:pPr>
              <w:spacing w:after="0"/>
              <w:rPr>
                <w:sz w:val="23"/>
                <w:szCs w:val="23"/>
                <w:color w:val="auto"/>
              </w:rPr>
            </w:pPr>
          </w:p>
        </w:tc>
      </w:tr>
      <w:tr>
        <w:trPr>
          <w:trHeight w:val="264"/>
        </w:trPr>
        <w:tc>
          <w:tcPr>
            <w:tcW w:w="6820" w:type="dxa"/>
            <w:vAlign w:val="bottom"/>
            <w:tcBorders>
              <w:bottom w:val="single" w:sz="8" w:color="D8D8D8"/>
            </w:tcBorders>
            <w:gridSpan w:val="2"/>
          </w:tcPr>
          <w:p>
            <w:pPr>
              <w:ind w:left="40"/>
              <w:spacing w:after="0"/>
              <w:rPr>
                <w:sz w:val="20"/>
                <w:szCs w:val="20"/>
                <w:color w:val="auto"/>
              </w:rPr>
            </w:pPr>
            <w:r>
              <w:rPr>
                <w:rFonts w:ascii="Arial" w:cs="Arial" w:eastAsia="Arial" w:hAnsi="Arial"/>
                <w:sz w:val="18"/>
                <w:szCs w:val="18"/>
                <w:color w:val="auto"/>
              </w:rPr>
              <w:t>Unrecognized prior service (benefit) cost</w:t>
            </w:r>
          </w:p>
        </w:tc>
        <w:tc>
          <w:tcPr>
            <w:tcW w:w="580" w:type="dxa"/>
            <w:vAlign w:val="bottom"/>
            <w:tcBorders>
              <w:bottom w:val="single" w:sz="8" w:color="D8D8D8"/>
            </w:tcBorders>
          </w:tcPr>
          <w:p>
            <w:pPr>
              <w:spacing w:after="0"/>
              <w:rPr>
                <w:sz w:val="22"/>
                <w:szCs w:val="22"/>
                <w:color w:val="auto"/>
              </w:rPr>
            </w:pPr>
          </w:p>
        </w:tc>
        <w:tc>
          <w:tcPr>
            <w:tcW w:w="20" w:type="dxa"/>
            <w:vAlign w:val="bottom"/>
            <w:tcBorders>
              <w:bottom w:val="single" w:sz="8" w:color="D8D8D8"/>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Borders>
              <w:bottom w:val="single" w:sz="8" w:color="auto"/>
            </w:tcBorders>
          </w:tcPr>
          <w:p>
            <w:pPr>
              <w:spacing w:after="0"/>
              <w:rPr>
                <w:sz w:val="22"/>
                <w:szCs w:val="22"/>
                <w:color w:val="auto"/>
              </w:rPr>
            </w:pPr>
          </w:p>
        </w:tc>
      </w:tr>
      <w:tr>
        <w:trPr>
          <w:trHeight w:val="284"/>
        </w:trPr>
        <w:tc>
          <w:tcPr>
            <w:tcW w:w="682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D8D8D8"/>
          </w:tcPr>
          <w:p>
            <w:pPr>
              <w:spacing w:after="0"/>
              <w:rPr>
                <w:sz w:val="24"/>
                <w:szCs w:val="24"/>
                <w:color w:val="auto"/>
              </w:rPr>
            </w:pPr>
          </w:p>
        </w:tc>
        <w:tc>
          <w:tcPr>
            <w:tcW w:w="1080" w:type="dxa"/>
            <w:vAlign w:val="bottom"/>
            <w:gridSpan w:val="2"/>
            <w:shd w:val="clear" w:color="auto" w:fill="D8D8D8"/>
          </w:tcPr>
          <w:p>
            <w:pPr>
              <w:jc w:val="right"/>
              <w:ind w:right="868"/>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397.7</w:t>
            </w:r>
          </w:p>
        </w:tc>
        <w:tc>
          <w:tcPr>
            <w:tcW w:w="500" w:type="dxa"/>
            <w:vAlign w:val="bottom"/>
            <w:shd w:val="clear" w:color="auto" w:fill="D8D8D8"/>
          </w:tcPr>
          <w:p>
            <w:pPr>
              <w:jc w:val="right"/>
              <w:ind w:right="115"/>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spacing w:after="0"/>
              <w:rPr>
                <w:sz w:val="24"/>
                <w:szCs w:val="24"/>
                <w:color w:val="auto"/>
              </w:rPr>
            </w:pP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D8D8D8"/>
          </w:tcPr>
          <w:p>
            <w:pPr>
              <w:spacing w:after="0"/>
              <w:rPr>
                <w:sz w:val="24"/>
                <w:szCs w:val="24"/>
                <w:color w:val="auto"/>
              </w:rPr>
            </w:pPr>
          </w:p>
        </w:tc>
      </w:tr>
      <w:tr>
        <w:trPr>
          <w:trHeight w:val="318"/>
        </w:trPr>
        <w:tc>
          <w:tcPr>
            <w:tcW w:w="6820" w:type="dxa"/>
            <w:vAlign w:val="bottom"/>
            <w:tcBorders>
              <w:top w:val="single" w:sz="8" w:color="D8D8D8"/>
            </w:tcBorders>
            <w:gridSpan w:val="2"/>
          </w:tcPr>
          <w:p>
            <w:pPr>
              <w:spacing w:after="0"/>
              <w:rPr>
                <w:sz w:val="20"/>
                <w:szCs w:val="20"/>
                <w:color w:val="auto"/>
              </w:rPr>
            </w:pPr>
            <w:r>
              <w:rPr>
                <w:rFonts w:ascii="Arial" w:cs="Arial" w:eastAsia="Arial" w:hAnsi="Arial"/>
                <w:sz w:val="18"/>
                <w:szCs w:val="18"/>
                <w:color w:val="auto"/>
              </w:rPr>
              <w:t>We do not expect any plan assets to be returned to us in 2015.</w:t>
            </w:r>
          </w:p>
        </w:tc>
        <w:tc>
          <w:tcPr>
            <w:tcW w:w="580" w:type="dxa"/>
            <w:vAlign w:val="bottom"/>
            <w:tcBorders>
              <w:top w:val="single" w:sz="8" w:color="D8D8D8"/>
            </w:tcBorders>
          </w:tcPr>
          <w:p>
            <w:pPr>
              <w:spacing w:after="0"/>
              <w:rPr>
                <w:sz w:val="24"/>
                <w:szCs w:val="24"/>
                <w:color w:val="auto"/>
              </w:rPr>
            </w:pPr>
          </w:p>
        </w:tc>
        <w:tc>
          <w:tcPr>
            <w:tcW w:w="20" w:type="dxa"/>
            <w:vAlign w:val="bottom"/>
            <w:tcBorders>
              <w:top w:val="single" w:sz="8" w:color="D8D8D8"/>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The following represents our weighted-average assumptions as of December 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rPr>
              <w:t>Defined Benefit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left="335"/>
              <w:spacing w:after="0"/>
              <w:rPr>
                <w:sz w:val="20"/>
                <w:szCs w:val="20"/>
                <w:color w:val="auto"/>
              </w:rPr>
            </w:pPr>
            <w:r>
              <w:rPr>
                <w:rFonts w:ascii="Arial" w:cs="Arial" w:eastAsia="Arial" w:hAnsi="Arial"/>
                <w:sz w:val="14"/>
                <w:szCs w:val="14"/>
                <w:b w:val="1"/>
                <w:bCs w:val="1"/>
                <w:color w:val="auto"/>
              </w:rPr>
              <w:t>Retiree Health</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7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Plans</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820" w:type="dxa"/>
            <w:vAlign w:val="bottom"/>
            <w:tcBorders>
              <w:bottom w:val="single" w:sz="8" w:color="auto"/>
            </w:tcBorders>
            <w:gridSpan w:val="2"/>
          </w:tcPr>
          <w:p>
            <w:pPr>
              <w:ind w:left="6080"/>
              <w:spacing w:after="0"/>
              <w:rPr>
                <w:sz w:val="20"/>
                <w:szCs w:val="20"/>
                <w:color w:val="auto"/>
              </w:rPr>
            </w:pPr>
            <w:r>
              <w:rPr>
                <w:rFonts w:ascii="Arial" w:cs="Arial" w:eastAsia="Arial" w:hAnsi="Arial"/>
                <w:sz w:val="14"/>
                <w:szCs w:val="14"/>
                <w:color w:val="auto"/>
              </w:rPr>
              <w:t>(Percents)</w:t>
            </w: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2"/>
                <w:szCs w:val="22"/>
                <w:color w:val="auto"/>
              </w:rPr>
            </w:pPr>
          </w:p>
        </w:tc>
      </w:tr>
      <w:tr>
        <w:trPr>
          <w:trHeight w:val="270"/>
        </w:trPr>
        <w:tc>
          <w:tcPr>
            <w:tcW w:w="68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Discount rate for benefit obligation</w:t>
            </w: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4.0</w:t>
            </w:r>
          </w:p>
        </w:tc>
        <w:tc>
          <w:tcPr>
            <w:tcW w:w="1080" w:type="dxa"/>
            <w:vAlign w:val="bottom"/>
            <w:gridSpan w:val="2"/>
            <w:shd w:val="clear" w:color="auto" w:fill="D8D8D8"/>
          </w:tcPr>
          <w:p>
            <w:pPr>
              <w:jc w:val="right"/>
              <w:ind w:right="208"/>
              <w:spacing w:after="0"/>
              <w:rPr>
                <w:sz w:val="20"/>
                <w:szCs w:val="20"/>
                <w:color w:val="auto"/>
              </w:rPr>
            </w:pPr>
            <w:r>
              <w:rPr>
                <w:rFonts w:ascii="Arial" w:cs="Arial" w:eastAsia="Arial" w:hAnsi="Arial"/>
                <w:sz w:val="18"/>
                <w:szCs w:val="18"/>
                <w:color w:val="auto"/>
              </w:rPr>
              <w:t>4.9</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4.1</w:t>
            </w:r>
          </w:p>
        </w:tc>
        <w:tc>
          <w:tcPr>
            <w:tcW w:w="1020" w:type="dxa"/>
            <w:vAlign w:val="bottom"/>
            <w:shd w:val="clear" w:color="auto" w:fill="D8D8D8"/>
          </w:tcPr>
          <w:p>
            <w:pPr>
              <w:jc w:val="center"/>
              <w:ind w:left="220"/>
              <w:spacing w:after="0"/>
              <w:rPr>
                <w:sz w:val="20"/>
                <w:szCs w:val="20"/>
                <w:color w:val="auto"/>
              </w:rPr>
            </w:pPr>
            <w:r>
              <w:rPr>
                <w:rFonts w:ascii="Arial" w:cs="Arial" w:eastAsia="Arial" w:hAnsi="Arial"/>
                <w:sz w:val="18"/>
                <w:szCs w:val="18"/>
                <w:color w:val="auto"/>
                <w:w w:val="95"/>
              </w:rPr>
              <w:t>5.0</w:t>
            </w: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3"/>
                <w:szCs w:val="23"/>
                <w:color w:val="auto"/>
              </w:rPr>
            </w:pP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Discount rate for net benefit costs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80" w:type="dxa"/>
            <w:vAlign w:val="bottom"/>
            <w:gridSpan w:val="2"/>
          </w:tcPr>
          <w:p>
            <w:pPr>
              <w:jc w:val="right"/>
              <w:ind w:right="208"/>
              <w:spacing w:after="0"/>
              <w:rPr>
                <w:sz w:val="20"/>
                <w:szCs w:val="20"/>
                <w:color w:val="auto"/>
              </w:rPr>
            </w:pPr>
            <w:r>
              <w:rPr>
                <w:rFonts w:ascii="Arial" w:cs="Arial" w:eastAsia="Arial" w:hAnsi="Arial"/>
                <w:sz w:val="18"/>
                <w:szCs w:val="18"/>
                <w:color w:val="auto"/>
              </w:rPr>
              <w:t>4.3</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20" w:type="dxa"/>
            <w:vAlign w:val="bottom"/>
          </w:tcPr>
          <w:p>
            <w:pPr>
              <w:jc w:val="center"/>
              <w:ind w:left="220"/>
              <w:spacing w:after="0"/>
              <w:rPr>
                <w:sz w:val="20"/>
                <w:szCs w:val="20"/>
                <w:color w:val="auto"/>
              </w:rPr>
            </w:pPr>
            <w:r>
              <w:rPr>
                <w:rFonts w:ascii="Arial" w:cs="Arial" w:eastAsia="Arial" w:hAnsi="Arial"/>
                <w:sz w:val="18"/>
                <w:szCs w:val="18"/>
                <w:color w:val="auto"/>
                <w:w w:val="95"/>
              </w:rPr>
              <w:t>4.3</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r>
      <w:tr>
        <w:trPr>
          <w:trHeight w:val="277"/>
        </w:trPr>
        <w:tc>
          <w:tcPr>
            <w:tcW w:w="68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Rate of compensation increase for benefit obligation</w:t>
            </w: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3.4</w:t>
            </w:r>
          </w:p>
        </w:tc>
        <w:tc>
          <w:tcPr>
            <w:tcW w:w="1080" w:type="dxa"/>
            <w:vAlign w:val="bottom"/>
            <w:gridSpan w:val="2"/>
            <w:shd w:val="clear" w:color="auto" w:fill="D8D8D8"/>
          </w:tcPr>
          <w:p>
            <w:pPr>
              <w:jc w:val="right"/>
              <w:ind w:right="208"/>
              <w:spacing w:after="0"/>
              <w:rPr>
                <w:sz w:val="20"/>
                <w:szCs w:val="20"/>
                <w:color w:val="auto"/>
              </w:rPr>
            </w:pPr>
            <w:r>
              <w:rPr>
                <w:rFonts w:ascii="Arial" w:cs="Arial" w:eastAsia="Arial" w:hAnsi="Arial"/>
                <w:sz w:val="18"/>
                <w:szCs w:val="18"/>
                <w:color w:val="auto"/>
              </w:rPr>
              <w:t>3.4</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500" w:type="dxa"/>
            <w:vAlign w:val="bottom"/>
            <w:shd w:val="clear" w:color="auto" w:fill="D8D8D8"/>
          </w:tcPr>
          <w:p>
            <w:pPr>
              <w:spacing w:after="0"/>
              <w:rPr>
                <w:sz w:val="24"/>
                <w:szCs w:val="24"/>
                <w:color w:val="auto"/>
              </w:rPr>
            </w:pPr>
          </w:p>
        </w:tc>
        <w:tc>
          <w:tcPr>
            <w:tcW w:w="10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Rate of compensation increase for net benefit costs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80" w:type="dxa"/>
            <w:vAlign w:val="bottom"/>
            <w:gridSpan w:val="2"/>
          </w:tcPr>
          <w:p>
            <w:pPr>
              <w:jc w:val="right"/>
              <w:ind w:right="208"/>
              <w:spacing w:after="0"/>
              <w:rPr>
                <w:sz w:val="20"/>
                <w:szCs w:val="20"/>
                <w:color w:val="auto"/>
              </w:rPr>
            </w:pPr>
            <w:r>
              <w:rPr>
                <w:rFonts w:ascii="Arial" w:cs="Arial" w:eastAsia="Arial" w:hAnsi="Arial"/>
                <w:sz w:val="18"/>
                <w:szCs w:val="18"/>
                <w:color w:val="auto"/>
              </w:rPr>
              <w:t>3.4</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68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Expected return on plan assets for net benefit costs</w:t>
            </w: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8.1</w:t>
            </w:r>
          </w:p>
        </w:tc>
        <w:tc>
          <w:tcPr>
            <w:tcW w:w="1080" w:type="dxa"/>
            <w:vAlign w:val="bottom"/>
            <w:gridSpan w:val="2"/>
            <w:shd w:val="clear" w:color="auto" w:fill="D8D8D8"/>
          </w:tcPr>
          <w:p>
            <w:pPr>
              <w:jc w:val="right"/>
              <w:ind w:right="208"/>
              <w:spacing w:after="0"/>
              <w:rPr>
                <w:sz w:val="20"/>
                <w:szCs w:val="20"/>
                <w:color w:val="auto"/>
              </w:rPr>
            </w:pPr>
            <w:r>
              <w:rPr>
                <w:rFonts w:ascii="Arial" w:cs="Arial" w:eastAsia="Arial" w:hAnsi="Arial"/>
                <w:sz w:val="18"/>
                <w:szCs w:val="18"/>
                <w:color w:val="auto"/>
              </w:rPr>
              <w:t>8.4</w:t>
            </w: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8.5</w:t>
            </w:r>
          </w:p>
        </w:tc>
        <w:tc>
          <w:tcPr>
            <w:tcW w:w="1020" w:type="dxa"/>
            <w:vAlign w:val="bottom"/>
            <w:shd w:val="clear" w:color="auto" w:fill="D8D8D8"/>
          </w:tcPr>
          <w:p>
            <w:pPr>
              <w:jc w:val="center"/>
              <w:ind w:left="220"/>
              <w:spacing w:after="0"/>
              <w:rPr>
                <w:sz w:val="20"/>
                <w:szCs w:val="20"/>
                <w:color w:val="auto"/>
              </w:rPr>
            </w:pPr>
            <w:r>
              <w:rPr>
                <w:rFonts w:ascii="Arial" w:cs="Arial" w:eastAsia="Arial" w:hAnsi="Arial"/>
                <w:sz w:val="18"/>
                <w:szCs w:val="18"/>
                <w:color w:val="auto"/>
                <w:w w:val="95"/>
              </w:rPr>
              <w:t>8.8</w:t>
            </w:r>
          </w:p>
        </w:tc>
        <w:tc>
          <w:tcPr>
            <w:tcW w:w="5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r>
    </w:tbl>
    <w:p>
      <w:pPr>
        <w:spacing w:after="0" w:line="10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 Health-care-cost trend rates are assumed to increase at an annual rate of 6.4 percent for the year ended December 31, 2015, decreasing by approximately 0.2 percent per year to an ultimate rate of 5.0 percent by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2020-2024</w:t>
            </w:r>
          </w:p>
        </w:tc>
      </w:tr>
      <w:tr>
        <w:trPr>
          <w:trHeight w:val="277"/>
        </w:trPr>
        <w:tc>
          <w:tcPr>
            <w:tcW w:w="2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Defined benefit pension plans</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428.7</w:t>
            </w:r>
          </w:p>
        </w:tc>
        <w:tc>
          <w:tcPr>
            <w:tcW w:w="4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439.3</w:t>
            </w:r>
          </w:p>
        </w:tc>
        <w:tc>
          <w:tcPr>
            <w:tcW w:w="4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134"/>
              <w:spacing w:after="0"/>
              <w:rPr>
                <w:sz w:val="20"/>
                <w:szCs w:val="20"/>
                <w:color w:val="auto"/>
              </w:rPr>
            </w:pPr>
            <w:r>
              <w:rPr>
                <w:rFonts w:ascii="Arial" w:cs="Arial" w:eastAsia="Arial" w:hAnsi="Arial"/>
                <w:sz w:val="18"/>
                <w:szCs w:val="18"/>
                <w:color w:val="auto"/>
              </w:rPr>
              <w:t>452.3</w:t>
            </w:r>
          </w:p>
        </w:tc>
        <w:tc>
          <w:tcPr>
            <w:tcW w:w="44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467.9</w:t>
            </w:r>
          </w:p>
        </w:tc>
        <w:tc>
          <w:tcPr>
            <w:tcW w:w="4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134"/>
              <w:spacing w:after="0"/>
              <w:rPr>
                <w:sz w:val="20"/>
                <w:szCs w:val="20"/>
                <w:color w:val="auto"/>
              </w:rPr>
            </w:pPr>
            <w:r>
              <w:rPr>
                <w:rFonts w:ascii="Arial" w:cs="Arial" w:eastAsia="Arial" w:hAnsi="Arial"/>
                <w:sz w:val="18"/>
                <w:szCs w:val="18"/>
                <w:color w:val="auto"/>
              </w:rPr>
              <w:t>487.7</w:t>
            </w:r>
          </w:p>
        </w:tc>
        <w:tc>
          <w:tcPr>
            <w:tcW w:w="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134"/>
              <w:spacing w:after="0"/>
              <w:rPr>
                <w:sz w:val="20"/>
                <w:szCs w:val="20"/>
                <w:color w:val="auto"/>
              </w:rPr>
            </w:pPr>
            <w:r>
              <w:rPr>
                <w:rFonts w:ascii="Arial" w:cs="Arial" w:eastAsia="Arial" w:hAnsi="Arial"/>
                <w:sz w:val="18"/>
                <w:szCs w:val="18"/>
                <w:color w:val="auto"/>
              </w:rPr>
              <w:t>2,783.6</w:t>
            </w:r>
          </w:p>
        </w:tc>
      </w:tr>
      <w:tr>
        <w:trPr>
          <w:trHeight w:val="270"/>
        </w:trPr>
        <w:tc>
          <w:tcPr>
            <w:tcW w:w="2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2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Retiree health benefit plans-gross</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114"/>
              <w:spacing w:after="0"/>
              <w:rPr>
                <w:sz w:val="20"/>
                <w:szCs w:val="20"/>
                <w:color w:val="auto"/>
              </w:rPr>
            </w:pPr>
            <w:r>
              <w:rPr>
                <w:rFonts w:ascii="Arial" w:cs="Arial" w:eastAsia="Arial" w:hAnsi="Arial"/>
                <w:sz w:val="18"/>
                <w:szCs w:val="18"/>
                <w:color w:val="auto"/>
              </w:rPr>
              <w:t>91.6</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14"/>
              <w:spacing w:after="0"/>
              <w:rPr>
                <w:sz w:val="20"/>
                <w:szCs w:val="20"/>
                <w:color w:val="auto"/>
              </w:rPr>
            </w:pPr>
            <w:r>
              <w:rPr>
                <w:rFonts w:ascii="Arial" w:cs="Arial" w:eastAsia="Arial" w:hAnsi="Arial"/>
                <w:sz w:val="18"/>
                <w:szCs w:val="18"/>
                <w:color w:val="auto"/>
              </w:rPr>
              <w:t>75.6</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134"/>
              <w:spacing w:after="0"/>
              <w:rPr>
                <w:sz w:val="20"/>
                <w:szCs w:val="20"/>
                <w:color w:val="auto"/>
              </w:rPr>
            </w:pPr>
            <w:r>
              <w:rPr>
                <w:rFonts w:ascii="Arial" w:cs="Arial" w:eastAsia="Arial" w:hAnsi="Arial"/>
                <w:sz w:val="18"/>
                <w:szCs w:val="18"/>
                <w:color w:val="auto"/>
              </w:rPr>
              <w:t>77.2</w:t>
            </w:r>
          </w:p>
        </w:tc>
        <w:tc>
          <w:tcPr>
            <w:tcW w:w="44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14"/>
              <w:spacing w:after="0"/>
              <w:rPr>
                <w:sz w:val="20"/>
                <w:szCs w:val="20"/>
                <w:color w:val="auto"/>
              </w:rPr>
            </w:pPr>
            <w:r>
              <w:rPr>
                <w:rFonts w:ascii="Arial" w:cs="Arial" w:eastAsia="Arial" w:hAnsi="Arial"/>
                <w:sz w:val="18"/>
                <w:szCs w:val="18"/>
                <w:color w:val="auto"/>
              </w:rPr>
              <w:t>79.3</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134"/>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134"/>
              <w:spacing w:after="0"/>
              <w:rPr>
                <w:sz w:val="20"/>
                <w:szCs w:val="20"/>
                <w:color w:val="auto"/>
              </w:rPr>
            </w:pPr>
            <w:r>
              <w:rPr>
                <w:rFonts w:ascii="Arial" w:cs="Arial" w:eastAsia="Arial" w:hAnsi="Arial"/>
                <w:sz w:val="18"/>
                <w:szCs w:val="18"/>
                <w:color w:val="auto"/>
              </w:rPr>
              <w:t>430.3</w:t>
            </w:r>
          </w:p>
        </w:tc>
      </w:tr>
      <w:tr>
        <w:trPr>
          <w:trHeight w:val="264"/>
        </w:trPr>
        <w:tc>
          <w:tcPr>
            <w:tcW w:w="2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Medicare rebates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(6.5)</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(4.9)</w:t>
            </w:r>
          </w:p>
        </w:tc>
      </w:tr>
      <w:tr>
        <w:trPr>
          <w:trHeight w:val="277"/>
        </w:trPr>
        <w:tc>
          <w:tcPr>
            <w:tcW w:w="2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Retiree health benefit plans-net</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85.1</w:t>
            </w:r>
          </w:p>
        </w:tc>
        <w:tc>
          <w:tcPr>
            <w:tcW w:w="4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73.5</w:t>
            </w:r>
          </w:p>
        </w:tc>
        <w:tc>
          <w:tcPr>
            <w:tcW w:w="4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134"/>
              <w:spacing w:after="0"/>
              <w:rPr>
                <w:sz w:val="20"/>
                <w:szCs w:val="20"/>
                <w:color w:val="auto"/>
              </w:rPr>
            </w:pPr>
            <w:r>
              <w:rPr>
                <w:rFonts w:ascii="Arial" w:cs="Arial" w:eastAsia="Arial" w:hAnsi="Arial"/>
                <w:sz w:val="18"/>
                <w:szCs w:val="18"/>
                <w:color w:val="auto"/>
              </w:rPr>
              <w:t>76.5</w:t>
            </w:r>
          </w:p>
        </w:tc>
        <w:tc>
          <w:tcPr>
            <w:tcW w:w="44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78.6</w:t>
            </w:r>
          </w:p>
        </w:tc>
        <w:tc>
          <w:tcPr>
            <w:tcW w:w="4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134"/>
              <w:spacing w:after="0"/>
              <w:rPr>
                <w:sz w:val="20"/>
                <w:szCs w:val="20"/>
                <w:color w:val="auto"/>
              </w:rPr>
            </w:pPr>
            <w:r>
              <w:rPr>
                <w:rFonts w:ascii="Arial" w:cs="Arial" w:eastAsia="Arial" w:hAnsi="Arial"/>
                <w:sz w:val="18"/>
                <w:szCs w:val="18"/>
                <w:color w:val="auto"/>
              </w:rPr>
              <w:t>80.4</w:t>
            </w:r>
          </w:p>
        </w:tc>
        <w:tc>
          <w:tcPr>
            <w:tcW w:w="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134"/>
              <w:spacing w:after="0"/>
              <w:rPr>
                <w:sz w:val="20"/>
                <w:szCs w:val="20"/>
                <w:color w:val="auto"/>
              </w:rPr>
            </w:pPr>
            <w:r>
              <w:rPr>
                <w:rFonts w:ascii="Arial" w:cs="Arial" w:eastAsia="Arial" w:hAnsi="Arial"/>
                <w:sz w:val="18"/>
                <w:szCs w:val="18"/>
                <w:color w:val="auto"/>
              </w:rPr>
              <w:t>425.4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plans with projected benefit obligations in excess of plan assets were as follows at December 31: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70"/>
        </w:trPr>
        <w:tc>
          <w:tcPr>
            <w:tcW w:w="5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Projected benefit obligation</w:t>
            </w:r>
          </w:p>
        </w:tc>
        <w:tc>
          <w:tcPr>
            <w:tcW w:w="3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10,537.2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1,773.6</w:t>
            </w: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48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8,149.2</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395.4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plans with accumulated benefit obligations in excess of plan assets were as follows at December 31: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r>
      <w:tr>
        <w:trPr>
          <w:trHeight w:val="270"/>
        </w:trPr>
        <w:tc>
          <w:tcPr>
            <w:tcW w:w="5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Accumulated benefit obligation</w:t>
            </w:r>
          </w:p>
        </w:tc>
        <w:tc>
          <w:tcPr>
            <w:tcW w:w="3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2,179.8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1,384.6</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34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700.9</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181.8</w:t>
            </w:r>
          </w:p>
        </w:tc>
      </w:tr>
    </w:tbl>
    <w:p>
      <w:pPr>
        <w:spacing w:after="0" w:line="17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total accumulated benefit obligation for our defined benefit pension plans was $10.88 billion and $9.13 billion at December 31, 2014 and 2013, respectively.</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79</w:t>
      </w:r>
    </w:p>
    <w:p>
      <w:pPr>
        <w:sectPr>
          <w:pgSz w:w="11900" w:h="16838" w:orient="portrait"/>
          <w:cols w:equalWidth="0" w:num="1">
            <w:col w:w="11420"/>
          </w:cols>
          <w:pgMar w:left="240" w:top="85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4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r>
      <w:tr>
        <w:trPr>
          <w:trHeight w:val="250"/>
        </w:trPr>
        <w:tc>
          <w:tcPr>
            <w:tcW w:w="41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80" w:type="dxa"/>
            <w:vAlign w:val="bottom"/>
            <w:tcBorders>
              <w:bottom w:val="single" w:sz="8" w:color="D8D8D8"/>
            </w:tcBorders>
            <w:shd w:val="clear" w:color="auto" w:fill="D8D8D8"/>
          </w:tcPr>
          <w:p>
            <w:pPr>
              <w:spacing w:after="0"/>
              <w:rPr>
                <w:sz w:val="21"/>
                <w:szCs w:val="21"/>
                <w:color w:val="auto"/>
              </w:rPr>
            </w:pPr>
          </w:p>
        </w:tc>
        <w:tc>
          <w:tcPr>
            <w:tcW w:w="92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9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92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92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92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r>
      <w:tr>
        <w:trPr>
          <w:trHeight w:val="263"/>
        </w:trPr>
        <w:tc>
          <w:tcPr>
            <w:tcW w:w="41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b w:val="1"/>
                <w:bCs w:val="1"/>
                <w:color w:val="auto"/>
              </w:rPr>
              <w:t>240.9</w:t>
            </w:r>
          </w:p>
        </w:tc>
        <w:tc>
          <w:tcPr>
            <w:tcW w:w="3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287.1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253.1</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b w:val="1"/>
                <w:bCs w:val="1"/>
                <w:color w:val="auto"/>
              </w:rPr>
              <w:t>33.0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63.3</w:t>
            </w:r>
          </w:p>
        </w:tc>
      </w:tr>
      <w:tr>
        <w:trPr>
          <w:trHeight w:val="277"/>
        </w:trPr>
        <w:tc>
          <w:tcPr>
            <w:tcW w:w="41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472.6</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437.2</w:t>
            </w:r>
          </w:p>
        </w:tc>
        <w:tc>
          <w:tcPr>
            <w:tcW w:w="32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455.1</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85.6</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114.9</w:t>
            </w:r>
          </w:p>
        </w:tc>
      </w:tr>
      <w:tr>
        <w:trPr>
          <w:trHeight w:val="263"/>
        </w:trPr>
        <w:tc>
          <w:tcPr>
            <w:tcW w:w="41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(756.6)</w:t>
            </w:r>
          </w:p>
        </w:tc>
        <w:tc>
          <w:tcPr>
            <w:tcW w:w="32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(701.9)</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(684.8)</w:t>
            </w: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(146.4)</w:t>
            </w: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(130.7)</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7"/>
        </w:trPr>
        <w:tc>
          <w:tcPr>
            <w:tcW w:w="41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8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3.7</w:t>
            </w:r>
          </w:p>
        </w:tc>
        <w:tc>
          <w:tcPr>
            <w:tcW w:w="32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4.2</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(37.6)</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(39.8)</w:t>
            </w:r>
          </w:p>
        </w:tc>
      </w:tr>
      <w:tr>
        <w:trPr>
          <w:trHeight w:val="264"/>
        </w:trPr>
        <w:tc>
          <w:tcPr>
            <w:tcW w:w="41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Recognized actuarial loss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282.3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414.7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285.7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100.5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98.4</w:t>
            </w:r>
          </w:p>
        </w:tc>
      </w:tr>
      <w:tr>
        <w:trPr>
          <w:trHeight w:val="277"/>
        </w:trPr>
        <w:tc>
          <w:tcPr>
            <w:tcW w:w="41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242.8</w:t>
            </w:r>
          </w:p>
        </w:tc>
        <w:tc>
          <w:tcPr>
            <w:tcW w:w="320" w:type="dxa"/>
            <w:vAlign w:val="bottom"/>
            <w:tcBorders>
              <w:bottom w:val="single" w:sz="8" w:color="auto"/>
            </w:tcBorders>
            <w:shd w:val="clear" w:color="auto" w:fill="D8D8D8"/>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440.8</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313.3</w:t>
            </w:r>
          </w:p>
        </w:tc>
        <w:tc>
          <w:tcPr>
            <w:tcW w:w="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(44.7)</w:t>
            </w:r>
          </w:p>
        </w:tc>
        <w:tc>
          <w:tcPr>
            <w:tcW w:w="34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82.2</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109.6</w:t>
            </w:r>
          </w:p>
        </w:tc>
      </w:tr>
    </w:tbl>
    <w:p>
      <w:pPr>
        <w:spacing w:after="0" w:line="10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If the healthcare-cost trend rates were to be increased by one percentage point, the December 31, 2014, accumulated postretirement benefit obligation would increase by $50.2 million and the aggregate of the service cost and interest cost components of the 2014 annual expense would increase by $7.8 million. A one percentage point decrease in these rates would decrease the December 31, 2014, accumulated postretirement benefit obligation by $52.7 million, and the aggregate of the 2014 service cost and interest cost by $6.6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amounts recognized in other comprehensive income (loss) for the year ended December 31,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234"/>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1400" w:type="dxa"/>
            <w:vAlign w:val="bottom"/>
          </w:tcPr>
          <w:p>
            <w:pPr>
              <w:jc w:val="right"/>
              <w:ind w:right="234"/>
              <w:spacing w:after="0"/>
              <w:rPr>
                <w:sz w:val="20"/>
                <w:szCs w:val="20"/>
                <w:color w:val="auto"/>
              </w:rPr>
            </w:pPr>
            <w:r>
              <w:rPr>
                <w:rFonts w:ascii="Arial" w:cs="Arial" w:eastAsia="Arial" w:hAnsi="Arial"/>
                <w:sz w:val="14"/>
                <w:szCs w:val="14"/>
                <w:b w:val="1"/>
                <w:bCs w:val="1"/>
                <w:color w:val="auto"/>
              </w:rPr>
              <w:t>Retiree Health</w:t>
            </w:r>
          </w:p>
        </w:tc>
      </w:tr>
      <w:tr>
        <w:trPr>
          <w:trHeight w:val="196"/>
        </w:trPr>
        <w:tc>
          <w:tcPr>
            <w:tcW w:w="8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Benefit Plans</w:t>
            </w:r>
          </w:p>
        </w:tc>
      </w:tr>
      <w:tr>
        <w:trPr>
          <w:trHeight w:val="270"/>
        </w:trPr>
        <w:tc>
          <w:tcPr>
            <w:tcW w:w="8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Actuarial loss arising during period</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(1,939.3)</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(282.9)</w:t>
            </w:r>
          </w:p>
        </w:tc>
      </w:tr>
      <w:tr>
        <w:trPr>
          <w:trHeight w:val="263"/>
        </w:trPr>
        <w:tc>
          <w:tcPr>
            <w:tcW w:w="8080" w:type="dxa"/>
            <w:vAlign w:val="bottom"/>
          </w:tcPr>
          <w:p>
            <w:pPr>
              <w:ind w:left="40"/>
              <w:spacing w:after="0"/>
              <w:rPr>
                <w:sz w:val="20"/>
                <w:szCs w:val="20"/>
                <w:color w:val="auto"/>
              </w:rPr>
            </w:pPr>
            <w:r>
              <w:rPr>
                <w:rFonts w:ascii="Arial" w:cs="Arial" w:eastAsia="Arial" w:hAnsi="Arial"/>
                <w:sz w:val="18"/>
                <w:szCs w:val="18"/>
                <w:color w:val="auto"/>
              </w:rPr>
              <w:t>Plan amendments during period</w:t>
            </w:r>
          </w:p>
        </w:tc>
        <w:tc>
          <w:tcPr>
            <w:tcW w:w="20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533.6</w:t>
            </w:r>
          </w:p>
        </w:tc>
      </w:tr>
      <w:tr>
        <w:trPr>
          <w:trHeight w:val="277"/>
        </w:trPr>
        <w:tc>
          <w:tcPr>
            <w:tcW w:w="8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of prior service (benefit) cost included in net income</w:t>
            </w:r>
          </w:p>
        </w:tc>
        <w:tc>
          <w:tcPr>
            <w:tcW w:w="200" w:type="dxa"/>
            <w:vAlign w:val="bottom"/>
            <w:shd w:val="clear" w:color="auto" w:fill="D8D8D8"/>
          </w:tcPr>
          <w:p>
            <w:pPr>
              <w:spacing w:after="0"/>
              <w:rPr>
                <w:sz w:val="24"/>
                <w:szCs w:val="24"/>
                <w:color w:val="auto"/>
              </w:rPr>
            </w:pPr>
          </w:p>
        </w:tc>
        <w:tc>
          <w:tcPr>
            <w:tcW w:w="144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3.6</w:t>
            </w:r>
          </w:p>
        </w:tc>
        <w:tc>
          <w:tcPr>
            <w:tcW w:w="280" w:type="dxa"/>
            <w:vAlign w:val="bottom"/>
            <w:shd w:val="clear" w:color="auto" w:fill="D8D8D8"/>
          </w:tcPr>
          <w:p>
            <w:pPr>
              <w:spacing w:after="0"/>
              <w:rPr>
                <w:sz w:val="24"/>
                <w:szCs w:val="24"/>
                <w:color w:val="auto"/>
              </w:rPr>
            </w:pP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(37.6)</w:t>
            </w:r>
          </w:p>
        </w:tc>
      </w:tr>
      <w:tr>
        <w:trPr>
          <w:trHeight w:val="263"/>
        </w:trPr>
        <w:tc>
          <w:tcPr>
            <w:tcW w:w="8080" w:type="dxa"/>
            <w:vAlign w:val="bottom"/>
          </w:tcPr>
          <w:p>
            <w:pPr>
              <w:ind w:left="40"/>
              <w:spacing w:after="0"/>
              <w:rPr>
                <w:sz w:val="20"/>
                <w:szCs w:val="20"/>
                <w:color w:val="auto"/>
              </w:rPr>
            </w:pPr>
            <w:r>
              <w:rPr>
                <w:rFonts w:ascii="Arial" w:cs="Arial" w:eastAsia="Arial" w:hAnsi="Arial"/>
                <w:sz w:val="18"/>
                <w:szCs w:val="18"/>
                <w:color w:val="auto"/>
              </w:rPr>
              <w:t>Amortization of net actuarial loss included in net income</w:t>
            </w:r>
          </w:p>
        </w:tc>
        <w:tc>
          <w:tcPr>
            <w:tcW w:w="20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20.7</w:t>
            </w:r>
          </w:p>
        </w:tc>
      </w:tr>
      <w:tr>
        <w:trPr>
          <w:trHeight w:val="277"/>
        </w:trPr>
        <w:tc>
          <w:tcPr>
            <w:tcW w:w="8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exchange rate changes and other</w:t>
            </w:r>
          </w:p>
        </w:tc>
        <w:tc>
          <w:tcPr>
            <w:tcW w:w="200" w:type="dxa"/>
            <w:vAlign w:val="bottom"/>
            <w:tcBorders>
              <w:bottom w:val="single" w:sz="8" w:color="auto"/>
            </w:tcBorders>
            <w:shd w:val="clear" w:color="auto" w:fill="D8D8D8"/>
          </w:tcPr>
          <w:p>
            <w:pPr>
              <w:spacing w:after="0"/>
              <w:rPr>
                <w:sz w:val="24"/>
                <w:szCs w:val="24"/>
                <w:color w:val="auto"/>
              </w:rPr>
            </w:pPr>
          </w:p>
        </w:tc>
        <w:tc>
          <w:tcPr>
            <w:tcW w:w="1440" w:type="dxa"/>
            <w:vAlign w:val="bottom"/>
            <w:tcBorders>
              <w:bottom w:val="single" w:sz="8" w:color="auto"/>
            </w:tcBorders>
            <w:shd w:val="clear" w:color="auto" w:fill="D8D8D8"/>
          </w:tcPr>
          <w:p>
            <w:pPr>
              <w:jc w:val="right"/>
              <w:ind w:right="74"/>
              <w:spacing w:after="0"/>
              <w:rPr>
                <w:sz w:val="20"/>
                <w:szCs w:val="20"/>
                <w:color w:val="auto"/>
              </w:rPr>
            </w:pPr>
            <w:r>
              <w:rPr>
                <w:rFonts w:ascii="Arial" w:cs="Arial" w:eastAsia="Arial" w:hAnsi="Arial"/>
                <w:sz w:val="18"/>
                <w:szCs w:val="18"/>
                <w:color w:val="auto"/>
              </w:rPr>
              <w:t>89.6</w:t>
            </w:r>
          </w:p>
        </w:tc>
        <w:tc>
          <w:tcPr>
            <w:tcW w:w="28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w:t>
            </w:r>
          </w:p>
        </w:tc>
      </w:tr>
      <w:tr>
        <w:trPr>
          <w:trHeight w:val="271"/>
        </w:trPr>
        <w:tc>
          <w:tcPr>
            <w:tcW w:w="8080" w:type="dxa"/>
            <w:vAlign w:val="bottom"/>
          </w:tcPr>
          <w:p>
            <w:pPr>
              <w:ind w:left="40"/>
              <w:spacing w:after="0"/>
              <w:rPr>
                <w:sz w:val="20"/>
                <w:szCs w:val="20"/>
                <w:color w:val="auto"/>
              </w:rPr>
            </w:pPr>
            <w:r>
              <w:rPr>
                <w:rFonts w:ascii="Arial" w:cs="Arial" w:eastAsia="Arial" w:hAnsi="Arial"/>
                <w:sz w:val="18"/>
                <w:szCs w:val="18"/>
                <w:color w:val="auto"/>
              </w:rPr>
              <w:t>Total other comprehensive income during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(1,561.4)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233.8</w:t>
            </w:r>
          </w:p>
        </w:tc>
      </w:tr>
    </w:tbl>
    <w:p>
      <w:pPr>
        <w:spacing w:after="0" w:line="1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$153.3 million, $147.7 million, and $136.3 million for the years ended December 31, 2014, 2013, and 2012, respectively.</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2014, 2013, and 2012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9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8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80</w:t>
      </w:r>
    </w:p>
    <w:p>
      <w:pPr>
        <w:sectPr>
          <w:pgSz w:w="11900" w:h="16838" w:orient="portrait"/>
          <w:cols w:equalWidth="0" w:num="1">
            <w:col w:w="11420"/>
          </w:cols>
          <w:pgMar w:left="240" w:top="706" w:right="239" w:bottom="1440" w:gutter="0" w:footer="0" w:header="0"/>
        </w:sectPr>
      </w:pPr>
    </w:p>
    <w:bookmarkStart w:id="80" w:name="page81"/>
    <w:bookmarkEnd w:id="80"/>
    <w:p>
      <w:pPr>
        <w:ind w:right="80"/>
        <w:spacing w:after="0" w:line="254" w:lineRule="auto"/>
        <w:rPr>
          <w:sz w:val="20"/>
          <w:szCs w:val="20"/>
          <w:color w:val="auto"/>
        </w:rPr>
      </w:pPr>
      <w:r>
        <w:rPr>
          <w:rFonts w:ascii="Arial" w:cs="Arial" w:eastAsia="Arial" w:hAnsi="Arial"/>
          <w:sz w:val="18"/>
          <w:szCs w:val="18"/>
          <w:color w:val="auto"/>
        </w:rPr>
        <w:t>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85 percent growth investments and 15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mortgage-backed securities, and commercial mortgage-backed obligations.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primarily in fund-of-funds structures to ensure diversification across many strategies and many individual managers. Plan holdings in hedge funds are valued based on net asset values (NAVs) calculated by each fund or general partner, as applicable, and we have the ability to redeem these investments at NAV.</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and special situation investing. Private equity management firms typically acquire and then reorganize private companies to create increased long term value. Private equity-like funds usually have a limited life of approximately 10 -15 years, and require a minimum investment commitment from their limited partners. Our private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104"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Real estate is composed of both public and private holdings. Real estate investments in registered investment companies that trade on an exchange are classified as Level 1 on the fair value hierarchy. Real estate investments in funds measured at fair value on the basis of NAV provided by the fund manager are classified as Level 3. These NAVs are developed with inputs including discounted cash flow, independent appraisal, and market comparable analyses.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81</w:t>
      </w:r>
    </w:p>
    <w:p>
      <w:pPr>
        <w:sectPr>
          <w:pgSz w:w="11900" w:h="16838" w:orient="portrait"/>
          <w:cols w:equalWidth="0" w:num="1">
            <w:col w:w="11420"/>
          </w:cols>
          <w:pgMar w:left="240" w:top="70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cash value of the trust-owned insurance contract is invested in investment-grade publicly traded equity and fixed-income securities.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Other than hedge funds, private equity-like investments, and real estate, which are discussed above, we determine fair values based on a market approach using quoted market values, significant other observable inputs for identical or comparable assets or liabilities, or discounted cash flow analyses.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2014 by asset category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gridSpan w:val="5"/>
          </w:tcPr>
          <w:p>
            <w:pPr>
              <w:jc w:val="center"/>
              <w:ind w:right="114"/>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5"/>
              </w:rPr>
              <w:t>Quoted Prices in Active</w:t>
            </w: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6"/>
              </w:rPr>
              <w:t>Markets for</w:t>
            </w:r>
          </w:p>
        </w:tc>
        <w:tc>
          <w:tcPr>
            <w:tcW w:w="280" w:type="dxa"/>
            <w:vAlign w:val="bottom"/>
          </w:tcPr>
          <w:p>
            <w:pPr>
              <w:spacing w:after="0"/>
              <w:rPr>
                <w:sz w:val="11"/>
                <w:szCs w:val="11"/>
                <w:color w:val="auto"/>
              </w:rPr>
            </w:pPr>
          </w:p>
        </w:tc>
        <w:tc>
          <w:tcPr>
            <w:tcW w:w="144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1"/>
                <w:szCs w:val="11"/>
                <w:color w:val="auto"/>
              </w:rPr>
            </w:pPr>
          </w:p>
        </w:tc>
        <w:tc>
          <w:tcPr>
            <w:tcW w:w="146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w:t>
            </w:r>
          </w:p>
        </w:tc>
        <w:tc>
          <w:tcPr>
            <w:tcW w:w="380" w:type="dxa"/>
            <w:vAlign w:val="bottom"/>
          </w:tcPr>
          <w:p>
            <w:pPr>
              <w:spacing w:after="0"/>
              <w:rPr>
                <w:sz w:val="11"/>
                <w:szCs w:val="11"/>
                <w:color w:val="auto"/>
              </w:rPr>
            </w:pPr>
          </w:p>
        </w:tc>
        <w:tc>
          <w:tcPr>
            <w:tcW w:w="134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44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40" w:type="dxa"/>
            <w:vAlign w:val="bottom"/>
          </w:tcPr>
          <w:p>
            <w:pPr>
              <w:spacing w:after="0"/>
              <w:rPr>
                <w:sz w:val="11"/>
                <w:szCs w:val="11"/>
                <w:color w:val="auto"/>
              </w:rPr>
            </w:pPr>
          </w:p>
        </w:tc>
        <w:tc>
          <w:tcPr>
            <w:tcW w:w="146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97"/>
              </w:rPr>
              <w:t>Unobservable Inputs</w:t>
            </w:r>
          </w:p>
        </w:tc>
        <w:tc>
          <w:tcPr>
            <w:tcW w:w="0" w:type="dxa"/>
            <w:vAlign w:val="bottom"/>
          </w:tcPr>
          <w:p>
            <w:pPr>
              <w:spacing w:after="0"/>
              <w:rPr>
                <w:sz w:val="1"/>
                <w:szCs w:val="1"/>
                <w:color w:val="auto"/>
              </w:rPr>
            </w:pPr>
          </w:p>
        </w:tc>
      </w:tr>
      <w:tr>
        <w:trPr>
          <w:trHeight w:val="178"/>
        </w:trPr>
        <w:tc>
          <w:tcPr>
            <w:tcW w:w="46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4"/>
              </w:rPr>
              <w:t>(Level 2)</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tcBorders>
              <w:bottom w:val="single" w:sz="8" w:color="D8D8D8"/>
            </w:tcBorders>
            <w:shd w:val="clear" w:color="auto" w:fill="D8D8D8"/>
          </w:tcPr>
          <w:p>
            <w:pPr>
              <w:spacing w:after="0"/>
              <w:rPr>
                <w:sz w:val="21"/>
                <w:szCs w:val="21"/>
                <w:color w:val="auto"/>
              </w:rPr>
            </w:pPr>
          </w:p>
        </w:tc>
        <w:tc>
          <w:tcPr>
            <w:tcW w:w="134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14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44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46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411.4</w:t>
            </w:r>
          </w:p>
        </w:tc>
        <w:tc>
          <w:tcPr>
            <w:tcW w:w="22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183.8</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227.6</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2,337.8</w:t>
            </w:r>
          </w:p>
        </w:tc>
        <w:tc>
          <w:tcPr>
            <w:tcW w:w="2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999.7</w:t>
            </w:r>
          </w:p>
        </w:tc>
        <w:tc>
          <w:tcPr>
            <w:tcW w:w="2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1,338.1</w:t>
            </w:r>
          </w:p>
        </w:tc>
        <w:tc>
          <w:tcPr>
            <w:tcW w:w="24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34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44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4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1,230.7</w:t>
            </w:r>
          </w:p>
        </w:tc>
        <w:tc>
          <w:tcPr>
            <w:tcW w:w="2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112.2</w:t>
            </w:r>
          </w:p>
        </w:tc>
        <w:tc>
          <w:tcPr>
            <w:tcW w:w="2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1,118.5</w:t>
            </w:r>
          </w:p>
        </w:tc>
        <w:tc>
          <w:tcPr>
            <w:tcW w:w="24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shd w:val="clear" w:color="auto" w:fill="D8D8D8"/>
          </w:tcPr>
          <w:p>
            <w:pPr>
              <w:spacing w:after="0"/>
              <w:rPr>
                <w:sz w:val="24"/>
                <w:szCs w:val="24"/>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8.7</w:t>
            </w:r>
          </w:p>
        </w:tc>
        <w:tc>
          <w:tcPr>
            <w:tcW w:w="280" w:type="dxa"/>
            <w:vAlign w:val="bottom"/>
            <w:shd w:val="clear" w:color="auto" w:fill="D8D8D8"/>
          </w:tcPr>
          <w:p>
            <w:pPr>
              <w:spacing w:after="0"/>
              <w:rPr>
                <w:sz w:val="24"/>
                <w:szCs w:val="24"/>
                <w:color w:val="auto"/>
              </w:rPr>
            </w:pP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364.2</w:t>
            </w:r>
          </w:p>
        </w:tc>
        <w:tc>
          <w:tcPr>
            <w:tcW w:w="240" w:type="dxa"/>
            <w:vAlign w:val="bottom"/>
            <w:shd w:val="clear" w:color="auto" w:fill="D8D8D8"/>
          </w:tcPr>
          <w:p>
            <w:pPr>
              <w:spacing w:after="0"/>
              <w:rPr>
                <w:sz w:val="24"/>
                <w:szCs w:val="24"/>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shd w:val="clear" w:color="auto" w:fill="D8D8D8"/>
          </w:tcPr>
          <w:p>
            <w:pPr>
              <w:spacing w:after="0"/>
              <w:rPr>
                <w:sz w:val="23"/>
                <w:szCs w:val="23"/>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3,277.6</w:t>
            </w:r>
          </w:p>
        </w:tc>
        <w:tc>
          <w:tcPr>
            <w:tcW w:w="22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1,694.5</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1,583.1</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tcPr>
          <w:p>
            <w:pPr>
              <w:spacing w:after="0"/>
              <w:rPr>
                <w:sz w:val="22"/>
                <w:szCs w:val="22"/>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1,146.6</w:t>
            </w:r>
          </w:p>
        </w:tc>
        <w:tc>
          <w:tcPr>
            <w:tcW w:w="2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77"/>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569.0</w:t>
            </w:r>
          </w:p>
        </w:tc>
        <w:tc>
          <w:tcPr>
            <w:tcW w:w="22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403.1</w:t>
            </w:r>
          </w:p>
        </w:tc>
        <w:tc>
          <w:tcPr>
            <w:tcW w:w="280" w:type="dxa"/>
            <w:vAlign w:val="bottom"/>
            <w:shd w:val="clear" w:color="auto" w:fill="D8D8D8"/>
          </w:tcPr>
          <w:p>
            <w:pPr>
              <w:spacing w:after="0"/>
              <w:rPr>
                <w:sz w:val="24"/>
                <w:szCs w:val="24"/>
                <w:color w:val="auto"/>
              </w:rPr>
            </w:pP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487.9</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229.8</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258.1</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9,835.7</w:t>
            </w:r>
          </w:p>
        </w:tc>
        <w:tc>
          <w:tcPr>
            <w:tcW w:w="22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1,937.3</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5,076.2</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2"/>
                <w:szCs w:val="22"/>
                <w:color w:val="auto"/>
              </w:rPr>
            </w:pPr>
          </w:p>
        </w:tc>
        <w:tc>
          <w:tcPr>
            <w:tcW w:w="134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44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4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39.2</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4"/>
                <w:szCs w:val="24"/>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D8D8D8"/>
          </w:tcPr>
          <w:p>
            <w:pPr>
              <w:spacing w:after="0"/>
              <w:rPr>
                <w:sz w:val="24"/>
                <w:szCs w:val="24"/>
                <w:color w:val="auto"/>
              </w:rPr>
            </w:pP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D8D8D8"/>
          </w:tcPr>
          <w:p>
            <w:pPr>
              <w:spacing w:after="0"/>
              <w:rPr>
                <w:sz w:val="24"/>
                <w:szCs w:val="24"/>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D8D8D8"/>
          </w:tcPr>
          <w:p>
            <w:pPr>
              <w:spacing w:after="0"/>
              <w:rPr>
                <w:sz w:val="23"/>
                <w:szCs w:val="23"/>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4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44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4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282.7</w:t>
            </w:r>
          </w:p>
        </w:tc>
        <w:tc>
          <w:tcPr>
            <w:tcW w:w="2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158.7</w:t>
            </w:r>
          </w:p>
        </w:tc>
        <w:tc>
          <w:tcPr>
            <w:tcW w:w="24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Cash value of trust owned insurance contract</w:t>
            </w:r>
          </w:p>
        </w:tc>
        <w:tc>
          <w:tcPr>
            <w:tcW w:w="380" w:type="dxa"/>
            <w:vAlign w:val="bottom"/>
          </w:tcPr>
          <w:p>
            <w:pPr>
              <w:spacing w:after="0"/>
              <w:rPr>
                <w:sz w:val="22"/>
                <w:szCs w:val="22"/>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1,189.2</w:t>
            </w:r>
          </w:p>
        </w:tc>
        <w:tc>
          <w:tcPr>
            <w:tcW w:w="2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1,189.2</w:t>
            </w:r>
          </w:p>
        </w:tc>
        <w:tc>
          <w:tcPr>
            <w:tcW w:w="240" w:type="dxa"/>
            <w:vAlign w:val="bottom"/>
          </w:tcPr>
          <w:p>
            <w:pPr>
              <w:spacing w:after="0"/>
              <w:rPr>
                <w:sz w:val="22"/>
                <w:szCs w:val="22"/>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34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D8D8D8"/>
          </w:tcPr>
          <w:p>
            <w:pPr>
              <w:spacing w:after="0"/>
              <w:rPr>
                <w:sz w:val="24"/>
                <w:szCs w:val="24"/>
                <w:color w:val="auto"/>
              </w:rPr>
            </w:pPr>
          </w:p>
        </w:tc>
        <w:tc>
          <w:tcPr>
            <w:tcW w:w="14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4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1,918.7</w:t>
            </w:r>
          </w:p>
        </w:tc>
        <w:tc>
          <w:tcPr>
            <w:tcW w:w="22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122.6</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1,579.6</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 material transfers between Level 1, Level 2, or Level 3 occurred during the year ended December 31,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82</w:t>
      </w:r>
    </w:p>
    <w:p>
      <w:pPr>
        <w:sectPr>
          <w:pgSz w:w="11900" w:h="16838" w:orient="portrait"/>
          <w:cols w:equalWidth="0" w:num="1">
            <w:col w:w="11400"/>
          </w:cols>
          <w:pgMar w:left="240" w:top="706"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activity in the Level 3 investments during the year ended December 31, 2014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Fixed Income:</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Fixed Income: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13"/>
              <w:spacing w:after="0"/>
              <w:rPr>
                <w:sz w:val="20"/>
                <w:szCs w:val="20"/>
                <w:color w:val="auto"/>
              </w:rPr>
            </w:pPr>
            <w:r>
              <w:rPr>
                <w:rFonts w:ascii="Arial" w:cs="Arial" w:eastAsia="Arial" w:hAnsi="Arial"/>
                <w:sz w:val="14"/>
                <w:szCs w:val="14"/>
                <w:b w:val="1"/>
                <w:bCs w:val="1"/>
                <w:color w:val="auto"/>
              </w:rPr>
              <w:t>Developed</w:t>
            </w:r>
          </w:p>
        </w:tc>
        <w:tc>
          <w:tcPr>
            <w:tcW w:w="22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Emerging</w:t>
            </w:r>
          </w:p>
        </w:tc>
        <w:tc>
          <w:tcPr>
            <w:tcW w:w="260" w:type="dxa"/>
            <w:vAlign w:val="bottom"/>
          </w:tcPr>
          <w:p>
            <w:pPr>
              <w:spacing w:after="0"/>
              <w:rPr>
                <w:sz w:val="14"/>
                <w:szCs w:val="14"/>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Hedge</w:t>
            </w:r>
          </w:p>
        </w:tc>
        <w:tc>
          <w:tcPr>
            <w:tcW w:w="240" w:type="dxa"/>
            <w:vAlign w:val="bottom"/>
          </w:tcPr>
          <w:p>
            <w:pPr>
              <w:spacing w:after="0"/>
              <w:rPr>
                <w:sz w:val="14"/>
                <w:szCs w:val="14"/>
                <w:color w:val="auto"/>
              </w:rPr>
            </w:pPr>
          </w:p>
        </w:tc>
        <w:tc>
          <w:tcPr>
            <w:tcW w:w="940" w:type="dxa"/>
            <w:vAlign w:val="bottom"/>
          </w:tcPr>
          <w:p>
            <w:pPr>
              <w:jc w:val="right"/>
              <w:ind w:right="113"/>
              <w:spacing w:after="0"/>
              <w:rPr>
                <w:sz w:val="20"/>
                <w:szCs w:val="20"/>
                <w:color w:val="auto"/>
              </w:rPr>
            </w:pPr>
            <w:r>
              <w:rPr>
                <w:rFonts w:ascii="Arial" w:cs="Arial" w:eastAsia="Arial" w:hAnsi="Arial"/>
                <w:sz w:val="14"/>
                <w:szCs w:val="14"/>
                <w:b w:val="1"/>
                <w:bCs w:val="1"/>
                <w:color w:val="auto"/>
              </w:rPr>
              <w:t>Equity-like</w:t>
            </w:r>
          </w:p>
        </w:tc>
        <w:tc>
          <w:tcPr>
            <w:tcW w:w="28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Real</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4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Markets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Markets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Funds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Funds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Estate</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250"/>
        </w:trPr>
        <w:tc>
          <w:tcPr>
            <w:tcW w:w="4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1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220" w:type="dxa"/>
            <w:vAlign w:val="bottom"/>
            <w:tcBorders>
              <w:bottom w:val="single" w:sz="8" w:color="D8D8D8"/>
            </w:tcBorders>
            <w:shd w:val="clear" w:color="auto" w:fill="D8D8D8"/>
          </w:tcPr>
          <w:p>
            <w:pPr>
              <w:spacing w:after="0"/>
              <w:rPr>
                <w:sz w:val="21"/>
                <w:szCs w:val="21"/>
                <w:color w:val="auto"/>
              </w:rPr>
            </w:pPr>
          </w:p>
        </w:tc>
        <w:tc>
          <w:tcPr>
            <w:tcW w:w="9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94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Beginning balance at January 1, 2014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15.9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1,440.4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993.5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153.4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2,603.2</w:t>
            </w:r>
          </w:p>
        </w:tc>
      </w:tr>
      <w:tr>
        <w:trPr>
          <w:trHeight w:val="235"/>
        </w:trPr>
        <w:tc>
          <w:tcPr>
            <w:tcW w:w="4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 in</w:t>
            </w:r>
          </w:p>
        </w:tc>
        <w:tc>
          <w:tcPr>
            <w:tcW w:w="16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r>
      <w:tr>
        <w:trPr>
          <w:trHeight w:val="230"/>
        </w:trPr>
        <w:tc>
          <w:tcPr>
            <w:tcW w:w="45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foreign exchange rates:</w:t>
            </w:r>
          </w:p>
        </w:tc>
        <w:tc>
          <w:tcPr>
            <w:tcW w:w="16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r>
      <w:tr>
        <w:trPr>
          <w:trHeight w:val="263"/>
        </w:trPr>
        <w:tc>
          <w:tcPr>
            <w:tcW w:w="454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2"/>
                <w:szCs w:val="22"/>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2"/>
                <w:szCs w:val="22"/>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108.2</w:t>
            </w:r>
          </w:p>
        </w:tc>
        <w:tc>
          <w:tcPr>
            <w:tcW w:w="28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152.7</w:t>
            </w:r>
          </w:p>
        </w:tc>
      </w:tr>
      <w:tr>
        <w:trPr>
          <w:trHeight w:val="277"/>
        </w:trPr>
        <w:tc>
          <w:tcPr>
            <w:tcW w:w="4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160" w:type="dxa"/>
            <w:vAlign w:val="bottom"/>
            <w:shd w:val="clear" w:color="auto" w:fill="D8D8D8"/>
          </w:tcPr>
          <w:p>
            <w:pPr>
              <w:spacing w:after="0"/>
              <w:rPr>
                <w:sz w:val="24"/>
                <w:szCs w:val="24"/>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(0.8)</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2"/>
                <w:szCs w:val="22"/>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98.1</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78.5</w:t>
            </w:r>
          </w:p>
        </w:tc>
      </w:tr>
      <w:tr>
        <w:trPr>
          <w:trHeight w:val="277"/>
        </w:trPr>
        <w:tc>
          <w:tcPr>
            <w:tcW w:w="4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16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auto"/>
            </w:tcBorders>
            <w:shd w:val="clear" w:color="auto" w:fill="D8D8D8"/>
          </w:tcPr>
          <w:p>
            <w:pPr>
              <w:spacing w:after="0"/>
              <w:rPr>
                <w:sz w:val="24"/>
                <w:szCs w:val="24"/>
                <w:color w:val="auto"/>
              </w:rPr>
            </w:pPr>
          </w:p>
        </w:tc>
        <w:tc>
          <w:tcPr>
            <w:tcW w:w="9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8D8D8"/>
          </w:tcPr>
          <w:p>
            <w:pPr>
              <w:spacing w:after="0"/>
              <w:rPr>
                <w:sz w:val="24"/>
                <w:szCs w:val="24"/>
                <w:color w:val="auto"/>
              </w:rPr>
            </w:pPr>
          </w:p>
        </w:tc>
        <w:tc>
          <w:tcPr>
            <w:tcW w:w="8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8D8D8"/>
          </w:tcPr>
          <w:p>
            <w:pPr>
              <w:spacing w:after="0"/>
              <w:rPr>
                <w:sz w:val="24"/>
                <w:szCs w:val="24"/>
                <w:color w:val="auto"/>
              </w:rPr>
            </w:pPr>
          </w:p>
        </w:tc>
        <w:tc>
          <w:tcPr>
            <w:tcW w:w="9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4"/>
                <w:szCs w:val="24"/>
                <w:color w:val="auto"/>
              </w:rPr>
            </w:pPr>
          </w:p>
        </w:tc>
        <w:tc>
          <w:tcPr>
            <w:tcW w:w="8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8D8D8"/>
          </w:tcPr>
          <w:p>
            <w:pPr>
              <w:spacing w:after="0"/>
              <w:rPr>
                <w:sz w:val="24"/>
                <w:szCs w:val="24"/>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(11.4)</w:t>
            </w:r>
          </w:p>
        </w:tc>
      </w:tr>
      <w:tr>
        <w:trPr>
          <w:trHeight w:val="277"/>
        </w:trPr>
        <w:tc>
          <w:tcPr>
            <w:tcW w:w="45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Ending balance at December 31,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1,071.4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165.9</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2,822.2</w:t>
            </w:r>
          </w:p>
        </w:tc>
      </w:tr>
      <w:tr>
        <w:trPr>
          <w:trHeight w:val="264"/>
        </w:trPr>
        <w:tc>
          <w:tcPr>
            <w:tcW w:w="45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160" w:type="dxa"/>
            <w:vAlign w:val="bottom"/>
            <w:shd w:val="clear" w:color="auto" w:fill="D8D8D8"/>
          </w:tcPr>
          <w:p>
            <w:pPr>
              <w:spacing w:after="0"/>
              <w:rPr>
                <w:sz w:val="22"/>
                <w:szCs w:val="22"/>
                <w:color w:val="auto"/>
              </w:rPr>
            </w:pPr>
          </w:p>
        </w:tc>
        <w:tc>
          <w:tcPr>
            <w:tcW w:w="1020" w:type="dxa"/>
            <w:vAlign w:val="bottom"/>
            <w:shd w:val="clear" w:color="auto" w:fill="D8D8D8"/>
          </w:tcPr>
          <w:p>
            <w:pPr>
              <w:spacing w:after="0"/>
              <w:rPr>
                <w:sz w:val="22"/>
                <w:szCs w:val="22"/>
                <w:color w:val="auto"/>
              </w:rPr>
            </w:pPr>
          </w:p>
        </w:tc>
        <w:tc>
          <w:tcPr>
            <w:tcW w:w="220" w:type="dxa"/>
            <w:vAlign w:val="bottom"/>
            <w:shd w:val="clear" w:color="auto" w:fill="D8D8D8"/>
          </w:tcPr>
          <w:p>
            <w:pPr>
              <w:spacing w:after="0"/>
              <w:rPr>
                <w:sz w:val="22"/>
                <w:szCs w:val="22"/>
                <w:color w:val="auto"/>
              </w:rPr>
            </w:pPr>
          </w:p>
        </w:tc>
        <w:tc>
          <w:tcPr>
            <w:tcW w:w="94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84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940" w:type="dxa"/>
            <w:vAlign w:val="bottom"/>
            <w:shd w:val="clear" w:color="auto" w:fill="D8D8D8"/>
          </w:tcPr>
          <w:p>
            <w:pPr>
              <w:spacing w:after="0"/>
              <w:rPr>
                <w:sz w:val="22"/>
                <w:szCs w:val="22"/>
                <w:color w:val="auto"/>
              </w:rPr>
            </w:pPr>
          </w:p>
        </w:tc>
        <w:tc>
          <w:tcPr>
            <w:tcW w:w="280" w:type="dxa"/>
            <w:vAlign w:val="bottom"/>
            <w:shd w:val="clear" w:color="auto" w:fill="D8D8D8"/>
          </w:tcPr>
          <w:p>
            <w:pPr>
              <w:spacing w:after="0"/>
              <w:rPr>
                <w:sz w:val="22"/>
                <w:szCs w:val="22"/>
                <w:color w:val="auto"/>
              </w:rPr>
            </w:pPr>
          </w:p>
        </w:tc>
        <w:tc>
          <w:tcPr>
            <w:tcW w:w="840" w:type="dxa"/>
            <w:vAlign w:val="bottom"/>
            <w:shd w:val="clear" w:color="auto" w:fill="D8D8D8"/>
          </w:tcPr>
          <w:p>
            <w:pPr>
              <w:spacing w:after="0"/>
              <w:rPr>
                <w:sz w:val="22"/>
                <w:szCs w:val="22"/>
                <w:color w:val="auto"/>
              </w:rPr>
            </w:pPr>
          </w:p>
        </w:tc>
        <w:tc>
          <w:tcPr>
            <w:tcW w:w="320" w:type="dxa"/>
            <w:vAlign w:val="bottom"/>
            <w:shd w:val="clear" w:color="auto" w:fill="D8D8D8"/>
          </w:tcPr>
          <w:p>
            <w:pPr>
              <w:spacing w:after="0"/>
              <w:rPr>
                <w:sz w:val="22"/>
                <w:szCs w:val="22"/>
                <w:color w:val="auto"/>
              </w:rPr>
            </w:pPr>
          </w:p>
        </w:tc>
        <w:tc>
          <w:tcPr>
            <w:tcW w:w="820" w:type="dxa"/>
            <w:vAlign w:val="bottom"/>
            <w:shd w:val="clear" w:color="auto" w:fill="D8D8D8"/>
          </w:tcPr>
          <w:p>
            <w:pPr>
              <w:spacing w:after="0"/>
              <w:rPr>
                <w:sz w:val="22"/>
                <w:szCs w:val="22"/>
                <w:color w:val="auto"/>
              </w:rPr>
            </w:pP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Beginning balance at January 1, 2014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211.1</w:t>
            </w:r>
          </w:p>
        </w:tc>
      </w:tr>
      <w:tr>
        <w:trPr>
          <w:trHeight w:val="235"/>
        </w:trPr>
        <w:tc>
          <w:tcPr>
            <w:tcW w:w="4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 in</w:t>
            </w:r>
          </w:p>
        </w:tc>
        <w:tc>
          <w:tcPr>
            <w:tcW w:w="16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r>
      <w:tr>
        <w:trPr>
          <w:trHeight w:val="230"/>
        </w:trPr>
        <w:tc>
          <w:tcPr>
            <w:tcW w:w="45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foreign exchange rates:</w:t>
            </w:r>
          </w:p>
        </w:tc>
        <w:tc>
          <w:tcPr>
            <w:tcW w:w="16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r>
      <w:tr>
        <w:trPr>
          <w:trHeight w:val="263"/>
        </w:trPr>
        <w:tc>
          <w:tcPr>
            <w:tcW w:w="454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2"/>
                <w:szCs w:val="22"/>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2"/>
                <w:szCs w:val="22"/>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7"/>
        </w:trPr>
        <w:tc>
          <w:tcPr>
            <w:tcW w:w="4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160" w:type="dxa"/>
            <w:vAlign w:val="bottom"/>
            <w:shd w:val="clear" w:color="auto" w:fill="D8D8D8"/>
          </w:tcPr>
          <w:p>
            <w:pPr>
              <w:spacing w:after="0"/>
              <w:rPr>
                <w:sz w:val="24"/>
                <w:szCs w:val="24"/>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2"/>
                <w:szCs w:val="22"/>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7"/>
        </w:trPr>
        <w:tc>
          <w:tcPr>
            <w:tcW w:w="4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16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D8D8D8"/>
          </w:tcPr>
          <w:p>
            <w:pPr>
              <w:spacing w:after="0"/>
              <w:rPr>
                <w:sz w:val="24"/>
                <w:szCs w:val="24"/>
                <w:color w:val="auto"/>
              </w:rPr>
            </w:pPr>
          </w:p>
        </w:tc>
        <w:tc>
          <w:tcPr>
            <w:tcW w:w="9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8D8D8"/>
          </w:tcPr>
          <w:p>
            <w:pPr>
              <w:spacing w:after="0"/>
              <w:rPr>
                <w:sz w:val="24"/>
                <w:szCs w:val="24"/>
                <w:color w:val="auto"/>
              </w:rPr>
            </w:pPr>
          </w:p>
        </w:tc>
        <w:tc>
          <w:tcPr>
            <w:tcW w:w="8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8D8D8"/>
          </w:tcPr>
          <w:p>
            <w:pPr>
              <w:spacing w:after="0"/>
              <w:rPr>
                <w:sz w:val="24"/>
                <w:szCs w:val="24"/>
                <w:color w:val="auto"/>
              </w:rPr>
            </w:pPr>
          </w:p>
        </w:tc>
        <w:tc>
          <w:tcPr>
            <w:tcW w:w="9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4"/>
                <w:szCs w:val="24"/>
                <w:color w:val="auto"/>
              </w:rPr>
            </w:pPr>
          </w:p>
        </w:tc>
        <w:tc>
          <w:tcPr>
            <w:tcW w:w="8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8D8D8"/>
          </w:tcPr>
          <w:p>
            <w:pPr>
              <w:spacing w:after="0"/>
              <w:rPr>
                <w:sz w:val="24"/>
                <w:szCs w:val="24"/>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w:t>
            </w:r>
          </w:p>
        </w:tc>
      </w:tr>
      <w:tr>
        <w:trPr>
          <w:trHeight w:val="271"/>
        </w:trPr>
        <w:tc>
          <w:tcPr>
            <w:tcW w:w="4540" w:type="dxa"/>
            <w:vAlign w:val="bottom"/>
          </w:tcPr>
          <w:p>
            <w:pPr>
              <w:ind w:left="40"/>
              <w:spacing w:after="0"/>
              <w:rPr>
                <w:sz w:val="20"/>
                <w:szCs w:val="20"/>
                <w:color w:val="auto"/>
              </w:rPr>
            </w:pPr>
            <w:r>
              <w:rPr>
                <w:rFonts w:ascii="Arial" w:cs="Arial" w:eastAsia="Arial" w:hAnsi="Arial"/>
                <w:sz w:val="18"/>
                <w:szCs w:val="18"/>
                <w:color w:val="auto"/>
              </w:rPr>
              <w:t>Ending balance at December 31,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216.5</w:t>
            </w:r>
          </w:p>
        </w:tc>
      </w:tr>
      <w:tr>
        <w:trPr>
          <w:trHeight w:val="459"/>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83</w:t>
            </w:r>
          </w:p>
        </w:tc>
      </w:tr>
    </w:tbl>
    <w:p>
      <w:pPr>
        <w:sectPr>
          <w:pgSz w:w="11900" w:h="16838" w:orient="portrait"/>
          <w:cols w:equalWidth="0" w:num="1">
            <w:col w:w="11420"/>
          </w:cols>
          <w:pgMar w:left="240" w:top="70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2013 by asset category are as follows: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70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7"/>
              </w:rPr>
              <w:t>Quoted Prices in Active</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Markets for Identical</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Significant Observable</w:t>
            </w:r>
          </w:p>
        </w:tc>
        <w:tc>
          <w:tcPr>
            <w:tcW w:w="14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6"/>
              </w:rPr>
              <w:t>Significant</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Asset Class</w:t>
            </w:r>
          </w:p>
        </w:tc>
        <w:tc>
          <w:tcPr>
            <w:tcW w:w="330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Total</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Assets</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Inputs</w:t>
            </w:r>
          </w:p>
        </w:tc>
        <w:tc>
          <w:tcPr>
            <w:tcW w:w="14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0" w:type="dxa"/>
            <w:vAlign w:val="bottom"/>
          </w:tcPr>
          <w:p>
            <w:pPr>
              <w:spacing w:after="0"/>
              <w:rPr>
                <w:sz w:val="1"/>
                <w:szCs w:val="1"/>
                <w:color w:val="auto"/>
              </w:rPr>
            </w:pPr>
          </w:p>
        </w:tc>
      </w:tr>
      <w:tr>
        <w:trPr>
          <w:trHeight w:val="172"/>
        </w:trPr>
        <w:tc>
          <w:tcPr>
            <w:tcW w:w="3060" w:type="dxa"/>
            <w:vAlign w:val="bottom"/>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1420" w:type="dxa"/>
            <w:vAlign w:val="bottom"/>
          </w:tcPr>
          <w:p>
            <w:pPr>
              <w:jc w:val="center"/>
              <w:ind w:left="17"/>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4913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49135" cy="180340"/>
                    </a:xfrm>
                    <a:prstGeom prst="rect">
                      <a:avLst/>
                    </a:prstGeom>
                    <a:noFill/>
                  </pic:spPr>
                </pic:pic>
              </a:graphicData>
            </a:graphic>
          </wp:anchor>
        </w:drawing>
      </w:r>
    </w:p>
    <w:p>
      <w:pPr>
        <w:sectPr>
          <w:pgSz w:w="11900" w:h="16838" w:orient="portrait"/>
          <w:cols w:equalWidth="0" w:num="1">
            <w:col w:w="11140"/>
          </w:cols>
          <w:pgMar w:left="240" w:top="706" w:right="519" w:bottom="1440" w:gutter="0" w:footer="0" w:header="0"/>
        </w:sectPr>
      </w:pPr>
    </w:p>
    <w:p>
      <w:pPr>
        <w:spacing w:after="0" w:line="30" w:lineRule="exact"/>
        <w:rPr>
          <w:sz w:val="20"/>
          <w:szCs w:val="20"/>
          <w:color w:val="auto"/>
        </w:rPr>
      </w:pPr>
    </w:p>
    <w:p>
      <w:pPr>
        <w:ind w:left="40" w:right="1380"/>
        <w:spacing w:after="0" w:line="325" w:lineRule="auto"/>
        <w:rPr>
          <w:sz w:val="20"/>
          <w:szCs w:val="20"/>
          <w:color w:val="auto"/>
        </w:rPr>
      </w:pPr>
      <w:r>
        <w:rPr>
          <w:rFonts w:ascii="Arial" w:cs="Arial" w:eastAsia="Arial" w:hAnsi="Arial"/>
          <w:sz w:val="18"/>
          <w:szCs w:val="18"/>
          <w:b w:val="1"/>
          <w:bCs w:val="1"/>
          <w:color w:val="auto"/>
        </w:rPr>
        <w:t xml:space="preserve">Defined Benefit Pension Plans </w:t>
      </w:r>
      <w:r>
        <w:rPr>
          <w:rFonts w:ascii="Arial" w:cs="Arial" w:eastAsia="Arial" w:hAnsi="Arial"/>
          <w:sz w:val="18"/>
          <w:szCs w:val="18"/>
          <w:color w:val="auto"/>
        </w:rPr>
        <w:t>Public equity securities: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income: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Developed markets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Emerging markets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Private alternative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Hedge funds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Equity-like funds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 estate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Retiree Health Benefit Plans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Public equity securities: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income: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Developed markets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Emerging markets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Private alternative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Hedge funds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Equity-like funds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value of trust owned insurance contract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 estate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400.3</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189.2</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2,483.8</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1,045.8</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1,438.0</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0"/>
        </w:trPr>
        <w:tc>
          <w:tcPr>
            <w:tcW w:w="4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1,036.1</w:t>
            </w:r>
          </w:p>
        </w:tc>
        <w:tc>
          <w:tcPr>
            <w:tcW w:w="5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170.2</w:t>
            </w:r>
          </w:p>
        </w:tc>
        <w:tc>
          <w:tcPr>
            <w:tcW w:w="6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850.0</w:t>
            </w: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0"/>
        </w:trPr>
        <w:tc>
          <w:tcPr>
            <w:tcW w:w="4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2,902.3</w:t>
            </w:r>
          </w:p>
        </w:tc>
        <w:tc>
          <w:tcPr>
            <w:tcW w:w="5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1,461.9</w:t>
            </w: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1,440.4</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1,069.9</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993.5</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521.4</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368.0</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153.4</w:t>
            </w:r>
          </w:p>
        </w:tc>
      </w:tr>
      <w:tr>
        <w:trPr>
          <w:trHeight w:val="277"/>
        </w:trPr>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685.3</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245.2</w:t>
            </w: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440.1</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9,481.7</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2,018.4</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4,860.1</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2,603.2</w:t>
            </w:r>
          </w:p>
        </w:tc>
      </w:tr>
      <w:tr>
        <w:trPr>
          <w:trHeight w:val="79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167.2</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105.6</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0"/>
        </w:trPr>
        <w:tc>
          <w:tcPr>
            <w:tcW w:w="4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5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0"/>
        </w:trPr>
        <w:tc>
          <w:tcPr>
            <w:tcW w:w="4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266.4</w:t>
            </w:r>
          </w:p>
        </w:tc>
        <w:tc>
          <w:tcPr>
            <w:tcW w:w="5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145.8</w:t>
            </w: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120.6</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88.9</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1,136.8</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1,136.8</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5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6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1,879.6</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134.6</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1,533.9</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-4338955</wp:posOffset>
            </wp:positionV>
            <wp:extent cx="704913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-3995420</wp:posOffset>
            </wp:positionV>
            <wp:extent cx="704913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-3652520</wp:posOffset>
            </wp:positionV>
            <wp:extent cx="704913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-3309620</wp:posOffset>
            </wp:positionV>
            <wp:extent cx="704913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-2966720</wp:posOffset>
            </wp:positionV>
            <wp:extent cx="704913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-2623820</wp:posOffset>
            </wp:positionV>
            <wp:extent cx="704913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49135" cy="18859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-2254885</wp:posOffset>
            </wp:positionV>
            <wp:extent cx="704913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-1911985</wp:posOffset>
            </wp:positionV>
            <wp:extent cx="704913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-1568450</wp:posOffset>
            </wp:positionV>
            <wp:extent cx="70491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-1225550</wp:posOffset>
            </wp:positionV>
            <wp:extent cx="704913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-882650</wp:posOffset>
            </wp:positionV>
            <wp:extent cx="704913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-539750</wp:posOffset>
            </wp:positionV>
            <wp:extent cx="704913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-196850</wp:posOffset>
            </wp:positionV>
            <wp:extent cx="704913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49135" cy="18859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020" w:space="720"/>
            <w:col w:w="6400"/>
          </w:cols>
          <w:pgMar w:left="240" w:top="706" w:right="519" w:bottom="1440" w:gutter="0" w:footer="0" w:header="0"/>
          <w:type w:val="continuous"/>
        </w:sectPr>
      </w:pPr>
    </w:p>
    <w:p>
      <w:pPr>
        <w:spacing w:after="0"/>
        <w:rPr>
          <w:sz w:val="20"/>
          <w:szCs w:val="20"/>
          <w:color w:val="auto"/>
        </w:rPr>
      </w:pPr>
      <w:r>
        <w:rPr>
          <w:rFonts w:ascii="Arial" w:cs="Arial" w:eastAsia="Arial" w:hAnsi="Arial"/>
          <w:sz w:val="18"/>
          <w:szCs w:val="18"/>
          <w:color w:val="auto"/>
        </w:rPr>
        <w:t>No material transfers between Level 1, Level 2, or Level 3 occurred during the year ended December 31, 2013.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84</w:t>
      </w:r>
    </w:p>
    <w:p>
      <w:pPr>
        <w:sectPr>
          <w:pgSz w:w="11900" w:h="16838" w:orient="portrait"/>
          <w:cols w:equalWidth="0" w:num="1">
            <w:col w:w="11140"/>
          </w:cols>
          <w:pgMar w:left="240" w:top="706" w:right="51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The activity in the Level 3 investments during the year ended December 31, 2013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Fixed Income:</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33"/>
              <w:spacing w:after="0"/>
              <w:rPr>
                <w:sz w:val="20"/>
                <w:szCs w:val="20"/>
                <w:color w:val="auto"/>
              </w:rPr>
            </w:pPr>
            <w:r>
              <w:rPr>
                <w:rFonts w:ascii="Arial" w:cs="Arial" w:eastAsia="Arial" w:hAnsi="Arial"/>
                <w:sz w:val="14"/>
                <w:szCs w:val="14"/>
                <w:b w:val="1"/>
                <w:bCs w:val="1"/>
                <w:color w:val="auto"/>
              </w:rPr>
              <w:t>Developed</w:t>
            </w:r>
          </w:p>
        </w:tc>
        <w:tc>
          <w:tcPr>
            <w:tcW w:w="300" w:type="dxa"/>
            <w:vAlign w:val="bottom"/>
          </w:tcPr>
          <w:p>
            <w:pPr>
              <w:spacing w:after="0"/>
              <w:rPr>
                <w:sz w:val="14"/>
                <w:szCs w:val="14"/>
                <w:color w:val="auto"/>
              </w:rPr>
            </w:pPr>
          </w:p>
        </w:tc>
        <w:tc>
          <w:tcPr>
            <w:tcW w:w="920" w:type="dxa"/>
            <w:vAlign w:val="bottom"/>
          </w:tcPr>
          <w:p>
            <w:pPr>
              <w:jc w:val="right"/>
              <w:ind w:right="273"/>
              <w:spacing w:after="0"/>
              <w:rPr>
                <w:sz w:val="20"/>
                <w:szCs w:val="20"/>
                <w:color w:val="auto"/>
              </w:rPr>
            </w:pPr>
            <w:r>
              <w:rPr>
                <w:rFonts w:ascii="Arial" w:cs="Arial" w:eastAsia="Arial" w:hAnsi="Arial"/>
                <w:sz w:val="14"/>
                <w:szCs w:val="14"/>
                <w:b w:val="1"/>
                <w:bCs w:val="1"/>
                <w:color w:val="auto"/>
              </w:rPr>
              <w:t>Hedge</w:t>
            </w:r>
          </w:p>
        </w:tc>
        <w:tc>
          <w:tcPr>
            <w:tcW w:w="260" w:type="dxa"/>
            <w:vAlign w:val="bottom"/>
          </w:tcPr>
          <w:p>
            <w:pPr>
              <w:spacing w:after="0"/>
              <w:rPr>
                <w:sz w:val="14"/>
                <w:szCs w:val="14"/>
                <w:color w:val="auto"/>
              </w:rPr>
            </w:pPr>
          </w:p>
        </w:tc>
        <w:tc>
          <w:tcPr>
            <w:tcW w:w="10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Equity-like</w:t>
            </w:r>
          </w:p>
        </w:tc>
        <w:tc>
          <w:tcPr>
            <w:tcW w:w="30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Real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5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Markets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Funds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Funds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Estate</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70"/>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18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92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920" w:type="dxa"/>
            <w:vAlign w:val="bottom"/>
            <w:shd w:val="clear" w:color="auto" w:fill="D8D8D8"/>
          </w:tcPr>
          <w:p>
            <w:pPr>
              <w:spacing w:after="0"/>
              <w:rPr>
                <w:sz w:val="23"/>
                <w:szCs w:val="23"/>
                <w:color w:val="auto"/>
              </w:rPr>
            </w:pP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Beginning balance at January 1, 2013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1,218.1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910.5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142.6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2,274.9</w:t>
            </w:r>
          </w:p>
        </w:tc>
      </w:tr>
      <w:tr>
        <w:trPr>
          <w:trHeight w:val="23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 in foreign</w:t>
            </w:r>
          </w:p>
        </w:tc>
        <w:tc>
          <w:tcPr>
            <w:tcW w:w="1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30"/>
        </w:trPr>
        <w:tc>
          <w:tcPr>
            <w:tcW w:w="52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exchange rates:</w:t>
            </w:r>
          </w:p>
        </w:tc>
        <w:tc>
          <w:tcPr>
            <w:tcW w:w="1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18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123.4</w:t>
            </w:r>
          </w:p>
        </w:tc>
        <w:tc>
          <w:tcPr>
            <w:tcW w:w="26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155.7</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284.6</w:t>
            </w:r>
          </w:p>
        </w:tc>
      </w:tr>
      <w:tr>
        <w:trPr>
          <w:trHeight w:val="277"/>
        </w:trPr>
        <w:tc>
          <w:tcPr>
            <w:tcW w:w="52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18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18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98.9</w:t>
            </w:r>
          </w:p>
        </w:tc>
        <w:tc>
          <w:tcPr>
            <w:tcW w:w="26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7"/>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18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D8D8D8"/>
          </w:tcPr>
          <w:p>
            <w:pPr>
              <w:spacing w:after="0"/>
              <w:rPr>
                <w:sz w:val="24"/>
                <w:szCs w:val="24"/>
                <w:color w:val="auto"/>
              </w:rPr>
            </w:pPr>
          </w:p>
        </w:tc>
        <w:tc>
          <w:tcPr>
            <w:tcW w:w="92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8D8D8"/>
          </w:tcPr>
          <w:p>
            <w:pPr>
              <w:spacing w:after="0"/>
              <w:rPr>
                <w:sz w:val="24"/>
                <w:szCs w:val="24"/>
                <w:color w:val="auto"/>
              </w:rPr>
            </w:pPr>
          </w:p>
        </w:tc>
        <w:tc>
          <w:tcPr>
            <w:tcW w:w="92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8D8D8"/>
          </w:tcPr>
          <w:p>
            <w:pPr>
              <w:spacing w:after="0"/>
              <w:rPr>
                <w:sz w:val="24"/>
                <w:szCs w:val="24"/>
                <w:color w:val="auto"/>
              </w:rPr>
            </w:pPr>
          </w:p>
        </w:tc>
        <w:tc>
          <w:tcPr>
            <w:tcW w:w="8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11.5</w:t>
            </w:r>
          </w:p>
        </w:tc>
      </w:tr>
      <w:tr>
        <w:trPr>
          <w:trHeight w:val="277"/>
        </w:trPr>
        <w:tc>
          <w:tcPr>
            <w:tcW w:w="52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Ending balance at December 31, 2013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1,440.4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993.5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153.4</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2,603.2</w:t>
            </w:r>
          </w:p>
        </w:tc>
      </w:tr>
      <w:tr>
        <w:trPr>
          <w:trHeight w:val="264"/>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180" w:type="dxa"/>
            <w:vAlign w:val="bottom"/>
            <w:shd w:val="clear" w:color="auto" w:fill="D8D8D8"/>
          </w:tcPr>
          <w:p>
            <w:pPr>
              <w:spacing w:after="0"/>
              <w:rPr>
                <w:sz w:val="22"/>
                <w:szCs w:val="22"/>
                <w:color w:val="auto"/>
              </w:rPr>
            </w:pPr>
          </w:p>
        </w:tc>
        <w:tc>
          <w:tcPr>
            <w:tcW w:w="102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92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104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920" w:type="dxa"/>
            <w:vAlign w:val="bottom"/>
            <w:shd w:val="clear" w:color="auto" w:fill="D8D8D8"/>
          </w:tcPr>
          <w:p>
            <w:pPr>
              <w:spacing w:after="0"/>
              <w:rPr>
                <w:sz w:val="22"/>
                <w:szCs w:val="22"/>
                <w:color w:val="auto"/>
              </w:rPr>
            </w:pPr>
          </w:p>
        </w:tc>
        <w:tc>
          <w:tcPr>
            <w:tcW w:w="360" w:type="dxa"/>
            <w:vAlign w:val="bottom"/>
            <w:shd w:val="clear" w:color="auto" w:fill="D8D8D8"/>
          </w:tcPr>
          <w:p>
            <w:pPr>
              <w:spacing w:after="0"/>
              <w:rPr>
                <w:sz w:val="22"/>
                <w:szCs w:val="22"/>
                <w:color w:val="auto"/>
              </w:rPr>
            </w:pPr>
          </w:p>
        </w:tc>
        <w:tc>
          <w:tcPr>
            <w:tcW w:w="880" w:type="dxa"/>
            <w:vAlign w:val="bottom"/>
            <w:shd w:val="clear" w:color="auto" w:fill="D8D8D8"/>
          </w:tcPr>
          <w:p>
            <w:pPr>
              <w:spacing w:after="0"/>
              <w:rPr>
                <w:sz w:val="22"/>
                <w:szCs w:val="22"/>
                <w:color w:val="auto"/>
              </w:rPr>
            </w:pP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Beginning balance at January 1, 2013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81.9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3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Actual return on plan assets, including changes in foreign</w:t>
            </w:r>
          </w:p>
        </w:tc>
        <w:tc>
          <w:tcPr>
            <w:tcW w:w="1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30"/>
        </w:trPr>
        <w:tc>
          <w:tcPr>
            <w:tcW w:w="52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exchange rates:</w:t>
            </w:r>
          </w:p>
        </w:tc>
        <w:tc>
          <w:tcPr>
            <w:tcW w:w="1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Relating to assets still held at the reporting date</w:t>
            </w:r>
          </w:p>
        </w:tc>
        <w:tc>
          <w:tcPr>
            <w:tcW w:w="18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7"/>
        </w:trPr>
        <w:tc>
          <w:tcPr>
            <w:tcW w:w="52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Relating to assets sold during the period</w:t>
            </w:r>
          </w:p>
        </w:tc>
        <w:tc>
          <w:tcPr>
            <w:tcW w:w="18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18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7"/>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Transfers into (out of) Level 3</w:t>
            </w:r>
          </w:p>
        </w:tc>
        <w:tc>
          <w:tcPr>
            <w:tcW w:w="18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D8D8D8"/>
          </w:tcPr>
          <w:p>
            <w:pPr>
              <w:spacing w:after="0"/>
              <w:rPr>
                <w:sz w:val="24"/>
                <w:szCs w:val="24"/>
                <w:color w:val="auto"/>
              </w:rPr>
            </w:pPr>
          </w:p>
        </w:tc>
        <w:tc>
          <w:tcPr>
            <w:tcW w:w="92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8D8D8"/>
          </w:tcPr>
          <w:p>
            <w:pPr>
              <w:spacing w:after="0"/>
              <w:rPr>
                <w:sz w:val="24"/>
                <w:szCs w:val="24"/>
                <w:color w:val="auto"/>
              </w:rPr>
            </w:pPr>
          </w:p>
        </w:tc>
        <w:tc>
          <w:tcPr>
            <w:tcW w:w="92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8D8D8"/>
          </w:tcPr>
          <w:p>
            <w:pPr>
              <w:spacing w:after="0"/>
              <w:rPr>
                <w:sz w:val="24"/>
                <w:szCs w:val="24"/>
                <w:color w:val="auto"/>
              </w:rPr>
            </w:pPr>
          </w:p>
        </w:tc>
        <w:tc>
          <w:tcPr>
            <w:tcW w:w="8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1.1</w:t>
            </w:r>
          </w:p>
        </w:tc>
      </w:tr>
      <w:tr>
        <w:trPr>
          <w:trHeight w:val="271"/>
        </w:trPr>
        <w:tc>
          <w:tcPr>
            <w:tcW w:w="5240" w:type="dxa"/>
            <w:vAlign w:val="bottom"/>
          </w:tcPr>
          <w:p>
            <w:pPr>
              <w:ind w:left="40"/>
              <w:spacing w:after="0"/>
              <w:rPr>
                <w:sz w:val="20"/>
                <w:szCs w:val="20"/>
                <w:color w:val="auto"/>
              </w:rPr>
            </w:pPr>
            <w:r>
              <w:rPr>
                <w:rFonts w:ascii="Arial" w:cs="Arial" w:eastAsia="Arial" w:hAnsi="Arial"/>
                <w:sz w:val="18"/>
                <w:szCs w:val="18"/>
                <w:color w:val="auto"/>
              </w:rPr>
              <w:t>Ending balance at December 31, 2013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88.9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211.1</w:t>
            </w:r>
          </w:p>
        </w:tc>
      </w:tr>
    </w:tbl>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2015, we expect to contribute approximately $40 million to our defined benefit pension plans to satisfy minimum funding requirements for the year, along with approximately $270 million of additional discretionary contributions.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15: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dosage regimen patents, alleging that those patents are invalid, not infringed, or both. We believe our Alimta vitamin dosage patents are valid and enforceable against these generic manufacturers and we expect to prevail in these proceedings.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in the relevant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Hatch-Waxman Act. Teva Parenteral Medicines, Inc. (Teva); APP Pharmaceuticals, LLC (APP); Barr Laboratories, Inc. (Barr); Pliva Hrvatska D.O.O. (Pliva); Accord Healthcare Inc. (Accord), Apotex Inc. (Apotex), Sun Pharmaceutical Industries, Ltd. (Sun); Sun Pharma Global FZE (Sun Global); and Glenmark Generics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85</w:t>
      </w:r>
    </w:p>
    <w:p>
      <w:pPr>
        <w:sectPr>
          <w:pgSz w:w="11900" w:h="16838" w:orient="portrait"/>
          <w:cols w:equalWidth="0" w:num="1">
            <w:col w:w="11420"/>
          </w:cols>
          <w:pgMar w:left="240" w:top="706" w:right="239" w:bottom="1440" w:gutter="0" w:footer="0" w:header="0"/>
        </w:sectPr>
      </w:pPr>
    </w:p>
    <w:bookmarkStart w:id="85" w:name="page86"/>
    <w:bookmarkEnd w:id="85"/>
    <w:p>
      <w:pPr>
        <w:ind w:right="100"/>
        <w:spacing w:after="0" w:line="256" w:lineRule="auto"/>
        <w:rPr>
          <w:sz w:val="20"/>
          <w:szCs w:val="20"/>
          <w:color w:val="auto"/>
        </w:rPr>
      </w:pPr>
      <w:r>
        <w:rPr>
          <w:rFonts w:ascii="Arial" w:cs="Arial" w:eastAsia="Arial" w:hAnsi="Arial"/>
          <w:sz w:val="18"/>
          <w:szCs w:val="18"/>
          <w:color w:val="auto"/>
        </w:rPr>
        <w:t>Inc., USA (Glenmark), Nang Kuang Pharmaceutical Co., Ltd. (Nang Kuang), and Sandoz Inc. (Sandoz) each submitted Abbreviated New Drug Applications (ANDAs) seeking approval to market generic versions of Alimta prior to the expiration of our vitamin dosage regimen patent (expiring in 2021 plus pediatric exclusivity expiring in 2022) and alleging the patent is invalid.</w:t>
      </w:r>
    </w:p>
    <w:p>
      <w:pPr>
        <w:spacing w:after="0" w:line="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Pliva, and Barr seeking rulings that the U.S. vitamin dosage regimen patent is valid and infringed (the Teva/APP litigation). Teva and APP stipulated to infringement of our vitamin dosage regimen patent, with the contingency that Teva and APP would be permitted to litigate the issue of infringement if the U.S. Supreme Court vacated an en banc decision of the Federal Circuit that dealt with the issues of liability related to infringement (</w:t>
      </w:r>
      <w:r>
        <w:rPr>
          <w:rFonts w:ascii="Arial" w:cs="Arial" w:eastAsia="Arial" w:hAnsi="Arial"/>
          <w:sz w:val="18"/>
          <w:szCs w:val="18"/>
          <w:i w:val="1"/>
          <w:iCs w:val="1"/>
          <w:color w:val="auto"/>
        </w:rPr>
        <w:t>Akamai v.</w:t>
      </w:r>
      <w:r>
        <w:rPr>
          <w:rFonts w:ascii="Arial" w:cs="Arial" w:eastAsia="Arial" w:hAnsi="Arial"/>
          <w:sz w:val="18"/>
          <w:szCs w:val="18"/>
          <w:color w:val="auto"/>
        </w:rPr>
        <w:t xml:space="preserve"> </w:t>
      </w:r>
      <w:r>
        <w:rPr>
          <w:rFonts w:ascii="Arial" w:cs="Arial" w:eastAsia="Arial" w:hAnsi="Arial"/>
          <w:sz w:val="18"/>
          <w:szCs w:val="18"/>
          <w:i w:val="1"/>
          <w:iCs w:val="1"/>
          <w:color w:val="auto"/>
        </w:rPr>
        <w:t>Limelight Networks</w:t>
      </w:r>
      <w:r>
        <w:rPr>
          <w:rFonts w:ascii="Arial" w:cs="Arial" w:eastAsia="Arial" w:hAnsi="Arial"/>
          <w:sz w:val="18"/>
          <w:szCs w:val="18"/>
          <w:color w:val="auto"/>
        </w:rPr>
        <w:t>). Thus, the sole issue before the district court was to determine the issue of patent validity.</w:t>
      </w:r>
    </w:p>
    <w:p>
      <w:pPr>
        <w:spacing w:after="0" w:line="9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Trial in the Teva/APP litigation occurred in August 2013. In March 2014, the court ruled that the asserted claims of the vitamin dosage patent are valid. The defendants filed their notice of appeal in April 2014.</w:t>
      </w:r>
    </w:p>
    <w:p>
      <w:pPr>
        <w:spacing w:after="0" w:line="70"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color w:val="auto"/>
        </w:rPr>
        <w:t xml:space="preserve">In June 2014, the U.S. Supreme Court vacated the </w:t>
      </w:r>
      <w:r>
        <w:rPr>
          <w:rFonts w:ascii="Arial" w:cs="Arial" w:eastAsia="Arial" w:hAnsi="Arial"/>
          <w:sz w:val="18"/>
          <w:szCs w:val="18"/>
          <w:i w:val="1"/>
          <w:iCs w:val="1"/>
          <w:color w:val="auto"/>
        </w:rPr>
        <w:t>Akamai</w:t>
      </w:r>
      <w:r>
        <w:rPr>
          <w:rFonts w:ascii="Arial" w:cs="Arial" w:eastAsia="Arial" w:hAnsi="Arial"/>
          <w:sz w:val="18"/>
          <w:szCs w:val="18"/>
          <w:color w:val="auto"/>
        </w:rPr>
        <w:t xml:space="preserve"> decision. In July 2014, the court of appeals in the Teva/APP litigation entered an order remanding the case back to the district court to consider the issue of infringement. A hearing on the question of infringement has been scheduled for February 2015.</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January 2012 and April 2012, we filed similar lawsuits in the U.S. District Court for the Southern District of Indiana against Accord and Apotex, respectively. We filed a second lawsuit against Accord in February 2013. The Accord and Apotex cases have been consolidated and stayed by the court and the parties have agreed to be bound by the outcome of the Teva/APP litigation. In September 2013, we filed a similar lawsuit in the same court against Sun and Sun Global seeking a ruling that our patent is valid and infringed. This case has been stayed, and we and Sun have agreed to be bound by the outcome of the Teva/APP litigation. In January 2014, we filed a similar lawsuit in the same court against Glenmark seeking a ruling that our patent is valid and infringed. That case was amended in March 2014 to add two related Glenmark companies. This case has been stayed, and Lilly and Glenmark have agreed to be bound by the outcome of the Teva/APP litigation. In October 2014, we filed a lawsuit against Nang Kuang in the same court, seeking a ruling that our patents are valid and infringed. In December 2014, Lilly filed a lawsuit against Sandoz in the same court, seeking a ruling that our patent is valid and infringed.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Generic manufacturers filed an opposition to the European Patent Office's decision to grant us a vitamin dosage regimen patent. The Opposition Division of the European Patent Office upheld the patent and the generic manufacturers lodged an appeal. In addition, in the United Kingdom (U.K.), Actavis Group ehf and other Actavis companies filed litigation asking for a declaratory judgment that commercialization of certain salt forms of pemetrexed (the active ingredient in Alimta) would not infringe the vitamin dosage regimen patents in the U.K., Italy, France, and Spain. This trial occurred in April 2014. In May 2014, the court ruled that the vitamin dosage patents for Alimta would not be infringed by the defendants' commercialization of alternative salt forms of pemetrexed, after expiration of the compound patents in December 2015. We filed a motion to appeal the court's ruling in June 2014, and a hearing is scheduled to occur in March 2015.</w:t>
      </w:r>
    </w:p>
    <w:p>
      <w:pPr>
        <w:spacing w:after="0" w:line="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commenced separate infringement proceedings against certain Actavis companies in Germany. The German case was heard by the trial court in March 2014. In April 2014, the German trial court ruled in our favor. The defendants filed their notice of appeal in May 2014, and a hearing is scheduled to occur in March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Sawai Pharmaceutical Company Limited, has filed a demand for invalidation of our vitamin dosage regimen patents with the Japanese Patent Office. A hearing date has been scheduled for February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3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along with Daiichi Sankyo, Daiichi Sankyo, Inc., and Ube Industries (Ube) are engaged in various U.S. patent litigation matters involving Effient brought pursuant to procedures set out in the Hatch-Waxman Act. Accord Healthcare Inc., USA (Accord USA); Amneal Pharmaceuticals LLC (Amneal); Apotex; Aurobindo Pharma Limited (Aurobindo); Dr. Reddy’s Laboratories, Ltd. and Dr. Reddy’s Laboratories, Inc. (Dr. Reddy’s);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w:t>
      </w:r>
    </w:p>
    <w:p>
      <w:pPr>
        <w:sectPr>
          <w:pgSz w:w="11900" w:h="16838" w:orient="portrait"/>
          <w:cols w:equalWidth="0" w:num="1">
            <w:col w:w="11420"/>
          </w:cols>
          <w:pgMar w:left="240" w:top="706" w:right="239" w:bottom="1440" w:gutter="0" w:footer="0" w:header="0"/>
        </w:sectPr>
      </w:pPr>
    </w:p>
    <w:bookmarkStart w:id="86" w:name="page87"/>
    <w:bookmarkEnd w:id="86"/>
    <w:p>
      <w:pPr>
        <w:spacing w:after="0" w:line="253" w:lineRule="auto"/>
        <w:rPr>
          <w:sz w:val="20"/>
          <w:szCs w:val="20"/>
          <w:color w:val="auto"/>
        </w:rPr>
      </w:pPr>
      <w:r>
        <w:rPr>
          <w:rFonts w:ascii="Arial" w:cs="Arial" w:eastAsia="Arial" w:hAnsi="Arial"/>
          <w:sz w:val="18"/>
          <w:szCs w:val="18"/>
          <w:color w:val="auto"/>
        </w:rPr>
        <w:t>First Time US Generics LLC (FTUG); Glenmark; Hetero USA Inc. and Hetero Labs Limited Unit V (Hetero); Mylan Pharmaceuticals Inc. (Mylan); Panacea Biotec, Ltd. (Panacea); Sun Global; Teva Pharmaceuticals USA, Inc. (Teva USA); Watson Laboratories, Inc. (Watson); and Zydus Pharmaceuticals USA, Inc. (Zydus) each submitted ANDAs seeking approval to market generic versions of Effient prior to the expiration of Daiichi Sankyo’s and Ube’s patents (expiring in 2022) covering methods of using Effient with aspirin, and alleging the patents are invalid. The ANDA filed by Mylan also alleges that the compound patent for Effient (expiring in 2017) is invalid.</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2014, we filed a lawsuit in the U.S. District Court for the Southern District of Indiana against Accord USA, Amneal, Aurobindo, Dr. Reddy’s, Glenmark, Hetero, Mylan, Sun Global, Teva USA, Watson and Zydus, and their related companies, seeking a ruling that the patents are valid and infringed. We filed similar lawsuits in the same court against Apotex (April 2014), Panacea (June 2014), and FTUG (July 2014). In October 2014, the court consolidated the pending cases. The lawsuits against Aurobindo, Hetero, and FTUG have been stayed, and the parties have agreed to be bound by the outcome of the consolidated litigation.</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and we expect to prevail in these proceedings.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approximately 5,275 product liability cases in the U.S. related to the diabetes medication Actos, which we co-promoted with Takeda in the U.S. from 1999 until September 2006. In general, plaintiffs in these actions allege that Actos caused or contributed to their bladder cancer. Almost all of the active cases have been consolidated in federal multi-district litigation in the Western District of Louisiana or are pending in a coordinated state court proceeding in California or a coordinated state court proceeding in Illinois. We believe these lawsuits are without merit, and we and Takeda are prepared to defend against them vigorously.</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April 2014, a jury in the Western District of Louisiana found in favor of the plaintiffs in the case of </w:t>
      </w:r>
      <w:r>
        <w:rPr>
          <w:rFonts w:ascii="Arial" w:cs="Arial" w:eastAsia="Arial" w:hAnsi="Arial"/>
          <w:sz w:val="18"/>
          <w:szCs w:val="18"/>
          <w:i w:val="1"/>
          <w:iCs w:val="1"/>
          <w:color w:val="auto"/>
        </w:rPr>
        <w:t>Terrence Allen, et al. v. Takeda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Pharmaceuticals, et al., </w:t>
      </w:r>
      <w:r>
        <w:rPr>
          <w:rFonts w:ascii="Arial" w:cs="Arial" w:eastAsia="Arial" w:hAnsi="Arial"/>
          <w:sz w:val="18"/>
          <w:szCs w:val="18"/>
          <w:color w:val="auto"/>
        </w:rPr>
        <w:t>no. 6:12-md-00064. In September 2014, judgment was entered awarding $1.3 million in compensatory damages to</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(allocated 75 percent to Takeda and 25 percent to us) and punitive damages of $6.00 billion against Takeda and $3.00 billion against us. In October 2014, the judge issued an order substantially reducing the amount of punitive damages awarded to approximately $28 million against Takeda and approximately $9 million against us. We continue to believe the evidence did not support plaintiffs’ claims and strongly disagree with the verdict. We and Takeda intend to vigorously challenge this outcome through all available legal means. We and Takeda have appealed this judgment and plaintiffs have filed a cross-appeal objecting to the reduction in punitive damages.</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Our agreement with Takeda calls for Takeda to defend and indemnify us against our losses and expenses with respect to the U.S. product liability litigation and other related expenses in accordance with the terms of the agreement. After the jury reached its verdict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Takeda notified us that it was reserving its right to challenge its obligations to defend and indemnify us with respect to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We believe we are entitled to full indemnification of our losses and expenses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and all other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 We believe these claims are without merit and are prepared to defend against them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Byetta Product Liability Litigation</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are named as a defendant in approximately 415 Byetta product liability lawsuits involving approximately 920 plaintiffs. Approximately 95 of these lawsuits, covering about 540 plaintiffs, are filed in California state court and coordinated in a Los Angeles Superior Court. Approximately 310 lawsuits, covering about 350 plaintiffs, are filed in federal court, the majority of which are coordinated in a multi-district litigation in the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87</w:t>
      </w:r>
    </w:p>
    <w:p>
      <w:pPr>
        <w:sectPr>
          <w:pgSz w:w="11900" w:h="16838" w:orient="portrait"/>
          <w:cols w:equalWidth="0" w:num="1">
            <w:col w:w="11420"/>
          </w:cols>
          <w:pgMar w:left="240" w:top="70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Southern District of California. The remaining approximately 10 lawsuits, representing about 30 plaintiffs, are in various state</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courts. Approximately 350 of the lawsuits, involving approximately 540 plaintiffs, contain allegations that Byetta caused or contributed to the plaintiffs' cancer (primarily pancreatic cancer or thyroid cancer). We are aware of approximately 395 additional claimants who have not yet filed suit. The majority of these additional claims allege damages for pancreatitis. We believe these lawsuits and claims are without merit and are prepared to defend against them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Prozac</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are named as a defendant in approximately 10 U.S. lawsuits primarily related to allegations that the antidepressant Prozac caused or contributed to birth defects in the children of women who ingested the drug during pregnancy. We are aware of approximately 470 additional claims related to birth defects, which have not yet been filed. We believe these lawsuits and claims are without merit and are prepared to defend against them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$375 million as of December 31, 2014) plus interest. We strongly disagree with the decision and filed an appeal in May 2014. We are also named in approximately 30 lawsuits filed in the same court by individual former employees making similar claims. We believe these lawsuits are without merit and are prepared to defend against them vigorously.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88</w:t>
      </w:r>
    </w:p>
    <w:p>
      <w:pPr>
        <w:sectPr>
          <w:pgSz w:w="11900" w:h="16838" w:orient="portrait"/>
          <w:cols w:equalWidth="0" w:num="1">
            <w:col w:w="11380"/>
          </w:cols>
          <w:pgMar w:left="240" w:top="706" w:right="279" w:bottom="1440" w:gutter="0" w:footer="0" w:header="0"/>
        </w:sectPr>
      </w:pPr>
    </w:p>
    <w:bookmarkStart w:id="88" w:name="page89"/>
    <w:bookmarkEnd w:id="88"/>
    <w:p>
      <w:pPr>
        <w:spacing w:after="0"/>
        <w:tabs>
          <w:tab w:leader="none" w:pos="900" w:val="left"/>
        </w:tabs>
        <w:rPr>
          <w:sz w:val="20"/>
          <w:szCs w:val="20"/>
          <w:color w:val="auto"/>
        </w:rPr>
      </w:pPr>
      <w:r>
        <w:rPr>
          <w:rFonts w:ascii="Arial" w:cs="Arial" w:eastAsia="Arial" w:hAnsi="Arial"/>
          <w:sz w:val="18"/>
          <w:szCs w:val="18"/>
          <w:b w:val="1"/>
          <w:bCs w:val="1"/>
          <w:color w:val="CC0000"/>
        </w:rPr>
        <w:t>Note 16:</w:t>
      </w:r>
      <w:r>
        <w:rPr>
          <w:sz w:val="20"/>
          <w:szCs w:val="20"/>
          <w:color w:val="auto"/>
        </w:rPr>
        <w:tab/>
      </w:r>
      <w:r>
        <w:rPr>
          <w:rFonts w:ascii="Arial" w:cs="Arial" w:eastAsia="Arial" w:hAnsi="Arial"/>
          <w:sz w:val="17"/>
          <w:szCs w:val="17"/>
          <w:b w:val="1"/>
          <w:bCs w:val="1"/>
          <w:color w:val="CC0000"/>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right="206"/>
              <w:spacing w:after="0"/>
              <w:rPr>
                <w:sz w:val="20"/>
                <w:szCs w:val="20"/>
                <w:color w:val="auto"/>
              </w:rPr>
            </w:pPr>
            <w:r>
              <w:rPr>
                <w:rFonts w:ascii="Arial" w:cs="Arial" w:eastAsia="Arial" w:hAnsi="Arial"/>
                <w:sz w:val="13"/>
                <w:szCs w:val="13"/>
                <w:b w:val="1"/>
                <w:bCs w:val="1"/>
                <w:color w:val="auto"/>
                <w:w w:val="96"/>
              </w:rPr>
              <w:t>Defined Benefit</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right="206"/>
              <w:spacing w:after="0" w:line="135" w:lineRule="exact"/>
              <w:rPr>
                <w:sz w:val="20"/>
                <w:szCs w:val="20"/>
                <w:color w:val="auto"/>
              </w:rPr>
            </w:pPr>
            <w:r>
              <w:rPr>
                <w:rFonts w:ascii="Arial" w:cs="Arial" w:eastAsia="Arial" w:hAnsi="Arial"/>
                <w:sz w:val="13"/>
                <w:szCs w:val="13"/>
                <w:b w:val="1"/>
                <w:bCs w:val="1"/>
                <w:color w:val="auto"/>
                <w:w w:val="98"/>
              </w:rPr>
              <w:t>Pension and</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380" w:type="dxa"/>
            <w:vAlign w:val="bottom"/>
          </w:tcPr>
          <w:p>
            <w:pPr>
              <w:spacing w:after="0"/>
              <w:rPr>
                <w:sz w:val="11"/>
                <w:szCs w:val="11"/>
                <w:color w:val="auto"/>
              </w:rPr>
            </w:pPr>
          </w:p>
        </w:tc>
        <w:tc>
          <w:tcPr>
            <w:tcW w:w="1400" w:type="dxa"/>
            <w:vAlign w:val="bottom"/>
          </w:tcPr>
          <w:p>
            <w:pPr>
              <w:jc w:val="center"/>
              <w:ind w:right="186"/>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4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Unrealized Net Gains</w:t>
            </w:r>
          </w:p>
        </w:tc>
        <w:tc>
          <w:tcPr>
            <w:tcW w:w="1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140" w:type="dxa"/>
            <w:vAlign w:val="bottom"/>
          </w:tcPr>
          <w:p>
            <w:pPr>
              <w:spacing w:after="0"/>
              <w:rPr>
                <w:sz w:val="11"/>
                <w:szCs w:val="11"/>
                <w:color w:val="auto"/>
              </w:rPr>
            </w:pPr>
          </w:p>
        </w:tc>
        <w:tc>
          <w:tcPr>
            <w:tcW w:w="130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right"/>
              <w:ind w:right="59"/>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5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6"/>
              </w:rPr>
              <w:t>Gains (Losses)</w:t>
            </w: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(Losses) on Securities</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97"/>
              </w:rPr>
              <w:t>Plans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70"/>
        </w:trPr>
        <w:tc>
          <w:tcPr>
            <w:tcW w:w="3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 2012</w:t>
            </w:r>
          </w:p>
        </w:tc>
        <w:tc>
          <w:tcPr>
            <w:tcW w:w="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8D8D8"/>
          </w:tcPr>
          <w:p>
            <w:pPr>
              <w:jc w:val="right"/>
              <w:ind w:right="246"/>
              <w:spacing w:after="0"/>
              <w:rPr>
                <w:sz w:val="20"/>
                <w:szCs w:val="20"/>
                <w:color w:val="auto"/>
              </w:rPr>
            </w:pPr>
            <w:r>
              <w:rPr>
                <w:rFonts w:ascii="Arial" w:cs="Arial" w:eastAsia="Arial" w:hAnsi="Arial"/>
                <w:sz w:val="18"/>
                <w:szCs w:val="18"/>
                <w:color w:val="auto"/>
              </w:rPr>
              <w:t>265.9</w:t>
            </w:r>
          </w:p>
        </w:tc>
        <w:tc>
          <w:tcPr>
            <w:tcW w:w="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8D8D8"/>
          </w:tcPr>
          <w:p>
            <w:pPr>
              <w:jc w:val="right"/>
              <w:ind w:right="186"/>
              <w:spacing w:after="0"/>
              <w:rPr>
                <w:sz w:val="20"/>
                <w:szCs w:val="20"/>
                <w:color w:val="auto"/>
              </w:rPr>
            </w:pPr>
            <w:r>
              <w:rPr>
                <w:rFonts w:ascii="Arial" w:cs="Arial" w:eastAsia="Arial" w:hAnsi="Arial"/>
                <w:sz w:val="18"/>
                <w:szCs w:val="18"/>
                <w:color w:val="auto"/>
              </w:rPr>
              <w:t>(4,032.2)</w:t>
            </w:r>
          </w:p>
        </w:tc>
        <w:tc>
          <w:tcPr>
            <w:tcW w:w="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(107.1)</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99"/>
              <w:spacing w:after="0"/>
              <w:rPr>
                <w:sz w:val="20"/>
                <w:szCs w:val="20"/>
                <w:color w:val="auto"/>
              </w:rPr>
            </w:pPr>
            <w:r>
              <w:rPr>
                <w:rFonts w:ascii="Arial" w:cs="Arial" w:eastAsia="Arial" w:hAnsi="Arial"/>
                <w:sz w:val="18"/>
                <w:szCs w:val="18"/>
                <w:color w:val="auto"/>
              </w:rPr>
              <w:t>(3,858.6)</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Unrealized gain (loss)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D8D8D8"/>
          </w:tcPr>
          <w:p>
            <w:pPr>
              <w:spacing w:after="0"/>
              <w:rPr>
                <w:sz w:val="23"/>
                <w:szCs w:val="23"/>
                <w:color w:val="auto"/>
              </w:rPr>
            </w:pPr>
          </w:p>
        </w:tc>
        <w:tc>
          <w:tcPr>
            <w:tcW w:w="136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Net amount reclassed to net income</w:t>
            </w:r>
          </w:p>
        </w:tc>
        <w:tc>
          <w:tcPr>
            <w:tcW w:w="380" w:type="dxa"/>
            <w:vAlign w:val="bottom"/>
            <w:tcBorders>
              <w:bottom w:val="single" w:sz="8" w:color="D8D8D8"/>
            </w:tcBorders>
          </w:tcPr>
          <w:p>
            <w:pPr>
              <w:spacing w:after="0"/>
              <w:rPr>
                <w:sz w:val="22"/>
                <w:szCs w:val="22"/>
                <w:color w:val="auto"/>
              </w:rPr>
            </w:pPr>
          </w:p>
        </w:tc>
        <w:tc>
          <w:tcPr>
            <w:tcW w:w="1400" w:type="dxa"/>
            <w:vAlign w:val="bottom"/>
            <w:tcBorders>
              <w:bottom w:val="single" w:sz="8" w:color="D8D8D8"/>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(46.4)</w:t>
            </w:r>
          </w:p>
        </w:tc>
        <w:tc>
          <w:tcPr>
            <w:tcW w:w="300" w:type="dxa"/>
            <w:vAlign w:val="bottom"/>
            <w:tcBorders>
              <w:bottom w:val="single" w:sz="8" w:color="D8D8D8"/>
            </w:tcBorders>
          </w:tcPr>
          <w:p>
            <w:pPr>
              <w:spacing w:after="0"/>
              <w:rPr>
                <w:sz w:val="22"/>
                <w:szCs w:val="22"/>
                <w:color w:val="auto"/>
              </w:rPr>
            </w:pPr>
          </w:p>
        </w:tc>
        <w:tc>
          <w:tcPr>
            <w:tcW w:w="1360" w:type="dxa"/>
            <w:vAlign w:val="bottom"/>
            <w:tcBorders>
              <w:bottom w:val="single" w:sz="8" w:color="D8D8D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D8D8D8"/>
            </w:tcBorders>
          </w:tcPr>
          <w:p>
            <w:pPr>
              <w:spacing w:after="0"/>
              <w:rPr>
                <w:sz w:val="22"/>
                <w:szCs w:val="22"/>
                <w:color w:val="auto"/>
              </w:rPr>
            </w:pPr>
          </w:p>
        </w:tc>
        <w:tc>
          <w:tcPr>
            <w:tcW w:w="1320" w:type="dxa"/>
            <w:vAlign w:val="bottom"/>
            <w:tcBorders>
              <w:bottom w:val="single" w:sz="8" w:color="D8D8D8"/>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380" w:type="dxa"/>
            <w:vAlign w:val="bottom"/>
            <w:shd w:val="clear" w:color="auto" w:fill="D8D8D8"/>
          </w:tcPr>
          <w:p>
            <w:pPr>
              <w:spacing w:after="0"/>
              <w:rPr>
                <w:sz w:val="22"/>
                <w:szCs w:val="22"/>
                <w:color w:val="auto"/>
              </w:rPr>
            </w:pPr>
          </w:p>
        </w:tc>
        <w:tc>
          <w:tcPr>
            <w:tcW w:w="1400" w:type="dxa"/>
            <w:vAlign w:val="bottom"/>
            <w:shd w:val="clear" w:color="auto" w:fill="D8D8D8"/>
          </w:tcPr>
          <w:p>
            <w:pPr>
              <w:jc w:val="right"/>
              <w:ind w:right="246"/>
              <w:spacing w:after="0"/>
              <w:rPr>
                <w:sz w:val="20"/>
                <w:szCs w:val="20"/>
                <w:color w:val="auto"/>
              </w:rPr>
            </w:pPr>
            <w:r>
              <w:rPr>
                <w:rFonts w:ascii="Arial" w:cs="Arial" w:eastAsia="Arial" w:hAnsi="Arial"/>
                <w:sz w:val="18"/>
                <w:szCs w:val="18"/>
                <w:color w:val="auto"/>
              </w:rPr>
              <w:t>160.9</w:t>
            </w:r>
          </w:p>
        </w:tc>
        <w:tc>
          <w:tcPr>
            <w:tcW w:w="440" w:type="dxa"/>
            <w:vAlign w:val="bottom"/>
            <w:shd w:val="clear" w:color="auto" w:fill="D8D8D8"/>
          </w:tcPr>
          <w:p>
            <w:pPr>
              <w:spacing w:after="0"/>
              <w:rPr>
                <w:sz w:val="22"/>
                <w:szCs w:val="22"/>
                <w:color w:val="auto"/>
              </w:rPr>
            </w:pPr>
          </w:p>
        </w:tc>
        <w:tc>
          <w:tcPr>
            <w:tcW w:w="9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57.7</w:t>
            </w:r>
          </w:p>
        </w:tc>
        <w:tc>
          <w:tcPr>
            <w:tcW w:w="300" w:type="dxa"/>
            <w:vAlign w:val="bottom"/>
            <w:shd w:val="clear" w:color="auto" w:fill="D8D8D8"/>
          </w:tcPr>
          <w:p>
            <w:pPr>
              <w:spacing w:after="0"/>
              <w:rPr>
                <w:sz w:val="22"/>
                <w:szCs w:val="22"/>
                <w:color w:val="auto"/>
              </w:rPr>
            </w:pPr>
          </w:p>
        </w:tc>
        <w:tc>
          <w:tcPr>
            <w:tcW w:w="1360" w:type="dxa"/>
            <w:vAlign w:val="bottom"/>
            <w:shd w:val="clear" w:color="auto" w:fill="D8D8D8"/>
          </w:tcPr>
          <w:p>
            <w:pPr>
              <w:jc w:val="right"/>
              <w:ind w:right="186"/>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139"/>
              <w:spacing w:after="0"/>
              <w:rPr>
                <w:sz w:val="20"/>
                <w:szCs w:val="20"/>
                <w:color w:val="auto"/>
              </w:rPr>
            </w:pPr>
            <w:r>
              <w:rPr>
                <w:rFonts w:ascii="Arial" w:cs="Arial" w:eastAsia="Arial" w:hAnsi="Arial"/>
                <w:sz w:val="18"/>
                <w:szCs w:val="18"/>
                <w:color w:val="auto"/>
              </w:rPr>
              <w:t>5.9</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159"/>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2947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2012</w:t>
      </w:r>
    </w:p>
    <w:p>
      <w:pPr>
        <w:spacing w:after="0" w:line="266" w:lineRule="exact"/>
        <w:rPr>
          <w:sz w:val="20"/>
          <w:szCs w:val="20"/>
          <w:color w:val="auto"/>
        </w:rPr>
      </w:pPr>
    </w:p>
    <w:p>
      <w:pPr>
        <w:ind w:left="180" w:right="240"/>
        <w:spacing w:after="0" w:line="246" w:lineRule="auto"/>
        <w:rPr>
          <w:sz w:val="20"/>
          <w:szCs w:val="20"/>
          <w:color w:val="auto"/>
        </w:rPr>
      </w:pPr>
      <w:r>
        <w:rPr>
          <w:rFonts w:ascii="Arial" w:cs="Arial" w:eastAsia="Arial" w:hAnsi="Arial"/>
          <w:sz w:val="18"/>
          <w:szCs w:val="18"/>
          <w:color w:val="auto"/>
        </w:rPr>
        <w:t>Other comprehensive income (loss) before reclassifications</w:t>
      </w:r>
    </w:p>
    <w:p>
      <w:pPr>
        <w:spacing w:after="0" w:line="35" w:lineRule="exact"/>
        <w:rPr>
          <w:sz w:val="20"/>
          <w:szCs w:val="20"/>
          <w:color w:val="auto"/>
        </w:rPr>
      </w:pPr>
    </w:p>
    <w:p>
      <w:pPr>
        <w:ind w:left="180" w:right="280"/>
        <w:spacing w:after="0" w:line="246" w:lineRule="auto"/>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jc w:val="right"/>
              <w:ind w:right="430"/>
              <w:spacing w:after="0"/>
              <w:rPr>
                <w:sz w:val="20"/>
                <w:szCs w:val="20"/>
                <w:color w:val="auto"/>
              </w:rPr>
            </w:pPr>
            <w:r>
              <w:rPr>
                <w:rFonts w:ascii="Arial" w:cs="Arial" w:eastAsia="Arial" w:hAnsi="Arial"/>
                <w:sz w:val="18"/>
                <w:szCs w:val="18"/>
                <w:color w:val="auto"/>
                <w:w w:val="97"/>
              </w:rPr>
              <w:t>426.8</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72.5</w:t>
            </w: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(4,195.2)</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(101.2)</w:t>
            </w:r>
          </w:p>
        </w:tc>
        <w:tc>
          <w:tcPr>
            <w:tcW w:w="1140" w:type="dxa"/>
            <w:vAlign w:val="bottom"/>
          </w:tcPr>
          <w:p>
            <w:pPr>
              <w:jc w:val="right"/>
              <w:spacing w:after="0"/>
              <w:rPr>
                <w:sz w:val="20"/>
                <w:szCs w:val="20"/>
                <w:color w:val="auto"/>
              </w:rPr>
            </w:pPr>
            <w:r>
              <w:rPr>
                <w:rFonts w:ascii="Arial" w:cs="Arial" w:eastAsia="Arial" w:hAnsi="Arial"/>
                <w:sz w:val="18"/>
                <w:szCs w:val="18"/>
                <w:color w:val="auto"/>
              </w:rPr>
              <w:t>(3,797.1)</w:t>
            </w:r>
          </w:p>
        </w:tc>
      </w:tr>
      <w:tr>
        <w:trPr>
          <w:trHeight w:val="648"/>
        </w:trPr>
        <w:tc>
          <w:tcPr>
            <w:tcW w:w="980" w:type="dxa"/>
            <w:vAlign w:val="bottom"/>
          </w:tcPr>
          <w:p>
            <w:pPr>
              <w:jc w:val="right"/>
              <w:ind w:right="430"/>
              <w:spacing w:after="0"/>
              <w:rPr>
                <w:sz w:val="20"/>
                <w:szCs w:val="20"/>
                <w:color w:val="auto"/>
              </w:rPr>
            </w:pPr>
            <w:r>
              <w:rPr>
                <w:rFonts w:ascii="Arial" w:cs="Arial" w:eastAsia="Arial" w:hAnsi="Arial"/>
                <w:sz w:val="18"/>
                <w:szCs w:val="18"/>
                <w:color w:val="auto"/>
              </w:rPr>
              <w:t>36.2</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138.9</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1,387.1</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(86.5)</w:t>
            </w:r>
          </w:p>
        </w:tc>
        <w:tc>
          <w:tcPr>
            <w:tcW w:w="1140" w:type="dxa"/>
            <w:vAlign w:val="bottom"/>
          </w:tcPr>
          <w:p>
            <w:pPr>
              <w:jc w:val="right"/>
              <w:spacing w:after="0"/>
              <w:rPr>
                <w:sz w:val="20"/>
                <w:szCs w:val="20"/>
                <w:color w:val="auto"/>
              </w:rPr>
            </w:pPr>
            <w:r>
              <w:rPr>
                <w:rFonts w:ascii="Arial" w:cs="Arial" w:eastAsia="Arial" w:hAnsi="Arial"/>
                <w:sz w:val="18"/>
                <w:szCs w:val="18"/>
                <w:color w:val="auto"/>
              </w:rPr>
              <w:t>1,475.7</w:t>
            </w:r>
          </w:p>
        </w:tc>
      </w:tr>
      <w:tr>
        <w:trPr>
          <w:trHeight w:val="459"/>
        </w:trPr>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(6.2)</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319.0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1140" w:type="dxa"/>
            <w:vAlign w:val="bottom"/>
          </w:tcPr>
          <w:p>
            <w:pPr>
              <w:jc w:val="right"/>
              <w:spacing w:after="0"/>
              <w:rPr>
                <w:sz w:val="20"/>
                <w:szCs w:val="20"/>
                <w:color w:val="auto"/>
              </w:rPr>
            </w:pPr>
            <w:r>
              <w:rPr>
                <w:rFonts w:ascii="Arial" w:cs="Arial" w:eastAsia="Arial" w:hAnsi="Arial"/>
                <w:sz w:val="18"/>
                <w:szCs w:val="18"/>
                <w:color w:val="auto"/>
              </w:rPr>
              <w:t>318.7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-574040</wp:posOffset>
            </wp:positionV>
            <wp:extent cx="7229475"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3820" w:space="720"/>
            <w:col w:w="688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3760" w:type="dxa"/>
            <w:vAlign w:val="bottom"/>
            <w:tcBorders>
              <w:top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420" w:type="dxa"/>
            <w:vAlign w:val="bottom"/>
            <w:tcBorders>
              <w:top w:val="single" w:sz="8" w:color="auto"/>
            </w:tcBorders>
            <w:shd w:val="clear" w:color="auto" w:fill="D8D8D8"/>
          </w:tcPr>
          <w:p>
            <w:pPr>
              <w:spacing w:after="0"/>
              <w:rPr>
                <w:sz w:val="23"/>
                <w:szCs w:val="23"/>
                <w:color w:val="auto"/>
              </w:rPr>
            </w:pPr>
          </w:p>
        </w:tc>
        <w:tc>
          <w:tcPr>
            <w:tcW w:w="1020" w:type="dxa"/>
            <w:vAlign w:val="bottom"/>
            <w:tcBorders>
              <w:top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36.2</w:t>
            </w:r>
          </w:p>
        </w:tc>
        <w:tc>
          <w:tcPr>
            <w:tcW w:w="540" w:type="dxa"/>
            <w:vAlign w:val="bottom"/>
            <w:tcBorders>
              <w:top w:val="single" w:sz="8" w:color="auto"/>
            </w:tcBorders>
            <w:shd w:val="clear" w:color="auto" w:fill="D8D8D8"/>
          </w:tcPr>
          <w:p>
            <w:pPr>
              <w:spacing w:after="0"/>
              <w:rPr>
                <w:sz w:val="23"/>
                <w:szCs w:val="23"/>
                <w:color w:val="auto"/>
              </w:rPr>
            </w:pPr>
          </w:p>
        </w:tc>
        <w:tc>
          <w:tcPr>
            <w:tcW w:w="980" w:type="dxa"/>
            <w:vAlign w:val="bottom"/>
            <w:tcBorders>
              <w:top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132.7</w:t>
            </w:r>
          </w:p>
        </w:tc>
        <w:tc>
          <w:tcPr>
            <w:tcW w:w="480" w:type="dxa"/>
            <w:vAlign w:val="bottom"/>
            <w:tcBorders>
              <w:top w:val="single" w:sz="8" w:color="auto"/>
            </w:tcBorders>
            <w:shd w:val="clear" w:color="auto" w:fill="D8D8D8"/>
          </w:tcPr>
          <w:p>
            <w:pPr>
              <w:spacing w:after="0"/>
              <w:rPr>
                <w:sz w:val="23"/>
                <w:szCs w:val="23"/>
                <w:color w:val="auto"/>
              </w:rPr>
            </w:pPr>
          </w:p>
        </w:tc>
        <w:tc>
          <w:tcPr>
            <w:tcW w:w="1080" w:type="dxa"/>
            <w:vAlign w:val="bottom"/>
            <w:tcBorders>
              <w:top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1,706.1</w:t>
            </w:r>
          </w:p>
        </w:tc>
        <w:tc>
          <w:tcPr>
            <w:tcW w:w="540" w:type="dxa"/>
            <w:vAlign w:val="bottom"/>
            <w:tcBorders>
              <w:top w:val="single" w:sz="8" w:color="auto"/>
            </w:tcBorders>
            <w:shd w:val="clear" w:color="auto" w:fill="D8D8D8"/>
          </w:tcPr>
          <w:p>
            <w:pPr>
              <w:spacing w:after="0"/>
              <w:rPr>
                <w:sz w:val="23"/>
                <w:szCs w:val="23"/>
                <w:color w:val="auto"/>
              </w:rPr>
            </w:pPr>
          </w:p>
        </w:tc>
        <w:tc>
          <w:tcPr>
            <w:tcW w:w="1000" w:type="dxa"/>
            <w:vAlign w:val="bottom"/>
            <w:tcBorders>
              <w:top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(80.6)</w:t>
            </w:r>
          </w:p>
        </w:tc>
        <w:tc>
          <w:tcPr>
            <w:tcW w:w="460" w:type="dxa"/>
            <w:vAlign w:val="bottom"/>
            <w:tcBorders>
              <w:top w:val="single" w:sz="8" w:color="auto"/>
            </w:tcBorders>
            <w:shd w:val="clear" w:color="auto" w:fill="D8D8D8"/>
          </w:tcPr>
          <w:p>
            <w:pPr>
              <w:spacing w:after="0"/>
              <w:rPr>
                <w:sz w:val="23"/>
                <w:szCs w:val="23"/>
                <w:color w:val="auto"/>
              </w:rPr>
            </w:pPr>
          </w:p>
        </w:tc>
        <w:tc>
          <w:tcPr>
            <w:tcW w:w="1120" w:type="dxa"/>
            <w:vAlign w:val="bottom"/>
            <w:tcBorders>
              <w:top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1,794.4</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D8D8D8"/>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2013</w:t>
            </w:r>
          </w:p>
        </w:tc>
        <w:tc>
          <w:tcPr>
            <w:tcW w:w="42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463.0</w:t>
            </w:r>
          </w:p>
        </w:tc>
        <w:tc>
          <w:tcPr>
            <w:tcW w:w="540" w:type="dxa"/>
            <w:vAlign w:val="bottom"/>
            <w:shd w:val="clear" w:color="auto" w:fill="D8D8D8"/>
          </w:tcPr>
          <w:p>
            <w:pPr>
              <w:spacing w:after="0"/>
              <w:rPr>
                <w:sz w:val="22"/>
                <w:szCs w:val="22"/>
                <w:color w:val="auto"/>
              </w:rPr>
            </w:pPr>
          </w:p>
        </w:tc>
        <w:tc>
          <w:tcPr>
            <w:tcW w:w="9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205.2</w:t>
            </w:r>
          </w:p>
        </w:tc>
        <w:tc>
          <w:tcPr>
            <w:tcW w:w="480" w:type="dxa"/>
            <w:vAlign w:val="bottom"/>
            <w:shd w:val="clear" w:color="auto" w:fill="D8D8D8"/>
          </w:tcPr>
          <w:p>
            <w:pPr>
              <w:spacing w:after="0"/>
              <w:rPr>
                <w:sz w:val="22"/>
                <w:szCs w:val="22"/>
                <w:color w:val="auto"/>
              </w:rPr>
            </w:pPr>
          </w:p>
        </w:tc>
        <w:tc>
          <w:tcPr>
            <w:tcW w:w="108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(2,489.1)</w:t>
            </w:r>
          </w:p>
        </w:tc>
        <w:tc>
          <w:tcPr>
            <w:tcW w:w="540" w:type="dxa"/>
            <w:vAlign w:val="bottom"/>
            <w:shd w:val="clear" w:color="auto" w:fill="D8D8D8"/>
          </w:tcPr>
          <w:p>
            <w:pPr>
              <w:spacing w:after="0"/>
              <w:rPr>
                <w:sz w:val="22"/>
                <w:szCs w:val="22"/>
                <w:color w:val="auto"/>
              </w:rPr>
            </w:pPr>
          </w:p>
        </w:tc>
        <w:tc>
          <w:tcPr>
            <w:tcW w:w="100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(181.8)</w:t>
            </w:r>
          </w:p>
        </w:tc>
        <w:tc>
          <w:tcPr>
            <w:tcW w:w="460" w:type="dxa"/>
            <w:vAlign w:val="bottom"/>
            <w:shd w:val="clear" w:color="auto" w:fill="D8D8D8"/>
          </w:tcPr>
          <w:p>
            <w:pPr>
              <w:spacing w:after="0"/>
              <w:rPr>
                <w:sz w:val="22"/>
                <w:szCs w:val="22"/>
                <w:color w:val="auto"/>
              </w:rPr>
            </w:pPr>
          </w:p>
        </w:tc>
        <w:tc>
          <w:tcPr>
            <w:tcW w:w="11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420" w:type="dxa"/>
            <w:vAlign w:val="bottom"/>
            <w:shd w:val="clear" w:color="auto" w:fill="D8D8D8"/>
          </w:tcPr>
          <w:p>
            <w:pPr>
              <w:spacing w:after="0"/>
              <w:rPr>
                <w:sz w:val="19"/>
                <w:szCs w:val="19"/>
                <w:color w:val="auto"/>
              </w:rPr>
            </w:pPr>
          </w:p>
        </w:tc>
        <w:tc>
          <w:tcPr>
            <w:tcW w:w="102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(961.4)</w:t>
            </w:r>
          </w:p>
        </w:tc>
        <w:tc>
          <w:tcPr>
            <w:tcW w:w="540" w:type="dxa"/>
            <w:vAlign w:val="bottom"/>
            <w:shd w:val="clear" w:color="auto" w:fill="D8D8D8"/>
          </w:tcPr>
          <w:p>
            <w:pPr>
              <w:spacing w:after="0"/>
              <w:rPr>
                <w:sz w:val="19"/>
                <w:szCs w:val="19"/>
                <w:color w:val="auto"/>
              </w:rPr>
            </w:pPr>
          </w:p>
        </w:tc>
        <w:tc>
          <w:tcPr>
            <w:tcW w:w="98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105.2</w:t>
            </w:r>
          </w:p>
        </w:tc>
        <w:tc>
          <w:tcPr>
            <w:tcW w:w="480" w:type="dxa"/>
            <w:vAlign w:val="bottom"/>
            <w:shd w:val="clear" w:color="auto" w:fill="D8D8D8"/>
          </w:tcPr>
          <w:p>
            <w:pPr>
              <w:spacing w:after="0"/>
              <w:rPr>
                <w:sz w:val="19"/>
                <w:szCs w:val="19"/>
                <w:color w:val="auto"/>
              </w:rPr>
            </w:pPr>
          </w:p>
        </w:tc>
        <w:tc>
          <w:tcPr>
            <w:tcW w:w="108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(1,098.5)</w:t>
            </w:r>
          </w:p>
        </w:tc>
        <w:tc>
          <w:tcPr>
            <w:tcW w:w="540" w:type="dxa"/>
            <w:vAlign w:val="bottom"/>
            <w:shd w:val="clear" w:color="auto" w:fill="D8D8D8"/>
          </w:tcPr>
          <w:p>
            <w:pPr>
              <w:spacing w:after="0"/>
              <w:rPr>
                <w:sz w:val="19"/>
                <w:szCs w:val="19"/>
                <w:color w:val="auto"/>
              </w:rPr>
            </w:pPr>
          </w:p>
        </w:tc>
        <w:tc>
          <w:tcPr>
            <w:tcW w:w="100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(15.2)</w:t>
            </w:r>
          </w:p>
        </w:tc>
        <w:tc>
          <w:tcPr>
            <w:tcW w:w="460" w:type="dxa"/>
            <w:vAlign w:val="bottom"/>
            <w:shd w:val="clear" w:color="auto" w:fill="D8D8D8"/>
          </w:tcPr>
          <w:p>
            <w:pPr>
              <w:spacing w:after="0"/>
              <w:rPr>
                <w:sz w:val="19"/>
                <w:szCs w:val="19"/>
                <w:color w:val="auto"/>
              </w:rPr>
            </w:pPr>
          </w:p>
        </w:tc>
        <w:tc>
          <w:tcPr>
            <w:tcW w:w="1120" w:type="dxa"/>
            <w:vAlign w:val="bottom"/>
            <w:vMerge w:val="restart"/>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(1,969.9)</w:t>
            </w:r>
          </w:p>
        </w:tc>
        <w:tc>
          <w:tcPr>
            <w:tcW w:w="0" w:type="dxa"/>
            <w:vAlign w:val="bottom"/>
          </w:tcPr>
          <w:p>
            <w:pPr>
              <w:spacing w:after="0"/>
              <w:rPr>
                <w:sz w:val="1"/>
                <w:szCs w:val="1"/>
                <w:color w:val="auto"/>
              </w:rPr>
            </w:pPr>
          </w:p>
        </w:tc>
      </w:tr>
      <w:tr>
        <w:trPr>
          <w:trHeight w:val="230"/>
        </w:trPr>
        <w:tc>
          <w:tcPr>
            <w:tcW w:w="37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D8D8D8"/>
          </w:tcPr>
          <w:p>
            <w:pPr>
              <w:spacing w:after="0"/>
              <w:rPr>
                <w:sz w:val="20"/>
                <w:szCs w:val="20"/>
                <w:color w:val="auto"/>
              </w:rPr>
            </w:pPr>
          </w:p>
        </w:tc>
        <w:tc>
          <w:tcPr>
            <w:tcW w:w="1020" w:type="dxa"/>
            <w:vAlign w:val="bottom"/>
            <w:vMerge w:val="continue"/>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980" w:type="dxa"/>
            <w:vAlign w:val="bottom"/>
            <w:vMerge w:val="continue"/>
            <w:shd w:val="clear" w:color="auto" w:fill="D8D8D8"/>
          </w:tcPr>
          <w:p>
            <w:pPr>
              <w:spacing w:after="0"/>
              <w:rPr>
                <w:sz w:val="20"/>
                <w:szCs w:val="20"/>
                <w:color w:val="auto"/>
              </w:rPr>
            </w:pPr>
          </w:p>
        </w:tc>
        <w:tc>
          <w:tcPr>
            <w:tcW w:w="480" w:type="dxa"/>
            <w:vAlign w:val="bottom"/>
            <w:shd w:val="clear" w:color="auto" w:fill="D8D8D8"/>
          </w:tcPr>
          <w:p>
            <w:pPr>
              <w:spacing w:after="0"/>
              <w:rPr>
                <w:sz w:val="20"/>
                <w:szCs w:val="20"/>
                <w:color w:val="auto"/>
              </w:rPr>
            </w:pPr>
          </w:p>
        </w:tc>
        <w:tc>
          <w:tcPr>
            <w:tcW w:w="1080" w:type="dxa"/>
            <w:vAlign w:val="bottom"/>
            <w:vMerge w:val="continue"/>
            <w:shd w:val="clear" w:color="auto" w:fill="D8D8D8"/>
          </w:tcPr>
          <w:p>
            <w:pPr>
              <w:spacing w:after="0"/>
              <w:rPr>
                <w:sz w:val="20"/>
                <w:szCs w:val="20"/>
                <w:color w:val="auto"/>
              </w:rPr>
            </w:pPr>
          </w:p>
        </w:tc>
        <w:tc>
          <w:tcPr>
            <w:tcW w:w="540" w:type="dxa"/>
            <w:vAlign w:val="bottom"/>
            <w:shd w:val="clear" w:color="auto" w:fill="D8D8D8"/>
          </w:tcPr>
          <w:p>
            <w:pPr>
              <w:spacing w:after="0"/>
              <w:rPr>
                <w:sz w:val="20"/>
                <w:szCs w:val="20"/>
                <w:color w:val="auto"/>
              </w:rPr>
            </w:pPr>
          </w:p>
        </w:tc>
        <w:tc>
          <w:tcPr>
            <w:tcW w:w="1000" w:type="dxa"/>
            <w:vAlign w:val="bottom"/>
            <w:vMerge w:val="continue"/>
            <w:shd w:val="clear" w:color="auto" w:fill="D8D8D8"/>
          </w:tcPr>
          <w:p>
            <w:pPr>
              <w:spacing w:after="0"/>
              <w:rPr>
                <w:sz w:val="20"/>
                <w:szCs w:val="20"/>
                <w:color w:val="auto"/>
              </w:rPr>
            </w:pPr>
          </w:p>
        </w:tc>
        <w:tc>
          <w:tcPr>
            <w:tcW w:w="460" w:type="dxa"/>
            <w:vAlign w:val="bottom"/>
            <w:shd w:val="clear" w:color="auto" w:fill="D8D8D8"/>
          </w:tcPr>
          <w:p>
            <w:pPr>
              <w:spacing w:after="0"/>
              <w:rPr>
                <w:sz w:val="20"/>
                <w:szCs w:val="20"/>
                <w:color w:val="auto"/>
              </w:rPr>
            </w:pPr>
          </w:p>
        </w:tc>
        <w:tc>
          <w:tcPr>
            <w:tcW w:w="1120" w:type="dxa"/>
            <w:vAlign w:val="bottom"/>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420" w:type="dxa"/>
            <w:vAlign w:val="bottom"/>
          </w:tcPr>
          <w:p>
            <w:pPr>
              <w:spacing w:after="0"/>
              <w:rPr>
                <w:sz w:val="19"/>
                <w:szCs w:val="19"/>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(210.7)</w:t>
            </w:r>
          </w:p>
        </w:tc>
        <w:tc>
          <w:tcPr>
            <w:tcW w:w="480" w:type="dxa"/>
            <w:vAlign w:val="bottom"/>
          </w:tcPr>
          <w:p>
            <w:pPr>
              <w:spacing w:after="0"/>
              <w:rPr>
                <w:sz w:val="19"/>
                <w:szCs w:val="19"/>
                <w:color w:val="auto"/>
              </w:rPr>
            </w:pPr>
          </w:p>
        </w:tc>
        <w:tc>
          <w:tcPr>
            <w:tcW w:w="10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185.6</w:t>
            </w:r>
          </w:p>
        </w:tc>
        <w:tc>
          <w:tcPr>
            <w:tcW w:w="540" w:type="dxa"/>
            <w:vAlign w:val="bottom"/>
          </w:tcPr>
          <w:p>
            <w:pPr>
              <w:spacing w:after="0"/>
              <w:rPr>
                <w:sz w:val="19"/>
                <w:szCs w:val="19"/>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5.9</w:t>
            </w:r>
          </w:p>
        </w:tc>
        <w:tc>
          <w:tcPr>
            <w:tcW w:w="460" w:type="dxa"/>
            <w:vAlign w:val="bottom"/>
          </w:tcPr>
          <w:p>
            <w:pPr>
              <w:spacing w:after="0"/>
              <w:rPr>
                <w:sz w:val="19"/>
                <w:szCs w:val="19"/>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24"/>
        </w:trPr>
        <w:tc>
          <w:tcPr>
            <w:tcW w:w="37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42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(961.4)</w:t>
            </w:r>
          </w:p>
        </w:tc>
        <w:tc>
          <w:tcPr>
            <w:tcW w:w="54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(105.5)</w:t>
            </w:r>
          </w:p>
        </w:tc>
        <w:tc>
          <w:tcPr>
            <w:tcW w:w="48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(912.9)</w:t>
            </w:r>
          </w:p>
        </w:tc>
        <w:tc>
          <w:tcPr>
            <w:tcW w:w="54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(9.3)</w:t>
            </w:r>
          </w:p>
        </w:tc>
        <w:tc>
          <w:tcPr>
            <w:tcW w:w="46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(1,989.1)</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D8D8D8"/>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7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Ending Balance at December 31, 2014</w:t>
            </w:r>
          </w:p>
        </w:tc>
        <w:tc>
          <w:tcPr>
            <w:tcW w:w="4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(498.4)</w:t>
            </w:r>
          </w:p>
        </w:tc>
        <w:tc>
          <w:tcPr>
            <w:tcW w:w="54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99.7</w:t>
            </w:r>
          </w:p>
        </w:tc>
        <w:tc>
          <w:tcPr>
            <w:tcW w:w="4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(3,402.0)</w:t>
            </w:r>
          </w:p>
        </w:tc>
        <w:tc>
          <w:tcPr>
            <w:tcW w:w="54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(191.1)</w:t>
            </w:r>
          </w:p>
        </w:tc>
        <w:tc>
          <w:tcPr>
            <w:tcW w:w="46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(3,991.8)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(expense) benefit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70"/>
        </w:trPr>
        <w:tc>
          <w:tcPr>
            <w:tcW w:w="6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net gains (losses) on securities</w:t>
            </w:r>
          </w:p>
        </w:tc>
        <w:tc>
          <w:tcPr>
            <w:tcW w:w="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56.7</w:t>
            </w:r>
          </w:p>
        </w:tc>
        <w:tc>
          <w:tcPr>
            <w:tcW w:w="4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(71.6)</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(30.8)</w:t>
            </w:r>
          </w:p>
        </w:tc>
      </w:tr>
      <w:tr>
        <w:trPr>
          <w:trHeight w:val="263"/>
        </w:trPr>
        <w:tc>
          <w:tcPr>
            <w:tcW w:w="6860" w:type="dxa"/>
            <w:vAlign w:val="bottom"/>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b w:val="1"/>
                <w:bCs w:val="1"/>
                <w:color w:val="auto"/>
              </w:rPr>
              <w:t>414.7</w:t>
            </w:r>
          </w:p>
        </w:tc>
        <w:tc>
          <w:tcPr>
            <w:tcW w:w="46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(886.1)</w:t>
            </w:r>
          </w:p>
        </w:tc>
        <w:tc>
          <w:tcPr>
            <w:tcW w:w="480" w:type="dxa"/>
            <w:vAlign w:val="bottom"/>
          </w:tcPr>
          <w:p>
            <w:pPr>
              <w:spacing w:after="0"/>
              <w:rPr>
                <w:sz w:val="22"/>
                <w:szCs w:val="22"/>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(34.4)</w:t>
            </w:r>
          </w:p>
        </w:tc>
      </w:tr>
      <w:tr>
        <w:trPr>
          <w:trHeight w:val="277"/>
        </w:trPr>
        <w:tc>
          <w:tcPr>
            <w:tcW w:w="68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Effective portion of cash flow hedges</w:t>
            </w:r>
          </w:p>
        </w:tc>
        <w:tc>
          <w:tcPr>
            <w:tcW w:w="3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5.2</w:t>
            </w:r>
          </w:p>
        </w:tc>
        <w:tc>
          <w:tcPr>
            <w:tcW w:w="46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43.2</w:t>
            </w:r>
          </w:p>
        </w:tc>
        <w:tc>
          <w:tcPr>
            <w:tcW w:w="480" w:type="dxa"/>
            <w:vAlign w:val="bottom"/>
            <w:tcBorders>
              <w:bottom w:val="single" w:sz="8" w:color="auto"/>
            </w:tcBorders>
            <w:shd w:val="clear" w:color="auto" w:fill="D8D8D8"/>
          </w:tcPr>
          <w:p>
            <w:pPr>
              <w:spacing w:after="0"/>
              <w:rPr>
                <w:sz w:val="24"/>
                <w:szCs w:val="24"/>
                <w:color w:val="auto"/>
              </w:rPr>
            </w:pPr>
          </w:p>
        </w:tc>
        <w:tc>
          <w:tcPr>
            <w:tcW w:w="1140" w:type="dxa"/>
            <w:vAlign w:val="bottom"/>
            <w:tcBorders>
              <w:bottom w:val="single" w:sz="8" w:color="auto"/>
            </w:tcBorders>
            <w:shd w:val="clear" w:color="auto" w:fill="D8D8D8"/>
          </w:tcPr>
          <w:p>
            <w:pPr>
              <w:jc w:val="right"/>
              <w:ind w:right="74"/>
              <w:spacing w:after="0"/>
              <w:rPr>
                <w:sz w:val="20"/>
                <w:szCs w:val="20"/>
                <w:color w:val="auto"/>
              </w:rPr>
            </w:pPr>
            <w:r>
              <w:rPr>
                <w:rFonts w:ascii="Arial" w:cs="Arial" w:eastAsia="Arial" w:hAnsi="Arial"/>
                <w:sz w:val="18"/>
                <w:szCs w:val="18"/>
                <w:color w:val="auto"/>
              </w:rPr>
              <w:t>(2.8)</w:t>
            </w:r>
          </w:p>
        </w:tc>
      </w:tr>
      <w:tr>
        <w:trPr>
          <w:trHeight w:val="271"/>
        </w:trPr>
        <w:tc>
          <w:tcPr>
            <w:tcW w:w="6860" w:type="dxa"/>
            <w:vAlign w:val="bottom"/>
          </w:tcPr>
          <w:p>
            <w:pPr>
              <w:ind w:left="40"/>
              <w:spacing w:after="0"/>
              <w:rPr>
                <w:sz w:val="20"/>
                <w:szCs w:val="20"/>
                <w:color w:val="auto"/>
              </w:rPr>
            </w:pPr>
            <w:r>
              <w:rPr>
                <w:rFonts w:ascii="Arial" w:cs="Arial" w:eastAsia="Arial" w:hAnsi="Arial"/>
                <w:sz w:val="18"/>
                <w:szCs w:val="18"/>
                <w:color w:val="auto"/>
              </w:rPr>
              <w:t>Provision for income taxes related to other comprehensive income (loss) items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476.6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(914.5)</w:t>
            </w: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(68.0)</w:t>
            </w:r>
          </w:p>
        </w:tc>
      </w:tr>
    </w:tbl>
    <w:p>
      <w:pPr>
        <w:spacing w:after="0" w:line="10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89</w:t>
      </w:r>
    </w:p>
    <w:p>
      <w:pPr>
        <w:sectPr>
          <w:pgSz w:w="11900" w:h="16838" w:orient="portrait"/>
          <w:cols w:equalWidth="0" w:num="1">
            <w:col w:w="11420"/>
          </w:cols>
          <w:pgMar w:left="240" w:top="576" w:right="239" w:bottom="1440" w:gutter="0" w:footer="0" w:header="0"/>
          <w:type w:val="continuous"/>
        </w:sectPr>
      </w:pPr>
    </w:p>
    <w:bookmarkStart w:id="89" w:name="page90"/>
    <w:bookmarkEnd w:id="89"/>
    <w:p>
      <w:pPr>
        <w:jc w:val="center"/>
        <w:ind w:left="1660"/>
        <w:spacing w:after="0"/>
        <w:rPr>
          <w:sz w:val="20"/>
          <w:szCs w:val="20"/>
          <w:color w:val="auto"/>
        </w:rPr>
      </w:pPr>
      <w:r>
        <w:rPr>
          <w:rFonts w:ascii="Arial" w:cs="Arial" w:eastAsia="Arial" w:hAnsi="Arial"/>
          <w:sz w:val="14"/>
          <w:szCs w:val="14"/>
          <w:b w:val="1"/>
          <w:bCs w:val="1"/>
          <w:color w:val="auto"/>
        </w:rPr>
        <w:t>Reclassifications Out of Accumulated Other</w:t>
      </w:r>
    </w:p>
    <w:p>
      <w:pPr>
        <w:spacing w:after="0" w:line="19" w:lineRule="exact"/>
        <w:rPr>
          <w:sz w:val="20"/>
          <w:szCs w:val="20"/>
          <w:color w:val="auto"/>
        </w:rPr>
      </w:pPr>
    </w:p>
    <w:p>
      <w:pPr>
        <w:jc w:val="center"/>
        <w:ind w:left="166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14605</wp:posOffset>
            </wp:positionV>
            <wp:extent cx="19551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1"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3320" w:type="dxa"/>
            <w:vAlign w:val="bottom"/>
            <w:vMerge w:val="restart"/>
          </w:tcPr>
          <w:p>
            <w:pPr>
              <w:jc w:val="center"/>
              <w:ind w:right="888"/>
              <w:spacing w:after="0"/>
              <w:rPr>
                <w:sz w:val="20"/>
                <w:szCs w:val="20"/>
                <w:color w:val="auto"/>
              </w:rPr>
            </w:pPr>
            <w:r>
              <w:rPr>
                <w:rFonts w:ascii="Arial" w:cs="Arial" w:eastAsia="Arial" w:hAnsi="Arial"/>
                <w:sz w:val="14"/>
                <w:szCs w:val="14"/>
                <w:b w:val="1"/>
                <w:bCs w:val="1"/>
                <w:color w:val="auto"/>
              </w:rPr>
              <w:t>Details about Accumulated Other</w:t>
            </w:r>
          </w:p>
        </w:tc>
        <w:tc>
          <w:tcPr>
            <w:tcW w:w="33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Year Ended December 31,</w:t>
            </w:r>
          </w:p>
        </w:tc>
        <w:tc>
          <w:tcPr>
            <w:tcW w:w="310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80"/>
        </w:trPr>
        <w:tc>
          <w:tcPr>
            <w:tcW w:w="332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20" w:type="dxa"/>
            <w:vAlign w:val="bottom"/>
          </w:tcPr>
          <w:p>
            <w:pPr>
              <w:jc w:val="center"/>
              <w:ind w:right="888"/>
              <w:spacing w:after="0"/>
              <w:rPr>
                <w:sz w:val="20"/>
                <w:szCs w:val="20"/>
                <w:color w:val="auto"/>
              </w:rPr>
            </w:pPr>
            <w:r>
              <w:rPr>
                <w:rFonts w:ascii="Arial" w:cs="Arial" w:eastAsia="Arial" w:hAnsi="Arial"/>
                <w:sz w:val="14"/>
                <w:szCs w:val="14"/>
                <w:b w:val="1"/>
                <w:bCs w:val="1"/>
                <w:color w:val="auto"/>
              </w:rPr>
              <w:t>Comprehensive Loss Components</w:t>
            </w:r>
          </w:p>
        </w:tc>
        <w:tc>
          <w:tcPr>
            <w:tcW w:w="19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4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3100" w:type="dxa"/>
            <w:vAlign w:val="bottom"/>
          </w:tcPr>
          <w:p>
            <w:pPr>
              <w:jc w:val="center"/>
              <w:ind w:left="38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defined benefit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vMerge w:val="restart"/>
          </w:tcPr>
          <w:p>
            <w:pPr>
              <w:ind w:left="500"/>
              <w:spacing w:after="0"/>
              <w:rPr>
                <w:sz w:val="20"/>
                <w:szCs w:val="20"/>
                <w:color w:val="auto"/>
              </w:rPr>
            </w:pPr>
            <w:r>
              <w:rPr>
                <w:rFonts w:ascii="Arial" w:cs="Arial" w:eastAsia="Arial" w:hAnsi="Arial"/>
                <w:sz w:val="18"/>
                <w:szCs w:val="18"/>
                <w:color w:val="auto"/>
              </w:rPr>
              <w:t>Prior service benefits, net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(34.0)</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(31.9)</w:t>
            </w:r>
          </w:p>
        </w:tc>
        <w:tc>
          <w:tcPr>
            <w:tcW w:w="3340" w:type="dxa"/>
            <w:vAlign w:val="bottom"/>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50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000" w:type="dxa"/>
            <w:vAlign w:val="bottom"/>
            <w:vMerge w:val="restart"/>
            <w:shd w:val="clear" w:color="auto" w:fill="D8D8D8"/>
          </w:tcPr>
          <w:p>
            <w:pPr>
              <w:ind w:left="500"/>
              <w:spacing w:after="0"/>
              <w:rPr>
                <w:sz w:val="20"/>
                <w:szCs w:val="20"/>
                <w:color w:val="auto"/>
              </w:rPr>
            </w:pPr>
            <w:r>
              <w:rPr>
                <w:rFonts w:ascii="Arial" w:cs="Arial" w:eastAsia="Arial" w:hAnsi="Arial"/>
                <w:sz w:val="18"/>
                <w:szCs w:val="18"/>
                <w:color w:val="auto"/>
              </w:rPr>
              <w:t>Actuarial losses</w:t>
            </w:r>
          </w:p>
        </w:tc>
        <w:tc>
          <w:tcPr>
            <w:tcW w:w="420" w:type="dxa"/>
            <w:vAlign w:val="bottom"/>
            <w:shd w:val="clear" w:color="auto" w:fill="D8D8D8"/>
          </w:tcPr>
          <w:p>
            <w:pPr>
              <w:spacing w:after="0"/>
              <w:rPr>
                <w:sz w:val="15"/>
                <w:szCs w:val="15"/>
                <w:color w:val="auto"/>
              </w:rPr>
            </w:pPr>
          </w:p>
        </w:tc>
        <w:tc>
          <w:tcPr>
            <w:tcW w:w="104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303.0</w:t>
            </w:r>
          </w:p>
        </w:tc>
        <w:tc>
          <w:tcPr>
            <w:tcW w:w="560" w:type="dxa"/>
            <w:vAlign w:val="bottom"/>
            <w:shd w:val="clear" w:color="auto" w:fill="D8D8D8"/>
          </w:tcPr>
          <w:p>
            <w:pPr>
              <w:spacing w:after="0"/>
              <w:rPr>
                <w:sz w:val="15"/>
                <w:szCs w:val="15"/>
                <w:color w:val="auto"/>
              </w:rPr>
            </w:pPr>
          </w:p>
        </w:tc>
        <w:tc>
          <w:tcPr>
            <w:tcW w:w="1060" w:type="dxa"/>
            <w:vAlign w:val="bottom"/>
            <w:vMerge w:val="restart"/>
            <w:shd w:val="clear" w:color="auto" w:fill="D8D8D8"/>
          </w:tcPr>
          <w:p>
            <w:pPr>
              <w:jc w:val="right"/>
              <w:ind w:right="150"/>
              <w:spacing w:after="0"/>
              <w:rPr>
                <w:sz w:val="20"/>
                <w:szCs w:val="20"/>
                <w:color w:val="auto"/>
              </w:rPr>
            </w:pPr>
            <w:r>
              <w:rPr>
                <w:rFonts w:ascii="Arial" w:cs="Arial" w:eastAsia="Arial" w:hAnsi="Arial"/>
                <w:sz w:val="18"/>
                <w:szCs w:val="18"/>
                <w:color w:val="auto"/>
              </w:rPr>
              <w:t>515.2</w:t>
            </w:r>
          </w:p>
        </w:tc>
        <w:tc>
          <w:tcPr>
            <w:tcW w:w="3340" w:type="dxa"/>
            <w:vAlign w:val="bottom"/>
            <w:shd w:val="clear" w:color="auto" w:fill="D8D8D8"/>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5000" w:type="dxa"/>
            <w:vAlign w:val="bottom"/>
            <w:vMerge w:val="continue"/>
            <w:shd w:val="clear" w:color="auto" w:fill="D8D8D8"/>
          </w:tcPr>
          <w:p>
            <w:pPr>
              <w:spacing w:after="0"/>
              <w:rPr>
                <w:sz w:val="8"/>
                <w:szCs w:val="8"/>
                <w:color w:val="auto"/>
              </w:rPr>
            </w:pPr>
          </w:p>
        </w:tc>
        <w:tc>
          <w:tcPr>
            <w:tcW w:w="420" w:type="dxa"/>
            <w:vAlign w:val="bottom"/>
            <w:tcBorders>
              <w:bottom w:val="single" w:sz="8" w:color="auto"/>
            </w:tcBorders>
            <w:shd w:val="clear" w:color="auto" w:fill="D8D8D8"/>
          </w:tcPr>
          <w:p>
            <w:pPr>
              <w:spacing w:after="0"/>
              <w:rPr>
                <w:sz w:val="8"/>
                <w:szCs w:val="8"/>
                <w:color w:val="auto"/>
              </w:rPr>
            </w:pPr>
          </w:p>
        </w:tc>
        <w:tc>
          <w:tcPr>
            <w:tcW w:w="1040" w:type="dxa"/>
            <w:vAlign w:val="bottom"/>
            <w:tcBorders>
              <w:bottom w:val="single" w:sz="8" w:color="auto"/>
            </w:tcBorders>
            <w:vMerge w:val="continue"/>
            <w:shd w:val="clear" w:color="auto" w:fill="D8D8D8"/>
          </w:tcPr>
          <w:p>
            <w:pPr>
              <w:spacing w:after="0"/>
              <w:rPr>
                <w:sz w:val="8"/>
                <w:szCs w:val="8"/>
                <w:color w:val="auto"/>
              </w:rPr>
            </w:pPr>
          </w:p>
        </w:tc>
        <w:tc>
          <w:tcPr>
            <w:tcW w:w="560" w:type="dxa"/>
            <w:vAlign w:val="bottom"/>
            <w:tcBorders>
              <w:bottom w:val="single" w:sz="8" w:color="auto"/>
            </w:tcBorders>
            <w:shd w:val="clear" w:color="auto" w:fill="D8D8D8"/>
          </w:tcPr>
          <w:p>
            <w:pPr>
              <w:spacing w:after="0"/>
              <w:rPr>
                <w:sz w:val="8"/>
                <w:szCs w:val="8"/>
                <w:color w:val="auto"/>
              </w:rPr>
            </w:pPr>
          </w:p>
        </w:tc>
        <w:tc>
          <w:tcPr>
            <w:tcW w:w="1060" w:type="dxa"/>
            <w:vAlign w:val="bottom"/>
            <w:tcBorders>
              <w:bottom w:val="single" w:sz="8" w:color="auto"/>
            </w:tcBorders>
            <w:vMerge w:val="continue"/>
            <w:shd w:val="clear" w:color="auto" w:fill="D8D8D8"/>
          </w:tcPr>
          <w:p>
            <w:pPr>
              <w:spacing w:after="0"/>
              <w:rPr>
                <w:sz w:val="8"/>
                <w:szCs w:val="8"/>
                <w:color w:val="auto"/>
              </w:rPr>
            </w:pPr>
          </w:p>
        </w:tc>
        <w:tc>
          <w:tcPr>
            <w:tcW w:w="334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00" w:type="dxa"/>
            <w:vAlign w:val="bottom"/>
          </w:tcPr>
          <w:p>
            <w:pPr>
              <w:jc w:val="right"/>
              <w:ind w:right="90"/>
              <w:spacing w:after="0"/>
              <w:rPr>
                <w:sz w:val="20"/>
                <w:szCs w:val="20"/>
                <w:color w:val="auto"/>
              </w:rPr>
            </w:pPr>
            <w:r>
              <w:rPr>
                <w:rFonts w:ascii="Arial" w:cs="Arial" w:eastAsia="Arial" w:hAnsi="Arial"/>
                <w:sz w:val="18"/>
                <w:szCs w:val="18"/>
                <w:color w:val="auto"/>
              </w:rPr>
              <w:t>Total before tax</w:t>
            </w:r>
          </w:p>
        </w:tc>
        <w:tc>
          <w:tcPr>
            <w:tcW w:w="42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269.0</w:t>
            </w:r>
          </w:p>
        </w:tc>
        <w:tc>
          <w:tcPr>
            <w:tcW w:w="560" w:type="dxa"/>
            <w:vAlign w:val="bottom"/>
          </w:tcPr>
          <w:p>
            <w:pPr>
              <w:spacing w:after="0"/>
              <w:rPr>
                <w:sz w:val="22"/>
                <w:szCs w:val="22"/>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483.3</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Tax benefit</w:t>
            </w:r>
          </w:p>
        </w:tc>
        <w:tc>
          <w:tcPr>
            <w:tcW w:w="42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(83.4)</w:t>
            </w:r>
          </w:p>
        </w:tc>
        <w:tc>
          <w:tcPr>
            <w:tcW w:w="56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(164.3)</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5000" w:type="dxa"/>
            <w:vAlign w:val="bottom"/>
          </w:tcPr>
          <w:p>
            <w:pPr>
              <w:jc w:val="right"/>
              <w:ind w:right="90"/>
              <w:spacing w:after="0"/>
              <w:rPr>
                <w:sz w:val="20"/>
                <w:szCs w:val="20"/>
                <w:color w:val="auto"/>
              </w:rPr>
            </w:pPr>
            <w:r>
              <w:rPr>
                <w:rFonts w:ascii="Arial" w:cs="Arial" w:eastAsia="Arial" w:hAnsi="Arial"/>
                <w:sz w:val="18"/>
                <w:szCs w:val="18"/>
                <w:color w:val="auto"/>
              </w:rPr>
              <w:t>Net of tax</w:t>
            </w:r>
          </w:p>
        </w:tc>
        <w:tc>
          <w:tcPr>
            <w:tcW w:w="42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185.6</w:t>
            </w:r>
          </w:p>
        </w:tc>
        <w:tc>
          <w:tcPr>
            <w:tcW w:w="560" w:type="dxa"/>
            <w:vAlign w:val="bottom"/>
          </w:tcPr>
          <w:p>
            <w:pPr>
              <w:spacing w:after="0"/>
              <w:rPr>
                <w:sz w:val="22"/>
                <w:szCs w:val="22"/>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319.0</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1060" w:type="dxa"/>
            <w:vAlign w:val="bottom"/>
            <w:shd w:val="clear" w:color="auto" w:fill="D8D8D8"/>
          </w:tcPr>
          <w:p>
            <w:pPr>
              <w:spacing w:after="0"/>
              <w:rPr>
                <w:sz w:val="24"/>
                <w:szCs w:val="24"/>
                <w:color w:val="auto"/>
              </w:rPr>
            </w:pPr>
          </w:p>
        </w:tc>
        <w:tc>
          <w:tcPr>
            <w:tcW w:w="3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Realized gains, net</w:t>
            </w:r>
          </w:p>
        </w:tc>
        <w:tc>
          <w:tcPr>
            <w:tcW w:w="4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(324.1)</w:t>
            </w:r>
          </w:p>
        </w:tc>
        <w:tc>
          <w:tcPr>
            <w:tcW w:w="56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(12.0)</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Impairment losses</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334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50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Total before tax</w:t>
            </w: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(324.1)</w:t>
            </w:r>
          </w:p>
        </w:tc>
        <w:tc>
          <w:tcPr>
            <w:tcW w:w="56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(9.6)</w:t>
            </w:r>
          </w:p>
        </w:tc>
        <w:tc>
          <w:tcPr>
            <w:tcW w:w="33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D8D8D8"/>
            </w:tcBorders>
          </w:tcPr>
          <w:p>
            <w:pPr>
              <w:jc w:val="right"/>
              <w:ind w:right="90"/>
              <w:spacing w:after="0"/>
              <w:rPr>
                <w:sz w:val="20"/>
                <w:szCs w:val="20"/>
                <w:color w:val="auto"/>
              </w:rPr>
            </w:pPr>
            <w:r>
              <w:rPr>
                <w:rFonts w:ascii="Arial" w:cs="Arial" w:eastAsia="Arial" w:hAnsi="Arial"/>
                <w:sz w:val="18"/>
                <w:szCs w:val="18"/>
                <w:color w:val="auto"/>
              </w:rPr>
              <w:t>Tax expense</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113.4</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334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50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Net of tax</w:t>
            </w: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(210.7)</w:t>
            </w:r>
          </w:p>
        </w:tc>
        <w:tc>
          <w:tcPr>
            <w:tcW w:w="56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(6.2)</w:t>
            </w:r>
          </w:p>
        </w:tc>
        <w:tc>
          <w:tcPr>
            <w:tcW w:w="33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net of tax</w:t>
            </w:r>
          </w:p>
        </w:tc>
        <w:tc>
          <w:tcPr>
            <w:tcW w:w="420" w:type="dxa"/>
            <w:vAlign w:val="bottom"/>
            <w:tcBorders>
              <w:bottom w:val="single" w:sz="8" w:color="auto"/>
            </w:tcBorders>
            <w:shd w:val="clear" w:color="auto" w:fill="D8D8D8"/>
          </w:tcPr>
          <w:p>
            <w:pPr>
              <w:spacing w:after="0"/>
              <w:rPr>
                <w:sz w:val="22"/>
                <w:szCs w:val="22"/>
                <w:color w:val="auto"/>
              </w:rPr>
            </w:pPr>
          </w:p>
        </w:tc>
        <w:tc>
          <w:tcPr>
            <w:tcW w:w="10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5.9</w:t>
            </w:r>
          </w:p>
        </w:tc>
        <w:tc>
          <w:tcPr>
            <w:tcW w:w="560" w:type="dxa"/>
            <w:vAlign w:val="bottom"/>
            <w:tcBorders>
              <w:bottom w:val="single" w:sz="8" w:color="auto"/>
            </w:tcBorders>
            <w:shd w:val="clear" w:color="auto" w:fill="D8D8D8"/>
          </w:tcPr>
          <w:p>
            <w:pPr>
              <w:spacing w:after="0"/>
              <w:rPr>
                <w:sz w:val="22"/>
                <w:szCs w:val="22"/>
                <w:color w:val="auto"/>
              </w:rPr>
            </w:pPr>
          </w:p>
        </w:tc>
        <w:tc>
          <w:tcPr>
            <w:tcW w:w="10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5.9</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7"/>
        </w:trPr>
        <w:tc>
          <w:tcPr>
            <w:tcW w:w="5000" w:type="dxa"/>
            <w:vAlign w:val="bottom"/>
          </w:tcPr>
          <w:p>
            <w:pPr>
              <w:ind w:left="180"/>
              <w:spacing w:after="0"/>
              <w:rPr>
                <w:sz w:val="20"/>
                <w:szCs w:val="20"/>
                <w:color w:val="auto"/>
              </w:rPr>
            </w:pPr>
            <w:r>
              <w:rPr>
                <w:rFonts w:ascii="Arial" w:cs="Arial" w:eastAsia="Arial" w:hAnsi="Arial"/>
                <w:sz w:val="18"/>
                <w:szCs w:val="18"/>
                <w:color w:val="auto"/>
              </w:rPr>
              <w:t>Total reclassifications for the period (net of tax)</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(19.2)</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318.7</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These accumulated other comprehensive loss components are included in the computation of net periodic pension cost (see Note 14).</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CC0000"/>
        </w:rPr>
        <w:t>Note 17:</w:t>
      </w:r>
      <w:r>
        <w:rPr>
          <w:sz w:val="20"/>
          <w:szCs w:val="20"/>
          <w:color w:val="auto"/>
        </w:rPr>
        <w:tab/>
      </w:r>
      <w:r>
        <w:rPr>
          <w:rFonts w:ascii="Arial" w:cs="Arial" w:eastAsia="Arial" w:hAnsi="Arial"/>
          <w:sz w:val="17"/>
          <w:szCs w:val="17"/>
          <w:b w:val="1"/>
          <w:bCs w:val="1"/>
          <w:color w:val="CC0000"/>
        </w:rPr>
        <w:t>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r>
      <w:tr>
        <w:trPr>
          <w:trHeight w:val="270"/>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related to termination of the exenatide collaboration with Amylin (Note 4)</w:t>
            </w:r>
          </w:p>
        </w:tc>
        <w:tc>
          <w:tcPr>
            <w:tcW w:w="380" w:type="dxa"/>
            <w:vAlign w:val="bottom"/>
            <w:shd w:val="clear" w:color="auto" w:fill="D8D8D8"/>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(495.4)</w:t>
            </w:r>
          </w:p>
        </w:tc>
        <w:tc>
          <w:tcPr>
            <w:tcW w:w="5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(787.8)</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b w:val="1"/>
                <w:bCs w:val="1"/>
                <w:color w:val="auto"/>
              </w:rPr>
              <w:t>148.8</w:t>
            </w:r>
          </w:p>
        </w:tc>
        <w:tc>
          <w:tcPr>
            <w:tcW w:w="56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160.1</w:t>
            </w:r>
          </w:p>
        </w:tc>
        <w:tc>
          <w:tcPr>
            <w:tcW w:w="560" w:type="dxa"/>
            <w:vAlign w:val="bottom"/>
          </w:tcPr>
          <w:p>
            <w:pPr>
              <w:spacing w:after="0"/>
              <w:rPr>
                <w:sz w:val="22"/>
                <w:szCs w:val="22"/>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177.8</w:t>
            </w:r>
          </w:p>
        </w:tc>
      </w:tr>
      <w:tr>
        <w:trPr>
          <w:trHeight w:val="277"/>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(121.0)</w:t>
            </w:r>
          </w:p>
        </w:tc>
        <w:tc>
          <w:tcPr>
            <w:tcW w:w="5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(119.7)</w:t>
            </w:r>
          </w:p>
        </w:tc>
        <w:tc>
          <w:tcPr>
            <w:tcW w:w="56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93"/>
              <w:spacing w:after="0"/>
              <w:rPr>
                <w:sz w:val="20"/>
                <w:szCs w:val="20"/>
                <w:color w:val="auto"/>
              </w:rPr>
            </w:pPr>
            <w:r>
              <w:rPr>
                <w:rFonts w:ascii="Arial" w:cs="Arial" w:eastAsia="Arial" w:hAnsi="Arial"/>
                <w:sz w:val="18"/>
                <w:szCs w:val="18"/>
                <w:color w:val="auto"/>
              </w:rPr>
              <w:t>(105.0)</w:t>
            </w:r>
          </w:p>
        </w:tc>
      </w:tr>
      <w:tr>
        <w:trPr>
          <w:trHeight w:val="264"/>
        </w:trPr>
        <w:tc>
          <w:tcPr>
            <w:tcW w:w="65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(368.3)</w:t>
            </w: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(63.9)</w:t>
            </w: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41.0</w:t>
            </w:r>
          </w:p>
        </w:tc>
      </w:tr>
      <w:tr>
        <w:trPr>
          <w:trHeight w:val="277"/>
        </w:trPr>
        <w:tc>
          <w:tcPr>
            <w:tcW w:w="6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Other–net, (income) expense</w:t>
            </w:r>
          </w:p>
        </w:tc>
        <w:tc>
          <w:tcPr>
            <w:tcW w:w="3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(340.5)</w:t>
            </w:r>
          </w:p>
        </w:tc>
        <w:tc>
          <w:tcPr>
            <w:tcW w:w="5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113"/>
              <w:spacing w:after="0"/>
              <w:rPr>
                <w:sz w:val="20"/>
                <w:szCs w:val="20"/>
                <w:color w:val="auto"/>
              </w:rPr>
            </w:pPr>
            <w:r>
              <w:rPr>
                <w:rFonts w:ascii="Arial" w:cs="Arial" w:eastAsia="Arial" w:hAnsi="Arial"/>
                <w:sz w:val="18"/>
                <w:szCs w:val="18"/>
                <w:color w:val="auto"/>
              </w:rPr>
              <w:t>(518.9)</w:t>
            </w:r>
          </w:p>
        </w:tc>
        <w:tc>
          <w:tcPr>
            <w:tcW w:w="5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ind w:right="193"/>
              <w:spacing w:after="0"/>
              <w:rPr>
                <w:sz w:val="20"/>
                <w:szCs w:val="20"/>
                <w:color w:val="auto"/>
              </w:rPr>
            </w:pPr>
            <w:r>
              <w:rPr>
                <w:rFonts w:ascii="Arial" w:cs="Arial" w:eastAsia="Arial" w:hAnsi="Arial"/>
                <w:sz w:val="18"/>
                <w:szCs w:val="18"/>
                <w:color w:val="auto"/>
              </w:rPr>
              <w:t>(674.0)</w:t>
            </w:r>
          </w:p>
        </w:tc>
      </w:tr>
    </w:tbl>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year ended December 31, 2014, other–net, (income) expense is primarily related to net gains on investments (Note 7) and income related to the transfer to Boehringer Ingelheim of our license rights to co-promote linagliptin and empagliflozin in certain countries (Note 4). For the years ended December 31, 2013 and 2012, other–net, (income) expense primarily consists of income related to the termination of the exenatide collaboration with Amylin, including income recognized from the transfer to Amylin of exenatide commercial rights in all markets outside the U.S. in 2013 and income recognized from the early payment of the exenatide revenue-sharing obligation by Amylin in 2012 (Note 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w:t>
      </w:r>
    </w:p>
    <w:p>
      <w:pPr>
        <w:sectPr>
          <w:pgSz w:w="11900" w:h="16838" w:orient="portrait"/>
          <w:cols w:equalWidth="0" w:num="1">
            <w:col w:w="11420"/>
          </w:cols>
          <w:pgMar w:left="240" w:top="855" w:right="239" w:bottom="1440" w:gutter="0" w:footer="0" w:header="0"/>
        </w:sectPr>
      </w:pPr>
    </w:p>
    <w:bookmarkStart w:id="90" w:name="page91"/>
    <w:bookmarkEnd w:id="90"/>
    <w:p>
      <w:pPr>
        <w:spacing w:after="0"/>
        <w:tabs>
          <w:tab w:leader="none" w:pos="900" w:val="left"/>
        </w:tabs>
        <w:rPr>
          <w:sz w:val="20"/>
          <w:szCs w:val="20"/>
          <w:color w:val="auto"/>
        </w:rPr>
      </w:pPr>
      <w:r>
        <w:rPr>
          <w:rFonts w:ascii="Arial" w:cs="Arial" w:eastAsia="Arial" w:hAnsi="Arial"/>
          <w:sz w:val="18"/>
          <w:szCs w:val="18"/>
          <w:b w:val="1"/>
          <w:bCs w:val="1"/>
          <w:color w:val="CC0000"/>
        </w:rPr>
        <w:t>Note 18:</w:t>
      </w:r>
      <w:r>
        <w:rPr>
          <w:sz w:val="20"/>
          <w:szCs w:val="20"/>
          <w:color w:val="auto"/>
        </w:rPr>
        <w:tab/>
      </w:r>
      <w:r>
        <w:rPr>
          <w:rFonts w:ascii="Arial" w:cs="Arial" w:eastAsia="Arial" w:hAnsi="Arial"/>
          <w:sz w:val="17"/>
          <w:szCs w:val="17"/>
          <w:b w:val="1"/>
          <w:bCs w:val="1"/>
          <w:color w:val="CC0000"/>
        </w:rPr>
        <w:t>Segment Information</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operate in two business segments—human pharmaceutical products and animal health. Our business segments are distinguished by the ultimate end user of the product—humans or animals. Performance is evaluated based on profit or loss from operations before income taxes. The accounting policies of the individual segments are the same as those described in the summary of significant accounting policies in Note 1 to the consolidated financial statements.</w:t>
      </w:r>
    </w:p>
    <w:p>
      <w:pPr>
        <w:spacing w:after="0" w:line="96"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Our human pharmaceutical products segment includes the discovery, development, manufacturing, marketing, and sales of human pharmaceutical products worldwide in the following therapeutic areas: endocrinology, neuroscience, oncology, cardiovascular, and other. We lost U.S. patent exclusivity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December 2013 and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which resulted in the immediate entry of generic competitors and a rapid and severe decline in revenue.</w:t>
      </w:r>
    </w:p>
    <w:p>
      <w:pPr>
        <w:spacing w:after="0" w:line="10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Our animal health segment, operating through our Elanco animal health division, includes the development, manufacturing, marketing, and sales of animal health products worldwide for both food and companion animals. Animal health products include Rumensin</w:t>
      </w:r>
      <w:r>
        <w:rPr>
          <w:rFonts w:ascii="Arial" w:cs="Arial" w:eastAsia="Arial" w:hAnsi="Arial"/>
          <w:sz w:val="20"/>
          <w:szCs w:val="20"/>
          <w:color w:val="auto"/>
          <w:vertAlign w:val="superscript"/>
        </w:rPr>
        <w:t>®</w:t>
      </w:r>
      <w:r>
        <w:rPr>
          <w:rFonts w:ascii="Arial" w:cs="Arial" w:eastAsia="Arial" w:hAnsi="Arial"/>
          <w:sz w:val="17"/>
          <w:szCs w:val="17"/>
          <w:color w:val="auto"/>
        </w:rPr>
        <w:t>, Posilac</w:t>
      </w:r>
      <w:r>
        <w:rPr>
          <w:rFonts w:ascii="Arial" w:cs="Arial" w:eastAsia="Arial" w:hAnsi="Arial"/>
          <w:sz w:val="20"/>
          <w:szCs w:val="20"/>
          <w:color w:val="auto"/>
          <w:vertAlign w:val="superscript"/>
        </w:rPr>
        <w:t>®</w:t>
      </w:r>
      <w:r>
        <w:rPr>
          <w:rFonts w:ascii="Arial" w:cs="Arial" w:eastAsia="Arial" w:hAnsi="Arial"/>
          <w:sz w:val="17"/>
          <w:szCs w:val="17"/>
          <w:color w:val="auto"/>
        </w:rPr>
        <w:t>, Tylan</w:t>
      </w:r>
      <w:r>
        <w:rPr>
          <w:rFonts w:ascii="Arial" w:cs="Arial" w:eastAsia="Arial" w:hAnsi="Arial"/>
          <w:sz w:val="20"/>
          <w:szCs w:val="20"/>
          <w:color w:val="auto"/>
          <w:vertAlign w:val="superscript"/>
        </w:rPr>
        <w:t>®</w:t>
      </w:r>
      <w:r>
        <w:rPr>
          <w:rFonts w:ascii="Arial" w:cs="Arial" w:eastAsia="Arial" w:hAnsi="Arial"/>
          <w:sz w:val="17"/>
          <w:szCs w:val="17"/>
          <w:color w:val="auto"/>
        </w:rPr>
        <w:t>, Optaflexx</w:t>
      </w:r>
      <w:r>
        <w:rPr>
          <w:rFonts w:ascii="Arial" w:cs="Arial" w:eastAsia="Arial" w:hAnsi="Arial"/>
          <w:sz w:val="20"/>
          <w:szCs w:val="20"/>
          <w:color w:val="auto"/>
          <w:vertAlign w:val="superscript"/>
        </w:rPr>
        <w:t>®</w:t>
      </w:r>
      <w:r>
        <w:rPr>
          <w:rFonts w:ascii="Arial" w:cs="Arial" w:eastAsia="Arial" w:hAnsi="Arial"/>
          <w:sz w:val="17"/>
          <w:szCs w:val="17"/>
          <w:color w:val="auto"/>
        </w:rPr>
        <w:t>, Maxiban</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other products for livestock and poultry, as well as Trifexis</w:t>
      </w:r>
      <w:r>
        <w:rPr>
          <w:rFonts w:ascii="Arial" w:cs="Arial" w:eastAsia="Arial" w:hAnsi="Arial"/>
          <w:sz w:val="20"/>
          <w:szCs w:val="20"/>
          <w:color w:val="auto"/>
          <w:vertAlign w:val="superscript"/>
        </w:rPr>
        <w:t>®</w:t>
      </w:r>
      <w:r>
        <w:rPr>
          <w:rFonts w:ascii="Arial" w:cs="Arial" w:eastAsia="Arial" w:hAnsi="Arial"/>
          <w:sz w:val="17"/>
          <w:szCs w:val="17"/>
          <w:color w:val="auto"/>
        </w:rPr>
        <w:t>, Comfortis</w:t>
      </w:r>
      <w:r>
        <w:rPr>
          <w:rFonts w:ascii="Arial" w:cs="Arial" w:eastAsia="Arial" w:hAnsi="Arial"/>
          <w:sz w:val="20"/>
          <w:szCs w:val="20"/>
          <w:color w:val="auto"/>
          <w:vertAlign w:val="superscript"/>
        </w:rPr>
        <w:t>®</w:t>
      </w:r>
      <w:r>
        <w:rPr>
          <w:rFonts w:ascii="Arial" w:cs="Arial" w:eastAsia="Arial" w:hAnsi="Arial"/>
          <w:sz w:val="17"/>
          <w:szCs w:val="17"/>
          <w:color w:val="auto"/>
        </w:rPr>
        <w:t>, and other products for companion animals.</w:t>
      </w:r>
    </w:p>
    <w:p>
      <w:pPr>
        <w:spacing w:after="0" w:line="24"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Most of our pharmaceutical products are distributed through wholesalers that serve pharmacies, physicians and other health care professionals, and hospitals. For the years ended December 31, 2014, 2013, and 2012, our three largest wholesalers each accounted for between 8 percent and 19 percent of consolidated total revenue. Further, they each accounted for between 9 percent and 18 percent of accounts receivable as of December 31, 2014 and 2013. Animal health products are sold primarily to wholesale distributors.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manage our assets on a total company basis, not by operating segment, as the assets of the animal health business are intermixed with those of the pharmaceutical products business. Therefore, our chief operating decision maker does not review any asset information by operating segment and, accordingly, we do not report asset information by operating segment.</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exposed to the risk of changes in social, political, and economic conditions inherent in foreign operations, and our results of operations and the value of our foreign assets are affected by fluctuations in foreign currency exchange rates.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for the years ended December 31, 2014, 2013, and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r>
      <w:tr>
        <w:trPr>
          <w:trHeight w:val="270"/>
        </w:trPr>
        <w:tc>
          <w:tcPr>
            <w:tcW w:w="7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43"/>
        </w:trPr>
        <w:tc>
          <w:tcPr>
            <w:tcW w:w="7020" w:type="dxa"/>
            <w:vAlign w:val="bottom"/>
          </w:tcPr>
          <w:p>
            <w:pPr>
              <w:jc w:val="center"/>
              <w:ind w:right="3930"/>
              <w:spacing w:after="0"/>
              <w:rPr>
                <w:sz w:val="20"/>
                <w:szCs w:val="20"/>
                <w:color w:val="auto"/>
              </w:rPr>
            </w:pPr>
            <w:r>
              <w:rPr>
                <w:rFonts w:ascii="Arial" w:cs="Arial" w:eastAsia="Arial" w:hAnsi="Arial"/>
                <w:sz w:val="18"/>
                <w:szCs w:val="18"/>
                <w:color w:val="auto"/>
                <w:w w:val="99"/>
              </w:rPr>
              <w:t>Human pharmaceutical products: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702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r>
      <w:tr>
        <w:trPr>
          <w:trHeight w:val="263"/>
        </w:trPr>
        <w:tc>
          <w:tcPr>
            <w:tcW w:w="7020" w:type="dxa"/>
            <w:vAlign w:val="bottom"/>
          </w:tcPr>
          <w:p>
            <w:pPr>
              <w:ind w:left="500"/>
              <w:spacing w:after="0"/>
              <w:rPr>
                <w:sz w:val="20"/>
                <w:szCs w:val="20"/>
                <w:color w:val="auto"/>
              </w:rPr>
            </w:pPr>
            <w:r>
              <w:rPr>
                <w:rFonts w:ascii="Arial" w:cs="Arial" w:eastAsia="Arial" w:hAnsi="Arial"/>
                <w:sz w:val="18"/>
                <w:szCs w:val="18"/>
                <w:color w:val="auto"/>
              </w:rPr>
              <w:t>Endocrinology:</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2,785.2</w:t>
            </w:r>
          </w:p>
        </w:tc>
        <w:tc>
          <w:tcPr>
            <w:tcW w:w="44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2,611.2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2,395.5</w:t>
            </w:r>
          </w:p>
        </w:tc>
      </w:tr>
      <w:tr>
        <w:trPr>
          <w:trHeight w:val="270"/>
        </w:trPr>
        <w:tc>
          <w:tcPr>
            <w:tcW w:w="7020" w:type="dxa"/>
            <w:vAlign w:val="bottom"/>
          </w:tcPr>
          <w:p>
            <w:pPr>
              <w:ind w:left="8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1,400.1</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1,315.8</w:t>
            </w:r>
          </w:p>
        </w:tc>
        <w:tc>
          <w:tcPr>
            <w:tcW w:w="4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1,239.1</w:t>
            </w:r>
          </w:p>
        </w:tc>
      </w:tr>
      <w:tr>
        <w:trPr>
          <w:trHeight w:val="270"/>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1,322.0</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1,244.9</w:t>
            </w: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1,151.0</w:t>
            </w:r>
          </w:p>
        </w:tc>
      </w:tr>
      <w:tr>
        <w:trPr>
          <w:trHeight w:val="263"/>
        </w:trPr>
        <w:tc>
          <w:tcPr>
            <w:tcW w:w="7020" w:type="dxa"/>
            <w:vAlign w:val="bottom"/>
          </w:tcPr>
          <w:p>
            <w:pPr>
              <w:ind w:left="820"/>
              <w:spacing w:after="0"/>
              <w:rPr>
                <w:sz w:val="20"/>
                <w:szCs w:val="20"/>
                <w:color w:val="auto"/>
              </w:rPr>
            </w:pPr>
            <w:r>
              <w:rPr>
                <w:rFonts w:ascii="Arial" w:cs="Arial" w:eastAsia="Arial" w:hAnsi="Arial"/>
                <w:sz w:val="18"/>
                <w:szCs w:val="18"/>
                <w:i w:val="1"/>
                <w:iCs w:val="1"/>
                <w:color w:val="auto"/>
              </w:rPr>
              <w:t>Evista</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419.8</w:t>
            </w:r>
          </w:p>
        </w:tc>
        <w:tc>
          <w:tcPr>
            <w:tcW w:w="4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1,050.4</w:t>
            </w:r>
          </w:p>
        </w:tc>
        <w:tc>
          <w:tcPr>
            <w:tcW w:w="4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1,010.1</w:t>
            </w:r>
          </w:p>
        </w:tc>
      </w:tr>
      <w:tr>
        <w:trPr>
          <w:trHeight w:val="277"/>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Trajenta</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328.8</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249.2</w:t>
            </w:r>
          </w:p>
        </w:tc>
        <w:tc>
          <w:tcPr>
            <w:tcW w:w="4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88.6</w:t>
            </w:r>
          </w:p>
        </w:tc>
      </w:tr>
      <w:tr>
        <w:trPr>
          <w:trHeight w:val="264"/>
        </w:trPr>
        <w:tc>
          <w:tcPr>
            <w:tcW w:w="7020" w:type="dxa"/>
            <w:vAlign w:val="bottom"/>
            <w:tcBorders>
              <w:bottom w:val="single" w:sz="8" w:color="D8D8D8"/>
            </w:tcBorders>
          </w:tcPr>
          <w:p>
            <w:pPr>
              <w:ind w:left="820"/>
              <w:spacing w:after="0"/>
              <w:rPr>
                <w:sz w:val="20"/>
                <w:szCs w:val="20"/>
                <w:color w:val="auto"/>
              </w:rPr>
            </w:pPr>
            <w:r>
              <w:rPr>
                <w:rFonts w:ascii="Arial" w:cs="Arial" w:eastAsia="Arial" w:hAnsi="Arial"/>
                <w:sz w:val="18"/>
                <w:szCs w:val="18"/>
                <w:i w:val="1"/>
                <w:iCs w:val="1"/>
                <w:color w:val="auto"/>
              </w:rPr>
              <w:t>Other Endocrinology</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683.1</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832.9</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926.6</w:t>
            </w:r>
          </w:p>
        </w:tc>
      </w:tr>
      <w:tr>
        <w:trPr>
          <w:trHeight w:val="270"/>
        </w:trPr>
        <w:tc>
          <w:tcPr>
            <w:tcW w:w="7020" w:type="dxa"/>
            <w:vAlign w:val="bottom"/>
            <w:shd w:val="clear" w:color="auto" w:fill="D8D8D8"/>
          </w:tcPr>
          <w:p>
            <w:pPr>
              <w:jc w:val="center"/>
              <w:ind w:right="3930"/>
              <w:spacing w:after="0"/>
              <w:rPr>
                <w:sz w:val="20"/>
                <w:szCs w:val="20"/>
                <w:color w:val="auto"/>
              </w:rPr>
            </w:pPr>
            <w:r>
              <w:rPr>
                <w:rFonts w:ascii="Arial" w:cs="Arial" w:eastAsia="Arial" w:hAnsi="Arial"/>
                <w:sz w:val="18"/>
                <w:szCs w:val="18"/>
                <w:color w:val="auto"/>
                <w:w w:val="98"/>
              </w:rPr>
              <w:t>Total Endocrinology</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6,939.0</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7,304.4</w:t>
            </w: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6,810.9</w:t>
            </w:r>
          </w:p>
        </w:tc>
      </w:tr>
      <w:tr>
        <w:trPr>
          <w:trHeight w:val="162"/>
        </w:trPr>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70"/>
        </w:trPr>
        <w:tc>
          <w:tcPr>
            <w:tcW w:w="70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Neuroscience:</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7020" w:type="dxa"/>
            <w:vAlign w:val="bottom"/>
          </w:tcPr>
          <w:p>
            <w:pPr>
              <w:ind w:left="820"/>
              <w:spacing w:after="0"/>
              <w:rPr>
                <w:sz w:val="20"/>
                <w:szCs w:val="20"/>
                <w:color w:val="auto"/>
              </w:rPr>
            </w:pPr>
            <w:r>
              <w:rPr>
                <w:rFonts w:ascii="Arial" w:cs="Arial" w:eastAsia="Arial" w:hAnsi="Arial"/>
                <w:sz w:val="18"/>
                <w:szCs w:val="18"/>
                <w:i w:val="1"/>
                <w:iCs w:val="1"/>
                <w:color w:val="auto"/>
              </w:rPr>
              <w:t>Cymbalta</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1,614.7</w:t>
            </w:r>
          </w:p>
        </w:tc>
        <w:tc>
          <w:tcPr>
            <w:tcW w:w="4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5,084.4</w:t>
            </w:r>
          </w:p>
        </w:tc>
        <w:tc>
          <w:tcPr>
            <w:tcW w:w="4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4,994.1</w:t>
            </w:r>
          </w:p>
        </w:tc>
      </w:tr>
      <w:tr>
        <w:trPr>
          <w:trHeight w:val="277"/>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1,037.3</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1,194.8</w:t>
            </w:r>
          </w:p>
        </w:tc>
        <w:tc>
          <w:tcPr>
            <w:tcW w:w="4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1,701.4</w:t>
            </w:r>
          </w:p>
        </w:tc>
      </w:tr>
      <w:tr>
        <w:trPr>
          <w:trHeight w:val="270"/>
        </w:trPr>
        <w:tc>
          <w:tcPr>
            <w:tcW w:w="7020" w:type="dxa"/>
            <w:vAlign w:val="bottom"/>
          </w:tcPr>
          <w:p>
            <w:pPr>
              <w:ind w:left="8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color w:val="auto"/>
                <w:vertAlign w:val="superscript"/>
              </w:rPr>
              <w:t>®</w:t>
            </w: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738.5</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709.2</w:t>
            </w:r>
          </w:p>
        </w:tc>
        <w:tc>
          <w:tcPr>
            <w:tcW w:w="4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621.4</w:t>
            </w:r>
          </w:p>
        </w:tc>
      </w:tr>
      <w:tr>
        <w:trPr>
          <w:trHeight w:val="270"/>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Neuroscience</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206.0</w:t>
            </w:r>
          </w:p>
        </w:tc>
        <w:tc>
          <w:tcPr>
            <w:tcW w:w="44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227.8</w:t>
            </w:r>
          </w:p>
        </w:tc>
        <w:tc>
          <w:tcPr>
            <w:tcW w:w="42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258.2</w:t>
            </w:r>
          </w:p>
        </w:tc>
      </w:tr>
      <w:tr>
        <w:trPr>
          <w:trHeight w:val="257"/>
        </w:trPr>
        <w:tc>
          <w:tcPr>
            <w:tcW w:w="7020" w:type="dxa"/>
            <w:vAlign w:val="bottom"/>
          </w:tcPr>
          <w:p>
            <w:pPr>
              <w:jc w:val="center"/>
              <w:ind w:right="3970"/>
              <w:spacing w:after="0"/>
              <w:rPr>
                <w:sz w:val="20"/>
                <w:szCs w:val="20"/>
                <w:color w:val="auto"/>
              </w:rPr>
            </w:pPr>
            <w:r>
              <w:rPr>
                <w:rFonts w:ascii="Arial" w:cs="Arial" w:eastAsia="Arial" w:hAnsi="Arial"/>
                <w:sz w:val="18"/>
                <w:szCs w:val="18"/>
                <w:color w:val="auto"/>
                <w:w w:val="97"/>
              </w:rPr>
              <w:t>Total Neuroscience</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3,596.5</w:t>
            </w:r>
          </w:p>
        </w:tc>
        <w:tc>
          <w:tcPr>
            <w:tcW w:w="4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7,216.2</w:t>
            </w:r>
          </w:p>
        </w:tc>
        <w:tc>
          <w:tcPr>
            <w:tcW w:w="4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7,575.1</w:t>
            </w:r>
          </w:p>
        </w:tc>
      </w:tr>
      <w:tr>
        <w:trPr>
          <w:trHeight w:val="169"/>
        </w:trPr>
        <w:tc>
          <w:tcPr>
            <w:tcW w:w="702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91</w:t>
      </w:r>
    </w:p>
    <w:p>
      <w:pPr>
        <w:sectPr>
          <w:pgSz w:w="11900" w:h="16838" w:orient="portrait"/>
          <w:cols w:equalWidth="0" w:num="1">
            <w:col w:w="11420"/>
          </w:cols>
          <w:pgMar w:left="240" w:top="57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6"/>
        </w:trPr>
        <w:tc>
          <w:tcPr>
            <w:tcW w:w="7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7020" w:type="dxa"/>
            <w:vAlign w:val="bottom"/>
          </w:tcPr>
          <w:p>
            <w:pPr>
              <w:ind w:left="460"/>
              <w:spacing w:after="0"/>
              <w:rPr>
                <w:sz w:val="20"/>
                <w:szCs w:val="20"/>
                <w:color w:val="auto"/>
              </w:rPr>
            </w:pPr>
            <w:r>
              <w:rPr>
                <w:rFonts w:ascii="Arial" w:cs="Arial" w:eastAsia="Arial" w:hAnsi="Arial"/>
                <w:sz w:val="18"/>
                <w:szCs w:val="18"/>
                <w:color w:val="auto"/>
              </w:rPr>
              <w:t>Oncology: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Alimta</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2,792.0</w:t>
            </w: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2,703.0</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2,594.3</w:t>
            </w:r>
          </w:p>
        </w:tc>
        <w:tc>
          <w:tcPr>
            <w:tcW w:w="0" w:type="dxa"/>
            <w:vAlign w:val="bottom"/>
          </w:tcPr>
          <w:p>
            <w:pPr>
              <w:spacing w:after="0"/>
              <w:rPr>
                <w:sz w:val="1"/>
                <w:szCs w:val="1"/>
                <w:color w:val="auto"/>
              </w:rPr>
            </w:pPr>
          </w:p>
        </w:tc>
      </w:tr>
      <w:tr>
        <w:trPr>
          <w:trHeight w:val="263"/>
        </w:trPr>
        <w:tc>
          <w:tcPr>
            <w:tcW w:w="7020" w:type="dxa"/>
            <w:vAlign w:val="bottom"/>
          </w:tcPr>
          <w:p>
            <w:pPr>
              <w:ind w:left="820"/>
              <w:spacing w:after="0"/>
              <w:rPr>
                <w:sz w:val="20"/>
                <w:szCs w:val="20"/>
                <w:color w:val="auto"/>
              </w:rPr>
            </w:pPr>
            <w:r>
              <w:rPr>
                <w:rFonts w:ascii="Arial" w:cs="Arial" w:eastAsia="Arial" w:hAnsi="Arial"/>
                <w:sz w:val="18"/>
                <w:szCs w:val="18"/>
                <w:i w:val="1"/>
                <w:iCs w:val="1"/>
                <w:color w:val="auto"/>
              </w:rPr>
              <w:t>Erbitux</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373.3</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373.7</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77"/>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Oncology</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227.7</w:t>
            </w:r>
          </w:p>
        </w:tc>
        <w:tc>
          <w:tcPr>
            <w:tcW w:w="40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color w:val="auto"/>
              </w:rPr>
              <w:t>191.8</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57"/>
        </w:trPr>
        <w:tc>
          <w:tcPr>
            <w:tcW w:w="7020" w:type="dxa"/>
            <w:vAlign w:val="bottom"/>
          </w:tcPr>
          <w:p>
            <w:pPr>
              <w:ind w:left="720"/>
              <w:spacing w:after="0"/>
              <w:rPr>
                <w:sz w:val="20"/>
                <w:szCs w:val="20"/>
                <w:color w:val="auto"/>
              </w:rPr>
            </w:pPr>
            <w:r>
              <w:rPr>
                <w:rFonts w:ascii="Arial" w:cs="Arial" w:eastAsia="Arial" w:hAnsi="Arial"/>
                <w:sz w:val="18"/>
                <w:szCs w:val="18"/>
                <w:color w:val="auto"/>
              </w:rPr>
              <w:t>Total Oncology</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3,393.0</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3,268.5</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169"/>
        </w:trPr>
        <w:tc>
          <w:tcPr>
            <w:tcW w:w="702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108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60"/>
              <w:spacing w:after="0"/>
              <w:rPr>
                <w:sz w:val="20"/>
                <w:szCs w:val="20"/>
                <w:color w:val="auto"/>
              </w:rPr>
            </w:pPr>
            <w:r>
              <w:rPr>
                <w:rFonts w:ascii="Arial" w:cs="Arial" w:eastAsia="Arial" w:hAnsi="Arial"/>
                <w:sz w:val="18"/>
                <w:szCs w:val="18"/>
                <w:color w:val="auto"/>
              </w:rPr>
              <w:t>Cardiovascular:</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2,291.0</w:t>
            </w: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2,159.4</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1,926.8</w:t>
            </w:r>
          </w:p>
        </w:tc>
        <w:tc>
          <w:tcPr>
            <w:tcW w:w="0" w:type="dxa"/>
            <w:vAlign w:val="bottom"/>
          </w:tcPr>
          <w:p>
            <w:pPr>
              <w:spacing w:after="0"/>
              <w:rPr>
                <w:sz w:val="1"/>
                <w:szCs w:val="1"/>
                <w:color w:val="auto"/>
              </w:rPr>
            </w:pPr>
          </w:p>
        </w:tc>
      </w:tr>
      <w:tr>
        <w:trPr>
          <w:trHeight w:val="263"/>
        </w:trPr>
        <w:tc>
          <w:tcPr>
            <w:tcW w:w="7020" w:type="dxa"/>
            <w:vAlign w:val="bottom"/>
          </w:tcPr>
          <w:p>
            <w:pPr>
              <w:ind w:left="820"/>
              <w:spacing w:after="0"/>
              <w:rPr>
                <w:sz w:val="20"/>
                <w:szCs w:val="20"/>
                <w:color w:val="auto"/>
              </w:rPr>
            </w:pPr>
            <w:r>
              <w:rPr>
                <w:rFonts w:ascii="Arial" w:cs="Arial" w:eastAsia="Arial" w:hAnsi="Arial"/>
                <w:sz w:val="18"/>
                <w:szCs w:val="18"/>
                <w:i w:val="1"/>
                <w:iCs w:val="1"/>
                <w:color w:val="auto"/>
              </w:rPr>
              <w:t>Effient</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522.2</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508.7</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7"/>
        </w:trPr>
        <w:tc>
          <w:tcPr>
            <w:tcW w:w="702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Cardiovascular</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240.3</w:t>
            </w:r>
          </w:p>
        </w:tc>
        <w:tc>
          <w:tcPr>
            <w:tcW w:w="40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color w:val="auto"/>
              </w:rPr>
              <w:t>255.1</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57"/>
        </w:trPr>
        <w:tc>
          <w:tcPr>
            <w:tcW w:w="7020" w:type="dxa"/>
            <w:vAlign w:val="bottom"/>
          </w:tcPr>
          <w:p>
            <w:pPr>
              <w:ind w:left="720"/>
              <w:spacing w:after="0"/>
              <w:rPr>
                <w:sz w:val="20"/>
                <w:szCs w:val="20"/>
                <w:color w:val="auto"/>
              </w:rPr>
            </w:pPr>
            <w:r>
              <w:rPr>
                <w:rFonts w:ascii="Arial" w:cs="Arial" w:eastAsia="Arial" w:hAnsi="Arial"/>
                <w:sz w:val="18"/>
                <w:szCs w:val="18"/>
                <w:color w:val="auto"/>
              </w:rPr>
              <w:t>Total Cardiovascular</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3,053.5</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2,923.2</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2,632.5</w:t>
            </w:r>
          </w:p>
        </w:tc>
        <w:tc>
          <w:tcPr>
            <w:tcW w:w="0" w:type="dxa"/>
            <w:vAlign w:val="bottom"/>
          </w:tcPr>
          <w:p>
            <w:pPr>
              <w:spacing w:after="0"/>
              <w:rPr>
                <w:sz w:val="1"/>
                <w:szCs w:val="1"/>
                <w:color w:val="auto"/>
              </w:rPr>
            </w:pPr>
          </w:p>
        </w:tc>
      </w:tr>
      <w:tr>
        <w:trPr>
          <w:trHeight w:val="169"/>
        </w:trPr>
        <w:tc>
          <w:tcPr>
            <w:tcW w:w="7020" w:type="dxa"/>
            <w:vAlign w:val="bottom"/>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1080" w:type="dxa"/>
            <w:vAlign w:val="bottom"/>
            <w:shd w:val="clear" w:color="auto" w:fill="D8D8D8"/>
          </w:tcPr>
          <w:p>
            <w:pPr>
              <w:spacing w:after="0"/>
              <w:rPr>
                <w:sz w:val="14"/>
                <w:szCs w:val="14"/>
                <w:color w:val="auto"/>
              </w:rPr>
            </w:pPr>
          </w:p>
        </w:tc>
        <w:tc>
          <w:tcPr>
            <w:tcW w:w="400" w:type="dxa"/>
            <w:vAlign w:val="bottom"/>
            <w:shd w:val="clear" w:color="auto" w:fill="D8D8D8"/>
          </w:tcPr>
          <w:p>
            <w:pPr>
              <w:spacing w:after="0"/>
              <w:rPr>
                <w:sz w:val="14"/>
                <w:szCs w:val="14"/>
                <w:color w:val="auto"/>
              </w:rPr>
            </w:pPr>
          </w:p>
        </w:tc>
        <w:tc>
          <w:tcPr>
            <w:tcW w:w="104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D8D8D8"/>
            </w:tcBorders>
          </w:tcPr>
          <w:p>
            <w:pPr>
              <w:ind w:left="720"/>
              <w:spacing w:after="0"/>
              <w:rPr>
                <w:sz w:val="20"/>
                <w:szCs w:val="20"/>
                <w:color w:val="auto"/>
              </w:rPr>
            </w:pPr>
            <w:r>
              <w:rPr>
                <w:rFonts w:ascii="Arial" w:cs="Arial" w:eastAsia="Arial" w:hAnsi="Arial"/>
                <w:sz w:val="18"/>
                <w:szCs w:val="18"/>
                <w:color w:val="auto"/>
              </w:rPr>
              <w:t>Other pharmaceuticals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287.0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249.3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70"/>
        </w:trPr>
        <w:tc>
          <w:tcPr>
            <w:tcW w:w="70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Total human pharmaceutical products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17,269.0</w:t>
            </w: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20,961.6</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20,566.9</w:t>
            </w:r>
          </w:p>
        </w:tc>
        <w:tc>
          <w:tcPr>
            <w:tcW w:w="0" w:type="dxa"/>
            <w:vAlign w:val="bottom"/>
          </w:tcPr>
          <w:p>
            <w:pPr>
              <w:spacing w:after="0"/>
              <w:rPr>
                <w:sz w:val="1"/>
                <w:szCs w:val="1"/>
                <w:color w:val="auto"/>
              </w:rPr>
            </w:pPr>
          </w:p>
        </w:tc>
      </w:tr>
      <w:tr>
        <w:trPr>
          <w:trHeight w:val="264"/>
        </w:trPr>
        <w:tc>
          <w:tcPr>
            <w:tcW w:w="7020" w:type="dxa"/>
            <w:vAlign w:val="bottom"/>
            <w:tcBorders>
              <w:bottom w:val="single" w:sz="8" w:color="D8D8D8"/>
            </w:tcBorders>
          </w:tcPr>
          <w:p>
            <w:pPr>
              <w:ind w:left="2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2,346.6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2,151.5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2,036.5</w:t>
            </w:r>
          </w:p>
        </w:tc>
        <w:tc>
          <w:tcPr>
            <w:tcW w:w="0" w:type="dxa"/>
            <w:vAlign w:val="bottom"/>
          </w:tcPr>
          <w:p>
            <w:pPr>
              <w:spacing w:after="0"/>
              <w:rPr>
                <w:sz w:val="1"/>
                <w:szCs w:val="1"/>
                <w:color w:val="auto"/>
              </w:rPr>
            </w:pPr>
          </w:p>
        </w:tc>
      </w:tr>
      <w:tr>
        <w:trPr>
          <w:trHeight w:val="277"/>
        </w:trPr>
        <w:tc>
          <w:tcPr>
            <w:tcW w:w="7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segment 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19,615.6</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color w:val="auto"/>
              </w:rPr>
              <w:t>23,113.1</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22,603.4</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profits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3,132.0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5,015.0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4,393.4</w:t>
            </w:r>
          </w:p>
        </w:tc>
        <w:tc>
          <w:tcPr>
            <w:tcW w:w="0" w:type="dxa"/>
            <w:vAlign w:val="bottom"/>
          </w:tcPr>
          <w:p>
            <w:pPr>
              <w:spacing w:after="0"/>
              <w:rPr>
                <w:sz w:val="1"/>
                <w:szCs w:val="1"/>
                <w:color w:val="auto"/>
              </w:rPr>
            </w:pPr>
          </w:p>
        </w:tc>
      </w:tr>
      <w:tr>
        <w:trPr>
          <w:trHeight w:val="277"/>
        </w:trPr>
        <w:tc>
          <w:tcPr>
            <w:tcW w:w="70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564.2</w:t>
            </w:r>
          </w:p>
        </w:tc>
        <w:tc>
          <w:tcPr>
            <w:tcW w:w="40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color w:val="auto"/>
              </w:rPr>
              <w:t>556.6</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77"/>
        </w:trPr>
        <w:tc>
          <w:tcPr>
            <w:tcW w:w="70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segment profits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3,696.2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5,571.6</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64"/>
        </w:trPr>
        <w:tc>
          <w:tcPr>
            <w:tcW w:w="7020" w:type="dxa"/>
            <w:vAlign w:val="bottom"/>
            <w:shd w:val="clear" w:color="auto" w:fill="D8D8D8"/>
          </w:tcPr>
          <w:p>
            <w:pPr>
              <w:spacing w:after="0"/>
              <w:rPr>
                <w:sz w:val="22"/>
                <w:szCs w:val="22"/>
                <w:color w:val="auto"/>
              </w:rPr>
            </w:pP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8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4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3,696.2</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5,571.6</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Other profits (losses):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Income related to termination of the exenatide collaboration with Amylin</w:t>
            </w:r>
          </w:p>
        </w:tc>
        <w:tc>
          <w:tcPr>
            <w:tcW w:w="320" w:type="dxa"/>
            <w:vAlign w:val="bottom"/>
            <w:shd w:val="clear" w:color="auto" w:fill="D8D8D8"/>
          </w:tcPr>
          <w:p>
            <w:pPr>
              <w:spacing w:after="0"/>
              <w:rPr>
                <w:sz w:val="19"/>
                <w:szCs w:val="19"/>
                <w:color w:val="auto"/>
              </w:rPr>
            </w:pPr>
          </w:p>
        </w:tc>
        <w:tc>
          <w:tcPr>
            <w:tcW w:w="1100" w:type="dxa"/>
            <w:vAlign w:val="bottom"/>
            <w:vMerge w:val="restart"/>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D8D8D8"/>
          </w:tcPr>
          <w:p>
            <w:pPr>
              <w:ind w:left="660"/>
              <w:spacing w:after="0"/>
              <w:rPr>
                <w:sz w:val="20"/>
                <w:szCs w:val="20"/>
                <w:color w:val="auto"/>
              </w:rPr>
            </w:pPr>
            <w:r>
              <w:rPr>
                <w:rFonts w:ascii="Arial" w:cs="Arial" w:eastAsia="Arial" w:hAnsi="Arial"/>
                <w:sz w:val="18"/>
                <w:szCs w:val="18"/>
                <w:color w:val="auto"/>
              </w:rPr>
              <w:t>Pharmaceuticals, Inc. (Note 4)</w:t>
            </w:r>
          </w:p>
        </w:tc>
        <w:tc>
          <w:tcPr>
            <w:tcW w:w="320" w:type="dxa"/>
            <w:vAlign w:val="bottom"/>
            <w:shd w:val="clear" w:color="auto" w:fill="D8D8D8"/>
          </w:tcPr>
          <w:p>
            <w:pPr>
              <w:spacing w:after="0"/>
              <w:rPr>
                <w:sz w:val="20"/>
                <w:szCs w:val="20"/>
                <w:color w:val="auto"/>
              </w:rPr>
            </w:pPr>
          </w:p>
        </w:tc>
        <w:tc>
          <w:tcPr>
            <w:tcW w:w="1100" w:type="dxa"/>
            <w:vAlign w:val="bottom"/>
            <w:vMerge w:val="continue"/>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08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495.4</w:t>
            </w:r>
          </w:p>
        </w:tc>
        <w:tc>
          <w:tcPr>
            <w:tcW w:w="400" w:type="dxa"/>
            <w:vAlign w:val="bottom"/>
            <w:shd w:val="clear" w:color="auto" w:fill="D8D8D8"/>
          </w:tcPr>
          <w:p>
            <w:pPr>
              <w:spacing w:after="0"/>
              <w:rPr>
                <w:sz w:val="20"/>
                <w:szCs w:val="20"/>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29"/>
        </w:trPr>
        <w:tc>
          <w:tcPr>
            <w:tcW w:w="7020" w:type="dxa"/>
            <w:vAlign w:val="bottom"/>
          </w:tcPr>
          <w:p>
            <w:pPr>
              <w:ind w:left="500"/>
              <w:spacing w:after="0"/>
              <w:rPr>
                <w:sz w:val="20"/>
                <w:szCs w:val="20"/>
                <w:color w:val="auto"/>
              </w:rPr>
            </w:pPr>
            <w:r>
              <w:rPr>
                <w:rFonts w:ascii="Arial" w:cs="Arial" w:eastAsia="Arial" w:hAnsi="Arial"/>
                <w:sz w:val="18"/>
                <w:szCs w:val="18"/>
                <w:color w:val="auto"/>
              </w:rPr>
              <w:t>Income related to transfer of linagliptin and empagliflozin rights in certain</w:t>
            </w:r>
          </w:p>
        </w:tc>
        <w:tc>
          <w:tcPr>
            <w:tcW w:w="320" w:type="dxa"/>
            <w:vAlign w:val="bottom"/>
          </w:tcPr>
          <w:p>
            <w:pPr>
              <w:spacing w:after="0"/>
              <w:rPr>
                <w:sz w:val="19"/>
                <w:szCs w:val="19"/>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92.0</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20" w:type="dxa"/>
            <w:vAlign w:val="bottom"/>
          </w:tcPr>
          <w:p>
            <w:pPr>
              <w:ind w:left="500"/>
              <w:spacing w:after="0"/>
              <w:rPr>
                <w:sz w:val="20"/>
                <w:szCs w:val="20"/>
                <w:color w:val="auto"/>
              </w:rPr>
            </w:pPr>
            <w:r>
              <w:rPr>
                <w:rFonts w:ascii="Arial" w:cs="Arial" w:eastAsia="Arial" w:hAnsi="Arial"/>
                <w:sz w:val="18"/>
                <w:szCs w:val="18"/>
                <w:color w:val="auto"/>
              </w:rPr>
              <w:t>countries to Boehringer Ingelheim (Note 4)</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Acquired in-process research and development (Notes 3 and 4)</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(200.2)</w:t>
            </w:r>
          </w:p>
        </w:tc>
        <w:tc>
          <w:tcPr>
            <w:tcW w:w="400" w:type="dxa"/>
            <w:vAlign w:val="bottom"/>
            <w:shd w:val="clear" w:color="auto" w:fill="D8D8D8"/>
          </w:tcPr>
          <w:p>
            <w:pPr>
              <w:spacing w:after="0"/>
              <w:rPr>
                <w:sz w:val="24"/>
                <w:szCs w:val="24"/>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(57.1)</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20" w:type="dxa"/>
            <w:vAlign w:val="bottom"/>
          </w:tcPr>
          <w:p>
            <w:pPr>
              <w:ind w:left="500"/>
              <w:spacing w:after="0"/>
              <w:rPr>
                <w:sz w:val="20"/>
                <w:szCs w:val="20"/>
                <w:color w:val="auto"/>
              </w:rPr>
            </w:pPr>
            <w:r>
              <w:rPr>
                <w:rFonts w:ascii="Arial" w:cs="Arial" w:eastAsia="Arial" w:hAnsi="Arial"/>
                <w:sz w:val="18"/>
                <w:szCs w:val="18"/>
                <w:color w:val="auto"/>
              </w:rPr>
              <w:t>Asset impairment, restructuring, and other special charges (Note 5)</w:t>
            </w:r>
          </w:p>
        </w:tc>
        <w:tc>
          <w:tcPr>
            <w:tcW w:w="32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(468.7)</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(120.6)</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77"/>
        </w:trPr>
        <w:tc>
          <w:tcPr>
            <w:tcW w:w="70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U.S. Branded Prescription Drug Fee</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(119.0)</w:t>
            </w:r>
          </w:p>
        </w:tc>
        <w:tc>
          <w:tcPr>
            <w:tcW w:w="400" w:type="dxa"/>
            <w:vAlign w:val="bottom"/>
            <w:tcBorders>
              <w:bottom w:val="single" w:sz="8" w:color="auto"/>
            </w:tcBorders>
            <w:shd w:val="clear" w:color="auto" w:fill="D8D8D8"/>
          </w:tcPr>
          <w:p>
            <w:pPr>
              <w:spacing w:after="0"/>
              <w:rPr>
                <w:sz w:val="24"/>
                <w:szCs w:val="24"/>
                <w:color w:val="auto"/>
              </w:rPr>
            </w:pPr>
          </w:p>
        </w:tc>
        <w:tc>
          <w:tcPr>
            <w:tcW w:w="108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7020" w:type="dxa"/>
            <w:vAlign w:val="bottom"/>
          </w:tcPr>
          <w:p>
            <w:pPr>
              <w:ind w:left="40"/>
              <w:spacing w:after="0"/>
              <w:rPr>
                <w:sz w:val="20"/>
                <w:szCs w:val="20"/>
                <w:color w:val="auto"/>
              </w:rPr>
            </w:pPr>
            <w:r>
              <w:rPr>
                <w:rFonts w:ascii="Arial" w:cs="Arial" w:eastAsia="Arial" w:hAnsi="Arial"/>
                <w:sz w:val="18"/>
                <w:szCs w:val="18"/>
                <w:color w:val="auto"/>
              </w:rPr>
              <w:t>Total consolidated income before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3,000.3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5,889.3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5,408.2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80" w:right="20" w:hanging="172"/>
        <w:spacing w:after="0" w:line="257" w:lineRule="auto"/>
        <w:tabs>
          <w:tab w:leader="none" w:pos="1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Human pharmaceutical products segment profit includes total depreciation and amortization expense of $1.27 billion, $1.35 billion, and $1.37 billion for the years ended December 31, 2014, 2013, and 2012, respectively. Animal health segment profit includes total depreciation and amortization expense of $111.5 million, $99.4 million, and $91.1 million for the years ended December 31, 2014, 2013, and 2012, respectively.</w:t>
      </w:r>
    </w:p>
    <w:p>
      <w:pPr>
        <w:spacing w:after="0" w:line="10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92</w:t>
      </w:r>
    </w:p>
    <w:p>
      <w:pPr>
        <w:sectPr>
          <w:pgSz w:w="11900" w:h="16838" w:orient="portrait"/>
          <w:cols w:equalWidth="0" w:num="1">
            <w:col w:w="11360"/>
          </w:cols>
          <w:pgMar w:left="240" w:top="802" w:right="299" w:bottom="1440" w:gutter="0" w:footer="0" w:header="0"/>
        </w:sectPr>
      </w:pPr>
    </w:p>
    <w:bookmarkStart w:id="92" w:name="page93"/>
    <w:bookmarkEnd w:id="92"/>
    <w:tbl>
      <w:tblPr>
        <w:tblLayout w:type="fixed"/>
        <w:tblInd w:w="40" w:type="dxa"/>
        <w:tblCellMar>
          <w:top w:w="0" w:type="dxa"/>
          <w:left w:w="0" w:type="dxa"/>
          <w:bottom w:w="0" w:type="dxa"/>
          <w:right w:w="0" w:type="dxa"/>
        </w:tblCellMar>
      </w:tblPr>
      <w:tr>
        <w:trPr>
          <w:trHeight w:val="196"/>
        </w:trPr>
        <w:tc>
          <w:tcPr>
            <w:tcW w:w="7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r>
      <w:tr>
        <w:trPr>
          <w:trHeight w:val="250"/>
        </w:trPr>
        <w:tc>
          <w:tcPr>
            <w:tcW w:w="7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Revenue—to unaffiliated customers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9,134.1</w:t>
            </w:r>
          </w:p>
        </w:tc>
        <w:tc>
          <w:tcPr>
            <w:tcW w:w="4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12,889.7</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12,313.1</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4,506.7</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4,338.4</w:t>
            </w:r>
          </w:p>
        </w:tc>
        <w:tc>
          <w:tcPr>
            <w:tcW w:w="4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4,259.7</w:t>
            </w:r>
          </w:p>
        </w:tc>
      </w:tr>
      <w:tr>
        <w:trPr>
          <w:trHeight w:val="277"/>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2,027.1</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2,063.8</w:t>
            </w:r>
          </w:p>
        </w:tc>
        <w:tc>
          <w:tcPr>
            <w:tcW w:w="4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2,246.2</w:t>
            </w:r>
          </w:p>
        </w:tc>
      </w:tr>
      <w:tr>
        <w:trPr>
          <w:trHeight w:val="264"/>
        </w:trPr>
        <w:tc>
          <w:tcPr>
            <w:tcW w:w="70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3,947.7</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3,821.2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3,784.4</w:t>
            </w:r>
          </w:p>
        </w:tc>
      </w:tr>
      <w:tr>
        <w:trPr>
          <w:trHeight w:val="277"/>
        </w:trPr>
        <w:tc>
          <w:tcPr>
            <w:tcW w:w="7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19,615.6</w:t>
            </w:r>
          </w:p>
        </w:tc>
        <w:tc>
          <w:tcPr>
            <w:tcW w:w="4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23,113.1</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22,603.4</w:t>
            </w:r>
          </w:p>
        </w:tc>
      </w:tr>
      <w:tr>
        <w:trPr>
          <w:trHeight w:val="270"/>
        </w:trPr>
        <w:tc>
          <w:tcPr>
            <w:tcW w:w="7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Long-lived assets</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4,566.2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4,649.6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5,064.7</w:t>
            </w:r>
          </w:p>
        </w:tc>
      </w:tr>
      <w:tr>
        <w:trPr>
          <w:trHeight w:val="277"/>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2,401.5</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2,469.7</w:t>
            </w:r>
          </w:p>
        </w:tc>
        <w:tc>
          <w:tcPr>
            <w:tcW w:w="4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2,281.1</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80.4</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81.1</w:t>
            </w:r>
          </w:p>
        </w:tc>
        <w:tc>
          <w:tcPr>
            <w:tcW w:w="4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101.5</w:t>
            </w:r>
          </w:p>
        </w:tc>
      </w:tr>
      <w:tr>
        <w:trPr>
          <w:trHeight w:val="277"/>
        </w:trPr>
        <w:tc>
          <w:tcPr>
            <w:tcW w:w="7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1,499.1</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1,540.9</w:t>
            </w:r>
          </w:p>
        </w:tc>
        <w:tc>
          <w:tcPr>
            <w:tcW w:w="4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1,543.2</w:t>
            </w:r>
          </w:p>
        </w:tc>
      </w:tr>
      <w:tr>
        <w:trPr>
          <w:trHeight w:val="271"/>
        </w:trPr>
        <w:tc>
          <w:tcPr>
            <w:tcW w:w="704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8,547.2</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8,741.3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8,990.5</w:t>
            </w:r>
          </w:p>
        </w:tc>
      </w:tr>
    </w:tbl>
    <w:p>
      <w:pPr>
        <w:spacing w:after="0" w:line="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Revenue is attributed to the countries based on the location of the customer.</w:t>
      </w:r>
    </w:p>
    <w:p>
      <w:pPr>
        <w:ind w:left="180" w:hanging="172"/>
        <w:spacing w:after="0" w:line="205" w:lineRule="auto"/>
        <w:tabs>
          <w:tab w:leader="none" w:pos="18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Long-lived assets consist of property and equipment and certain sundry assets.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93</w:t>
      </w:r>
    </w:p>
    <w:p>
      <w:pPr>
        <w:sectPr>
          <w:pgSz w:w="11900" w:h="16838" w:orient="portrait"/>
          <w:cols w:equalWidth="0" w:num="1">
            <w:col w:w="11420"/>
          </w:cols>
          <w:pgMar w:left="240" w:top="80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CC0000"/>
        </w:rPr>
        <w:t>Note 19: Selected Quarterly Data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Third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Second</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First</w:t>
            </w:r>
          </w:p>
        </w:tc>
      </w:tr>
      <w:tr>
        <w:trPr>
          <w:trHeight w:val="270"/>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5,121.3</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4,875.6</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4,935.6</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4,683.1</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1,253.1</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b w:val="1"/>
                <w:bCs w:val="1"/>
                <w:color w:val="auto"/>
              </w:rPr>
              <w:t>1,267.0</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1,189.7</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1,222.7</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2,985.6</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2,915.3</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2,859.3</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2,594.2</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Acquired IPR&amp;D</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105.2</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b w:val="1"/>
                <w:bCs w:val="1"/>
                <w:color w:val="auto"/>
              </w:rPr>
              <w:t>95.0</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401.0</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36.3</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31.4</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114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(137.2)</w:t>
            </w: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(93.5)</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(56.0)</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513.6</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655.5</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940.4</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890.8</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428.5</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b w:val="1"/>
                <w:bCs w:val="1"/>
                <w:color w:val="auto"/>
              </w:rPr>
              <w:t>500.6</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733.5</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727.9</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per share—basic</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0.40</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0.47</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0.68</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0.68</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share—diluted</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0.40</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b w:val="1"/>
                <w:bCs w:val="1"/>
                <w:color w:val="auto"/>
              </w:rPr>
              <w:t>0.47</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0.68</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0.68</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Dividends paid per share</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0.49</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0.49</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0.49</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0.49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Common stock closing prices:</w:t>
            </w: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High</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72.83</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66.59</w:t>
            </w:r>
          </w:p>
        </w:tc>
        <w:tc>
          <w:tcPr>
            <w:tcW w:w="2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63.10</w:t>
            </w: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59.85</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Low</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61.90</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b w:val="1"/>
                <w:bCs w:val="1"/>
                <w:color w:val="auto"/>
              </w:rPr>
              <w:t>60.35</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58.21</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50.73</w:t>
            </w:r>
          </w:p>
        </w:tc>
      </w:tr>
      <w:tr>
        <w:trPr>
          <w:trHeight w:val="277"/>
        </w:trPr>
        <w:tc>
          <w:tcPr>
            <w:tcW w:w="5600" w:type="dxa"/>
            <w:vAlign w:val="bottom"/>
            <w:tcBorders>
              <w:bottom w:val="single" w:sz="8" w:color="auto"/>
            </w:tcBorders>
            <w:shd w:val="clear" w:color="auto" w:fill="D8D8D8"/>
          </w:tcPr>
          <w:p>
            <w:pPr>
              <w:spacing w:after="0"/>
              <w:rPr>
                <w:sz w:val="24"/>
                <w:szCs w:val="24"/>
                <w:color w:val="auto"/>
              </w:rPr>
            </w:pPr>
          </w:p>
        </w:tc>
        <w:tc>
          <w:tcPr>
            <w:tcW w:w="114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spacing w:after="0"/>
              <w:rPr>
                <w:sz w:val="24"/>
                <w:szCs w:val="24"/>
                <w:color w:val="auto"/>
              </w:rPr>
            </w:pPr>
          </w:p>
        </w:tc>
        <w:tc>
          <w:tcPr>
            <w:tcW w:w="940" w:type="dxa"/>
            <w:vAlign w:val="bottom"/>
            <w:tcBorders>
              <w:bottom w:val="single" w:sz="8" w:color="auto"/>
            </w:tcBorders>
            <w:shd w:val="clear" w:color="auto" w:fill="D8D8D8"/>
          </w:tcPr>
          <w:p>
            <w:pPr>
              <w:spacing w:after="0"/>
              <w:rPr>
                <w:sz w:val="24"/>
                <w:szCs w:val="24"/>
                <w:color w:val="auto"/>
              </w:rPr>
            </w:pPr>
          </w:p>
        </w:tc>
        <w:tc>
          <w:tcPr>
            <w:tcW w:w="28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spacing w:after="0"/>
              <w:rPr>
                <w:sz w:val="24"/>
                <w:szCs w:val="24"/>
                <w:color w:val="auto"/>
              </w:rPr>
            </w:pPr>
          </w:p>
        </w:tc>
        <w:tc>
          <w:tcPr>
            <w:tcW w:w="340" w:type="dxa"/>
            <w:vAlign w:val="bottom"/>
            <w:tcBorders>
              <w:bottom w:val="single" w:sz="8" w:color="auto"/>
            </w:tcBorders>
            <w:shd w:val="clear" w:color="auto" w:fill="D8D8D8"/>
          </w:tcPr>
          <w:p>
            <w:pPr>
              <w:spacing w:after="0"/>
              <w:rPr>
                <w:sz w:val="24"/>
                <w:szCs w:val="24"/>
                <w:color w:val="auto"/>
              </w:rPr>
            </w:pPr>
          </w:p>
        </w:tc>
        <w:tc>
          <w:tcPr>
            <w:tcW w:w="880" w:type="dxa"/>
            <w:vAlign w:val="bottom"/>
            <w:tcBorders>
              <w:bottom w:val="single" w:sz="8" w:color="auto"/>
            </w:tcBorders>
            <w:shd w:val="clear" w:color="auto" w:fill="D8D8D8"/>
          </w:tcPr>
          <w:p>
            <w:pPr>
              <w:spacing w:after="0"/>
              <w:rPr>
                <w:sz w:val="24"/>
                <w:szCs w:val="24"/>
                <w:color w:val="auto"/>
              </w:rPr>
            </w:pPr>
          </w:p>
        </w:tc>
      </w:tr>
      <w:tr>
        <w:trPr>
          <w:trHeight w:val="258"/>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Third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Second</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First</w:t>
            </w:r>
          </w:p>
        </w:tc>
      </w:tr>
      <w:tr>
        <w:trPr>
          <w:trHeight w:val="270"/>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5,808.8</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5,772.6</w:t>
            </w:r>
          </w:p>
        </w:tc>
        <w:tc>
          <w:tcPr>
            <w:tcW w:w="2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5,929.7</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5,602.0</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1,386.5</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1,198.1</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1,165.2</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1,158.3</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3,429.0</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3,029.8</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3,198.0</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3,000.1</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Acquired IPR&amp;D</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63.5</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21.7</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114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(529.2)</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909.9</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1,513.4</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1,514.9</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1,951.1</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727.5</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1,203.1</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1,206.2</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1,548.0</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per share—basic</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0.68</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1.42</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share—diluted</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1.42</w:t>
            </w:r>
          </w:p>
        </w:tc>
      </w:tr>
      <w:tr>
        <w:trPr>
          <w:trHeight w:val="277"/>
        </w:trPr>
        <w:tc>
          <w:tcPr>
            <w:tcW w:w="56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Dividends paid per share</w:t>
            </w:r>
          </w:p>
        </w:tc>
        <w:tc>
          <w:tcPr>
            <w:tcW w:w="114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0.49</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0.49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Common stock closing prices:</w:t>
            </w: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High</w:t>
            </w:r>
          </w:p>
        </w:tc>
        <w:tc>
          <w:tcPr>
            <w:tcW w:w="114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51.34</w:t>
            </w:r>
          </w:p>
        </w:tc>
        <w:tc>
          <w:tcPr>
            <w:tcW w:w="3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54.96</w:t>
            </w:r>
          </w:p>
        </w:tc>
        <w:tc>
          <w:tcPr>
            <w:tcW w:w="2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58.33</w:t>
            </w: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56.79</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Low</w:t>
            </w:r>
          </w:p>
        </w:tc>
        <w:tc>
          <w:tcPr>
            <w:tcW w:w="11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47.65</w:t>
            </w:r>
          </w:p>
        </w:tc>
        <w:tc>
          <w:tcPr>
            <w:tcW w:w="3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49.92</w:t>
            </w:r>
          </w:p>
        </w:tc>
        <w:tc>
          <w:tcPr>
            <w:tcW w:w="28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49.06</w:t>
            </w:r>
          </w:p>
        </w:tc>
        <w:tc>
          <w:tcPr>
            <w:tcW w:w="3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49.51</w:t>
            </w:r>
          </w:p>
        </w:tc>
      </w:tr>
    </w:tbl>
    <w:p>
      <w:pPr>
        <w:spacing w:after="0" w:line="73"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Includes research and development, marketing, selling, and administrative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(NYSE), NYSE Euronext, and SIX Swiss Exchange.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94</w:t>
      </w:r>
    </w:p>
    <w:p>
      <w:pPr>
        <w:sectPr>
          <w:pgSz w:w="11900" w:h="16838" w:orient="portrait"/>
          <w:cols w:equalWidth="0" w:num="1">
            <w:col w:w="11420"/>
          </w:cols>
          <w:pgMar w:left="240" w:top="576" w:right="239" w:bottom="1440" w:gutter="0" w:footer="0" w:header="0"/>
        </w:sectPr>
      </w:pPr>
    </w:p>
    <w:bookmarkStart w:id="94" w:name="page95"/>
    <w:bookmarkEnd w:id="94"/>
    <w:p>
      <w:pPr>
        <w:spacing w:after="0"/>
        <w:rPr>
          <w:sz w:val="20"/>
          <w:szCs w:val="20"/>
          <w:color w:val="auto"/>
        </w:rPr>
      </w:pPr>
      <w:r>
        <w:rPr>
          <w:rFonts w:ascii="Arial" w:cs="Arial" w:eastAsia="Arial" w:hAnsi="Arial"/>
          <w:sz w:val="32"/>
          <w:szCs w:val="32"/>
          <w:i w:val="1"/>
          <w:iCs w:val="1"/>
          <w:color w:val="CC0000"/>
        </w:rPr>
        <w:t>Management’s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published in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to enable employees to report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 Red Book</w:t>
      </w:r>
      <w:r>
        <w:rPr>
          <w:rFonts w:ascii="Arial" w:cs="Arial" w:eastAsia="Arial" w:hAnsi="Arial"/>
          <w:sz w:val="18"/>
          <w:szCs w:val="18"/>
          <w:color w:val="auto"/>
        </w:rPr>
        <w:t>, the CEO and all financial management must sign a financial code of ethics, which further reinforces their fiduciary responsibilities.</w:t>
      </w:r>
    </w:p>
    <w:p>
      <w:pPr>
        <w:spacing w:after="0" w:line="93"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audit committee includes five nonemployee members of the board of directors, all of whom are independent from our company. The committee charter, which is available on our website, outlines the members’ roles and responsibilities and is consistent with enacted corporate reform laws and regulations. It is the audit committee’s responsibility to appoint an independent registered public accounting firm subject to shareholder ratification, 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and operate under a code of conduct and the highest level of ethical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95</w:t>
      </w:r>
    </w:p>
    <w:p>
      <w:pPr>
        <w:sectPr>
          <w:pgSz w:w="11900" w:h="16838" w:orient="portrait"/>
          <w:cols w:equalWidth="0" w:num="1">
            <w:col w:w="11420"/>
          </w:cols>
          <w:pgMar w:left="240" w:top="569" w:right="239" w:bottom="1440" w:gutter="0" w:footer="0" w:header="0"/>
        </w:sectPr>
      </w:pPr>
    </w:p>
    <w:bookmarkStart w:id="95" w:name="page96"/>
    <w:bookmarkEnd w:id="95"/>
    <w:p>
      <w:pPr>
        <w:spacing w:after="0" w:line="257" w:lineRule="auto"/>
        <w:rPr>
          <w:sz w:val="20"/>
          <w:szCs w:val="20"/>
          <w:color w:val="auto"/>
        </w:rPr>
      </w:pPr>
      <w:r>
        <w:rPr>
          <w:rFonts w:ascii="Arial" w:cs="Arial" w:eastAsia="Arial" w:hAnsi="Arial"/>
          <w:sz w:val="18"/>
          <w:szCs w:val="18"/>
          <w:color w:val="auto"/>
        </w:rPr>
        <w:t xml:space="preserve">We conducted an evaluation of the effectiveness of our internal control over financial reporting based on the framework in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 Based on our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framework, we concluded that our internal control over financial reporting was effective as of December 31, 2014.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internal control over financial reporting has been assessed by Ernst &amp; Young LLP as of December 31, 2014. Their responsibility is to evaluate whether internal control over financial reporting was designed and operating effectively.</w:t>
      </w:r>
    </w:p>
    <w:p>
      <w:pPr>
        <w:sectPr>
          <w:pgSz w:w="11900" w:h="16838" w:orient="portrait"/>
          <w:cols w:equalWidth="0" w:num="1">
            <w:col w:w="11400"/>
          </w:cols>
          <w:pgMar w:left="240" w:top="688" w:right="25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John C. Lechleiter, Ph.D.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Derica W. Rice</w:t>
      </w:r>
    </w:p>
    <w:p>
      <w:pPr>
        <w:spacing w:after="0" w:line="43" w:lineRule="exact"/>
        <w:rPr>
          <w:sz w:val="20"/>
          <w:szCs w:val="20"/>
          <w:color w:val="auto"/>
        </w:rPr>
      </w:pPr>
    </w:p>
    <w:p>
      <w:pPr>
        <w:sectPr>
          <w:pgSz w:w="11900" w:h="16838" w:orient="portrait"/>
          <w:cols w:equalWidth="0" w:num="2">
            <w:col w:w="4940" w:space="720"/>
            <w:col w:w="5740"/>
          </w:cols>
          <w:pgMar w:left="240" w:top="688" w:right="25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Executive Vice President, Global Services and Chief Financial Officer</w:t>
      </w:r>
    </w:p>
    <w:p>
      <w:pPr>
        <w:spacing w:after="0" w:line="160" w:lineRule="exact"/>
        <w:rPr>
          <w:sz w:val="20"/>
          <w:szCs w:val="20"/>
          <w:color w:val="auto"/>
        </w:rPr>
      </w:pPr>
    </w:p>
    <w:p>
      <w:pPr>
        <w:sectPr>
          <w:pgSz w:w="11900" w:h="16838" w:orient="portrait"/>
          <w:cols w:equalWidth="0" w:num="2">
            <w:col w:w="4940" w:space="720"/>
            <w:col w:w="5740"/>
          </w:cols>
          <w:pgMar w:left="240" w:top="688" w:right="259" w:bottom="1440" w:gutter="0" w:footer="0" w:header="0"/>
          <w:type w:val="continuous"/>
        </w:sectPr>
      </w:pPr>
    </w:p>
    <w:p>
      <w:pPr>
        <w:spacing w:after="0"/>
        <w:rPr>
          <w:sz w:val="20"/>
          <w:szCs w:val="20"/>
          <w:color w:val="auto"/>
        </w:rPr>
      </w:pPr>
      <w:r>
        <w:rPr>
          <w:rFonts w:ascii="Arial" w:cs="Arial" w:eastAsia="Arial" w:hAnsi="Arial"/>
          <w:sz w:val="18"/>
          <w:szCs w:val="18"/>
          <w:color w:val="auto"/>
        </w:rPr>
        <w:t>February 19,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96</w:t>
      </w:r>
    </w:p>
    <w:p>
      <w:pPr>
        <w:sectPr>
          <w:pgSz w:w="11900" w:h="16838" w:orient="portrait"/>
          <w:cols w:equalWidth="0" w:num="1">
            <w:col w:w="11400"/>
          </w:cols>
          <w:pgMar w:left="240" w:top="688" w:right="2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Eli Lilly and Company</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as of December 31, 2014 and 2013, and the related consolidated statements of operations, comprehensive income, shareholders’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96"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Eli Lilly and Company and subsidiaries at December 31, 2014 and 2013, and the consolidated results of their operations and their cash flows for each of the three years in the period ended December 31, 2014, in conformity with U.S. generally accepted accounting principles.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Eli Lilly and Company and subsidiaries' internal control over financial reporting as of December 31, 2014, based on criteria established in Internal Control-Integrated Framework issued by the Committee of Sponsoring Organizations of the Treadway Commission (2013 framework), and our report dated February 19, 2015,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601980</wp:posOffset>
            </wp:positionV>
            <wp:extent cx="2169795" cy="557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97</w:t>
      </w:r>
    </w:p>
    <w:p>
      <w:pPr>
        <w:sectPr>
          <w:pgSz w:w="11900" w:h="16838" w:orient="portrait"/>
          <w:cols w:equalWidth="0" w:num="1">
            <w:col w:w="11420"/>
          </w:cols>
          <w:pgMar w:left="240" w:top="568" w:right="239" w:bottom="1440" w:gutter="0" w:footer="0" w:header="0"/>
        </w:sectPr>
      </w:pPr>
    </w:p>
    <w:bookmarkStart w:id="97" w:name="page98"/>
    <w:bookmarkEnd w:id="97"/>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Eli Lilly and Company</w:t>
      </w:r>
    </w:p>
    <w:p>
      <w:pPr>
        <w:spacing w:after="0" w:line="139"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2014, based on criteria established in Internal Control-Integrated Framework issued by the Committee of Sponsoring Organizations of the Treadway Commission</w:t>
      </w:r>
    </w:p>
    <w:p>
      <w:pPr>
        <w:spacing w:after="0" w:line="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(2013 framework) (the COSO criteria). Eli Lilly and Company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our opinion, Eli Lilly and Company and subsidiaries maintained, in all material respects, effective internal control over financial reporting as of December 31, 2014, based on the COSO criteria.</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2014 consolidated financial statements of Eli Lilly and Company and subsidiaries and our report dated February 19, 2015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600710</wp:posOffset>
            </wp:positionV>
            <wp:extent cx="2169795" cy="557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98</w:t>
      </w:r>
    </w:p>
    <w:p>
      <w:pPr>
        <w:sectPr>
          <w:pgSz w:w="11900" w:h="16838" w:orient="portrait"/>
          <w:cols w:equalWidth="0" w:num="1">
            <w:col w:w="11420"/>
          </w:cols>
          <w:pgMar w:left="240" w:top="568" w:right="239" w:bottom="1440" w:gutter="0" w:footer="0" w:header="0"/>
        </w:sectPr>
      </w:pPr>
    </w:p>
    <w:bookmarkStart w:id="98" w:name="page99"/>
    <w:bookmarkEnd w:id="98"/>
    <w:p>
      <w:pPr>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9. Changes in and Disagreements with Accountants on Accounting and Financial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Disclosure Controls and Procedures</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December 31, 2014, and concluded that they are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Internal Control over Financial Reporting</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Dr. Lechleiter and Mr. Rice provided a report on behalf of management on our internal control over financial reporting, in which management concluded that the company’s internal control over financial reporting is effective at December 31, 2014. In addition, Ernst &amp; Young LLP, the company’s independent registered public accounting firm, provided an attestation report on the company’s internal control over financial reporting as of December 31, 2014. You can find the full text of management’s report and Ernst &amp; Young’s attestation report in Item 8, and both reports are incorporated by reference in this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Controls</w:t>
      </w:r>
    </w:p>
    <w:p>
      <w:pPr>
        <w:spacing w:after="0" w:line="13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During the fourth quarter of 2014, there were no changes in our internal control over financial reporting that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99</w:t>
      </w:r>
    </w:p>
    <w:p>
      <w:pPr>
        <w:sectPr>
          <w:pgSz w:w="11900" w:h="16838" w:orient="portrait"/>
          <w:cols w:equalWidth="0" w:num="1">
            <w:col w:w="11420"/>
          </w:cols>
          <w:pgMar w:left="240" w:top="562" w:right="239" w:bottom="1440" w:gutter="0" w:footer="0" w:header="0"/>
        </w:sectPr>
      </w:pPr>
    </w:p>
    <w:bookmarkStart w:id="99" w:name="page100"/>
    <w:bookmarkEnd w:id="99"/>
    <w:p>
      <w:pPr>
        <w:spacing w:after="0"/>
        <w:rPr>
          <w:sz w:val="20"/>
          <w:szCs w:val="20"/>
          <w:color w:val="auto"/>
        </w:rPr>
      </w:pPr>
      <w:r>
        <w:rPr>
          <w:rFonts w:ascii="Arial" w:cs="Arial" w:eastAsia="Arial" w:hAnsi="Arial"/>
          <w:sz w:val="32"/>
          <w:szCs w:val="32"/>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Information relating to our Board of Directors is found in our Proxy Statement to be dated on or about March 23, 2015 (the Proxy Statement) under “Board of Directors” and is incorporated in this report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executive officers is found at Item 1, "Business—Executive Officers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code of ethics that complies with the applicable SEC and New York Stock Exchange requirements. The code is set forth in:</w:t>
      </w:r>
    </w:p>
    <w:p>
      <w:pPr>
        <w:spacing w:after="0" w:line="99" w:lineRule="exact"/>
        <w:rPr>
          <w:sz w:val="20"/>
          <w:szCs w:val="20"/>
          <w:color w:val="auto"/>
        </w:rPr>
      </w:pPr>
    </w:p>
    <w:p>
      <w:pPr>
        <w:ind w:left="660" w:right="60" w:hanging="328"/>
        <w:spacing w:after="0" w:line="28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The Red Book, </w:t>
      </w:r>
      <w:r>
        <w:rPr>
          <w:rFonts w:ascii="Arial" w:cs="Arial" w:eastAsia="Arial" w:hAnsi="Arial"/>
          <w:sz w:val="18"/>
          <w:szCs w:val="18"/>
          <w:color w:val="auto"/>
        </w:rPr>
        <w:t>a comprehensive code of ethical and legal business conduct applicable to all employees worldwide and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w:t>
      </w:r>
    </w:p>
    <w:p>
      <w:pPr>
        <w:spacing w:after="0" w:line="53" w:lineRule="exact"/>
        <w:rPr>
          <w:rFonts w:ascii="Arial" w:cs="Arial" w:eastAsia="Arial" w:hAnsi="Arial"/>
          <w:sz w:val="18"/>
          <w:szCs w:val="18"/>
          <w:color w:val="auto"/>
        </w:rPr>
      </w:pPr>
    </w:p>
    <w:p>
      <w:pPr>
        <w:ind w:left="660" w:right="640" w:hanging="328"/>
        <w:spacing w:after="0" w:line="28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Code of Ethical Conduct for Lilly Financial Management</w:t>
      </w:r>
      <w:r>
        <w:rPr>
          <w:rFonts w:ascii="Arial" w:cs="Arial" w:eastAsia="Arial" w:hAnsi="Arial"/>
          <w:sz w:val="18"/>
          <w:szCs w:val="18"/>
          <w:color w:val="auto"/>
        </w:rPr>
        <w:t>, a supplemental code for our chief executive officer and all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management that focuses on accounting, financial reporting, internal controls, and financial stewardship.</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Both documents are online on our website at </w:t>
      </w:r>
      <w:r>
        <w:rPr>
          <w:rFonts w:ascii="Arial" w:cs="Arial" w:eastAsia="Arial" w:hAnsi="Arial"/>
          <w:sz w:val="18"/>
          <w:szCs w:val="18"/>
          <w:b w:val="1"/>
          <w:bCs w:val="1"/>
          <w:color w:val="auto"/>
        </w:rPr>
        <w:t>http://www.lilly.com/about/business-practices/ethics-compliance/Pages/ethics-compliance.aspx</w:t>
      </w:r>
      <w:r>
        <w:rPr>
          <w:rFonts w:ascii="Arial" w:cs="Arial" w:eastAsia="Arial" w:hAnsi="Arial"/>
          <w:sz w:val="18"/>
          <w:szCs w:val="18"/>
          <w:color w:val="auto"/>
        </w:rPr>
        <w:t>. In the event of any amendments to, or waivers from, a provision of the code affecting the chief executive officer,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 Paper copies of these documents are available free of charge upon request to the company’s secretary at the address on the front of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3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our proxy statements, we describe the procedures by which shareholders can recommend nominees to our board of directors. There have been no changes in those procedures since they were last published in our proxy statement of March 24, 2014.</w:t>
      </w:r>
    </w:p>
    <w:p>
      <w:pPr>
        <w:spacing w:after="0" w:line="8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board has appointed an audit committee consisting entirely of independent directors in accordance with applicable SEC and New York Stock Exchange rules for audit committees. The members of the committee are Michael L. Eskew (chair), Katherine Baicker, Douglas R. Oberhelman, Kathi P. Seifert, and Jackson P. Tai. The board has determined that Messrs. Eskew, Oberhelman, and Tai are audit committee financial experts as defined in the SEC rules.</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“Director Compensation,” "Committees of the Board of Directors -- Compensation Committee," "Compensation Discussion and Analysis," and “Executive Compensation.” That information is incorporated in this report by reference.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w:t>
      </w:r>
    </w:p>
    <w:p>
      <w:pPr>
        <w:sectPr>
          <w:pgSz w:w="11900" w:h="16838" w:orient="portrait"/>
          <w:cols w:equalWidth="0" w:num="1">
            <w:col w:w="11420"/>
          </w:cols>
          <w:pgMar w:left="240" w:top="562" w:right="239" w:bottom="1440" w:gutter="0" w:footer="0" w:header="0"/>
        </w:sectPr>
      </w:pPr>
    </w:p>
    <w:bookmarkStart w:id="100" w:name="page101"/>
    <w:bookmarkEnd w:id="100"/>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That information is incorporated in this report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3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presents information as of December 31, 2014, regarding our compensation plans under which shares of Lilly common stock have been authorized for issuance.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(a) Number of securities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 Weighted-average exercise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options, warrants, and</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w:t>
            </w: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256"/>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80" w:type="dxa"/>
            <w:vAlign w:val="bottom"/>
            <w:shd w:val="clear" w:color="auto" w:fill="D8D8D8"/>
          </w:tcPr>
          <w:p>
            <w:pPr>
              <w:jc w:val="right"/>
              <w:ind w:right="41"/>
              <w:spacing w:after="0"/>
              <w:rPr>
                <w:sz w:val="20"/>
                <w:szCs w:val="20"/>
                <w:color w:val="auto"/>
              </w:rPr>
            </w:pPr>
            <w:r>
              <w:rPr>
                <w:rFonts w:ascii="Arial" w:cs="Arial" w:eastAsia="Arial" w:hAnsi="Arial"/>
                <w:sz w:val="18"/>
                <w:szCs w:val="18"/>
                <w:color w:val="auto"/>
              </w:rPr>
              <w:t>2,317,010</w:t>
            </w:r>
          </w:p>
        </w:tc>
        <w:tc>
          <w:tcPr>
            <w:tcW w:w="1000" w:type="dxa"/>
            <w:vAlign w:val="bottom"/>
            <w:shd w:val="clear" w:color="auto" w:fill="D8D8D8"/>
          </w:tcPr>
          <w:p>
            <w:pPr>
              <w:jc w:val="right"/>
              <w:ind w:right="481"/>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56.26</w:t>
            </w:r>
          </w:p>
        </w:tc>
        <w:tc>
          <w:tcPr>
            <w:tcW w:w="2560" w:type="dxa"/>
            <w:vAlign w:val="bottom"/>
            <w:shd w:val="clear" w:color="auto" w:fill="D8D8D8"/>
          </w:tcPr>
          <w:p>
            <w:pPr>
              <w:jc w:val="right"/>
              <w:ind w:right="21"/>
              <w:spacing w:after="0"/>
              <w:rPr>
                <w:sz w:val="20"/>
                <w:szCs w:val="20"/>
                <w:color w:val="auto"/>
              </w:rPr>
            </w:pPr>
            <w:r>
              <w:rPr>
                <w:rFonts w:ascii="Arial" w:cs="Arial" w:eastAsia="Arial" w:hAnsi="Arial"/>
                <w:sz w:val="18"/>
                <w:szCs w:val="18"/>
                <w:color w:val="auto"/>
              </w:rPr>
              <w:t>101,455,298</w:t>
            </w:r>
          </w:p>
        </w:tc>
      </w:tr>
      <w:tr>
        <w:trPr>
          <w:trHeight w:val="250"/>
        </w:trPr>
        <w:tc>
          <w:tcPr>
            <w:tcW w:w="4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8D8D8"/>
            </w:tcBorders>
          </w:tcPr>
          <w:p>
            <w:pPr>
              <w:spacing w:after="0"/>
              <w:rPr>
                <w:sz w:val="21"/>
                <w:szCs w:val="21"/>
                <w:color w:val="auto"/>
              </w:rPr>
            </w:pPr>
          </w:p>
        </w:tc>
        <w:tc>
          <w:tcPr>
            <w:tcW w:w="1120" w:type="dxa"/>
            <w:vAlign w:val="bottom"/>
            <w:tcBorders>
              <w:bottom w:val="single" w:sz="8" w:color="D8D8D8"/>
            </w:tcBorders>
          </w:tcPr>
          <w:p>
            <w:pPr>
              <w:jc w:val="right"/>
              <w:ind w:right="1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r>
      <w:tr>
        <w:trPr>
          <w:trHeight w:val="264"/>
        </w:trPr>
        <w:tc>
          <w:tcPr>
            <w:tcW w:w="4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D8D8D8"/>
          </w:tcPr>
          <w:p>
            <w:pPr>
              <w:jc w:val="right"/>
              <w:ind w:right="41"/>
              <w:spacing w:after="0"/>
              <w:rPr>
                <w:sz w:val="20"/>
                <w:szCs w:val="20"/>
                <w:color w:val="auto"/>
              </w:rPr>
            </w:pPr>
            <w:r>
              <w:rPr>
                <w:rFonts w:ascii="Arial" w:cs="Arial" w:eastAsia="Arial" w:hAnsi="Arial"/>
                <w:sz w:val="18"/>
                <w:szCs w:val="18"/>
                <w:color w:val="auto"/>
              </w:rPr>
              <w:t>2,317,010</w:t>
            </w:r>
          </w:p>
        </w:tc>
        <w:tc>
          <w:tcPr>
            <w:tcW w:w="1000" w:type="dxa"/>
            <w:vAlign w:val="bottom"/>
            <w:tcBorders>
              <w:bottom w:val="single" w:sz="8" w:color="D8D8D8"/>
            </w:tcBorders>
            <w:shd w:val="clear" w:color="auto" w:fill="D8D8D8"/>
          </w:tcPr>
          <w:p>
            <w:pPr>
              <w:jc w:val="right"/>
              <w:ind w:right="48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8D8D8"/>
            </w:tcBorders>
            <w:shd w:val="clear" w:color="auto" w:fill="D8D8D8"/>
          </w:tcPr>
          <w:p>
            <w:pPr>
              <w:jc w:val="right"/>
              <w:ind w:right="10"/>
              <w:spacing w:after="0"/>
              <w:rPr>
                <w:sz w:val="20"/>
                <w:szCs w:val="20"/>
                <w:color w:val="auto"/>
              </w:rPr>
            </w:pPr>
            <w:r>
              <w:rPr>
                <w:rFonts w:ascii="Arial" w:cs="Arial" w:eastAsia="Arial" w:hAnsi="Arial"/>
                <w:sz w:val="18"/>
                <w:szCs w:val="18"/>
                <w:color w:val="auto"/>
              </w:rPr>
              <w:t>56.26</w:t>
            </w:r>
          </w:p>
        </w:tc>
        <w:tc>
          <w:tcPr>
            <w:tcW w:w="2560" w:type="dxa"/>
            <w:vAlign w:val="bottom"/>
            <w:tcBorders>
              <w:bottom w:val="single" w:sz="8" w:color="auto"/>
            </w:tcBorders>
            <w:shd w:val="clear" w:color="auto" w:fill="D8D8D8"/>
          </w:tcPr>
          <w:p>
            <w:pPr>
              <w:jc w:val="right"/>
              <w:ind w:right="21"/>
              <w:spacing w:after="0"/>
              <w:rPr>
                <w:sz w:val="20"/>
                <w:szCs w:val="20"/>
                <w:color w:val="auto"/>
              </w:rPr>
            </w:pPr>
            <w:r>
              <w:rPr>
                <w:rFonts w:ascii="Arial" w:cs="Arial" w:eastAsia="Arial" w:hAnsi="Arial"/>
                <w:sz w:val="18"/>
                <w:szCs w:val="18"/>
                <w:color w:val="auto"/>
              </w:rPr>
              <w:t>101,455,298</w:t>
            </w:r>
          </w:p>
        </w:tc>
      </w:tr>
    </w:tbl>
    <w:p>
      <w:pPr>
        <w:spacing w:after="0" w:line="180" w:lineRule="exact"/>
        <w:rPr>
          <w:sz w:val="20"/>
          <w:szCs w:val="20"/>
          <w:color w:val="auto"/>
        </w:rPr>
      </w:pPr>
    </w:p>
    <w:p>
      <w:pPr>
        <w:ind w:left="1300" w:right="660" w:hanging="1296"/>
        <w:spacing w:after="0" w:line="286"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3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Information relating to three related person transactions and the board’s policies and procedures for approval of related person transactions can be found in the Proxy Statement under “Highlights of the Company’s Corporate Governance—Conflicts of Interest and Transactions with Related Persons.” That information is incorporated in this report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Information relating to director independence can be found in the Proxy Statement under “Director Independence”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“Item 3. Proposal to Ratify the Appointment of Principal Independent Auditor—Services Performed by the Independent Auditor” and “Independent Auditor Fees.” That information is incorporated in this report by reference.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101</w:t>
      </w:r>
    </w:p>
    <w:p>
      <w:pPr>
        <w:sectPr>
          <w:pgSz w:w="11900" w:h="16838" w:orient="portrait"/>
          <w:cols w:equalWidth="0" w:num="1">
            <w:col w:w="11420"/>
          </w:cols>
          <w:pgMar w:left="240" w:top="562" w:right="239" w:bottom="1440" w:gutter="0" w:footer="0" w:header="0"/>
        </w:sectPr>
      </w:pPr>
    </w:p>
    <w:bookmarkStart w:id="101" w:name="page102"/>
    <w:bookmarkEnd w:id="101"/>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2014, 2013, and 2012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2014, 2013, and 2012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Balance Sheets—December 31, 2014 and 2013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2014, 2013, and 2012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2014, 2013, and 2012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102</w:t>
      </w:r>
    </w:p>
    <w:p>
      <w:pPr>
        <w:sectPr>
          <w:pgSz w:w="11900" w:h="16838" w:orient="portrait"/>
          <w:cols w:equalWidth="0" w:num="1">
            <w:col w:w="11300"/>
          </w:cols>
          <w:pgMar w:left="240" w:top="563"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800" w:type="dxa"/>
            <w:vAlign w:val="bottom"/>
          </w:tcPr>
          <w:p>
            <w:pPr>
              <w:ind w:left="40"/>
              <w:spacing w:after="0"/>
              <w:rPr>
                <w:sz w:val="20"/>
                <w:szCs w:val="20"/>
                <w:color w:val="auto"/>
              </w:rPr>
            </w:pPr>
            <w:r>
              <w:rPr>
                <w:rFonts w:ascii="Arial" w:cs="Arial" w:eastAsia="Arial" w:hAnsi="Arial"/>
                <w:sz w:val="18"/>
                <w:szCs w:val="18"/>
                <w:b w:val="1"/>
                <w:bCs w:val="1"/>
                <w:color w:val="CC0000"/>
              </w:rPr>
              <w:t>Exhibits</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2.1</w:t>
            </w:r>
          </w:p>
        </w:tc>
        <w:tc>
          <w:tcPr>
            <w:tcW w:w="10800" w:type="dxa"/>
            <w:vAlign w:val="bottom"/>
          </w:tcPr>
          <w:p>
            <w:pPr>
              <w:ind w:left="440"/>
              <w:spacing w:after="0"/>
              <w:rPr>
                <w:sz w:val="20"/>
                <w:szCs w:val="20"/>
                <w:color w:val="auto"/>
              </w:rPr>
            </w:pPr>
            <w:r>
              <w:rPr>
                <w:rFonts w:ascii="Arial" w:cs="Arial" w:eastAsia="Arial" w:hAnsi="Arial"/>
                <w:sz w:val="18"/>
                <w:szCs w:val="18"/>
                <w:color w:val="auto"/>
              </w:rPr>
              <w:t>Stock and Asset Purchase Agreement between Novartis AG and Eli Lilly and Company dated as of April 22, 2014</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2.2</w:t>
            </w:r>
          </w:p>
        </w:tc>
        <w:tc>
          <w:tcPr>
            <w:tcW w:w="10800" w:type="dxa"/>
            <w:vAlign w:val="bottom"/>
          </w:tcPr>
          <w:p>
            <w:pPr>
              <w:ind w:left="440"/>
              <w:spacing w:after="0"/>
              <w:rPr>
                <w:sz w:val="20"/>
                <w:szCs w:val="20"/>
                <w:color w:val="auto"/>
              </w:rPr>
            </w:pPr>
            <w:r>
              <w:rPr>
                <w:rFonts w:ascii="Arial" w:cs="Arial" w:eastAsia="Arial" w:hAnsi="Arial"/>
                <w:sz w:val="18"/>
                <w:szCs w:val="18"/>
                <w:color w:val="auto"/>
                <w:w w:val="99"/>
              </w:rPr>
              <w:t>First Amendment to Stock and Asset Purchase Agreement between Novartis AG and Eli Lilly and Company dated as of December</w:t>
            </w:r>
          </w:p>
        </w:tc>
      </w:tr>
      <w:tr>
        <w:trPr>
          <w:trHeight w:val="217"/>
        </w:trPr>
        <w:tc>
          <w:tcPr>
            <w:tcW w:w="540" w:type="dxa"/>
            <w:vAlign w:val="bottom"/>
          </w:tcPr>
          <w:p>
            <w:pPr>
              <w:spacing w:after="0"/>
              <w:rPr>
                <w:sz w:val="18"/>
                <w:szCs w:val="18"/>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17, 2014</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w:t>
            </w:r>
          </w:p>
        </w:tc>
        <w:tc>
          <w:tcPr>
            <w:tcW w:w="10800" w:type="dxa"/>
            <w:vAlign w:val="bottom"/>
          </w:tcPr>
          <w:p>
            <w:pPr>
              <w:ind w:left="440"/>
              <w:spacing w:after="0"/>
              <w:rPr>
                <w:sz w:val="20"/>
                <w:szCs w:val="20"/>
                <w:color w:val="auto"/>
              </w:rPr>
            </w:pPr>
            <w:r>
              <w:rPr>
                <w:rFonts w:ascii="Arial" w:cs="Arial" w:eastAsia="Arial" w:hAnsi="Arial"/>
                <w:sz w:val="18"/>
                <w:szCs w:val="18"/>
                <w:color w:val="auto"/>
              </w:rPr>
              <w:t>Amended Articles of Incorporation</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3.2</w:t>
            </w:r>
          </w:p>
        </w:tc>
        <w:tc>
          <w:tcPr>
            <w:tcW w:w="10800" w:type="dxa"/>
            <w:vAlign w:val="bottom"/>
          </w:tcPr>
          <w:p>
            <w:pPr>
              <w:ind w:left="440"/>
              <w:spacing w:after="0"/>
              <w:rPr>
                <w:sz w:val="20"/>
                <w:szCs w:val="20"/>
                <w:color w:val="auto"/>
              </w:rPr>
            </w:pPr>
            <w:r>
              <w:rPr>
                <w:rFonts w:ascii="Arial" w:cs="Arial" w:eastAsia="Arial" w:hAnsi="Arial"/>
                <w:sz w:val="18"/>
                <w:szCs w:val="18"/>
                <w:color w:val="auto"/>
              </w:rPr>
              <w:t>By-laws, as amended</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4.1</w:t>
            </w:r>
          </w:p>
        </w:tc>
        <w:tc>
          <w:tcPr>
            <w:tcW w:w="10800" w:type="dxa"/>
            <w:vAlign w:val="bottom"/>
          </w:tcPr>
          <w:p>
            <w:pPr>
              <w:ind w:left="440"/>
              <w:spacing w:after="0"/>
              <w:rPr>
                <w:sz w:val="20"/>
                <w:szCs w:val="20"/>
                <w:color w:val="auto"/>
              </w:rPr>
            </w:pPr>
            <w:r>
              <w:rPr>
                <w:rFonts w:ascii="Arial" w:cs="Arial" w:eastAsia="Arial" w:hAnsi="Arial"/>
                <w:sz w:val="18"/>
                <w:szCs w:val="18"/>
                <w:color w:val="auto"/>
              </w:rPr>
              <w:t>Indenture with respect to Debt Securities dated as of February 1, 1991, between Eli Lilly and Company and Deutsche Bank Trust</w:t>
            </w:r>
          </w:p>
        </w:tc>
      </w:tr>
      <w:tr>
        <w:trPr>
          <w:trHeight w:val="217"/>
        </w:trPr>
        <w:tc>
          <w:tcPr>
            <w:tcW w:w="540" w:type="dxa"/>
            <w:vAlign w:val="bottom"/>
          </w:tcPr>
          <w:p>
            <w:pPr>
              <w:spacing w:after="0"/>
              <w:rPr>
                <w:sz w:val="18"/>
                <w:szCs w:val="18"/>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Company Americas, as successor trustee to Citibank, N.A., Trustee</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4.2</w:t>
            </w:r>
          </w:p>
        </w:tc>
        <w:tc>
          <w:tcPr>
            <w:tcW w:w="10800" w:type="dxa"/>
            <w:vAlign w:val="bottom"/>
          </w:tcPr>
          <w:p>
            <w:pPr>
              <w:ind w:left="440"/>
              <w:spacing w:after="0"/>
              <w:rPr>
                <w:sz w:val="20"/>
                <w:szCs w:val="20"/>
                <w:color w:val="auto"/>
              </w:rPr>
            </w:pPr>
            <w:r>
              <w:rPr>
                <w:rFonts w:ascii="Arial" w:cs="Arial" w:eastAsia="Arial" w:hAnsi="Arial"/>
                <w:sz w:val="18"/>
                <w:szCs w:val="18"/>
                <w:color w:val="auto"/>
              </w:rPr>
              <w:t>Agreement dated September 13, 2007 appointing Deutsche Bank Trust Company Americas as Successor Trustee under the</w:t>
            </w:r>
          </w:p>
        </w:tc>
      </w:tr>
      <w:tr>
        <w:trPr>
          <w:trHeight w:val="217"/>
        </w:trPr>
        <w:tc>
          <w:tcPr>
            <w:tcW w:w="540" w:type="dxa"/>
            <w:vAlign w:val="bottom"/>
          </w:tcPr>
          <w:p>
            <w:pPr>
              <w:spacing w:after="0"/>
              <w:rPr>
                <w:sz w:val="18"/>
                <w:szCs w:val="18"/>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Indenture listed above</w:t>
            </w:r>
          </w:p>
        </w:tc>
      </w:tr>
      <w:tr>
        <w:trPr>
          <w:trHeight w:val="435"/>
        </w:trPr>
        <w:tc>
          <w:tcPr>
            <w:tcW w:w="540" w:type="dxa"/>
            <w:vAlign w:val="bottom"/>
          </w:tcPr>
          <w:p>
            <w:pPr>
              <w:ind w:left="40"/>
              <w:spacing w:after="0"/>
              <w:rPr>
                <w:sz w:val="20"/>
                <w:szCs w:val="20"/>
                <w:color w:val="auto"/>
              </w:rPr>
            </w:pPr>
            <w:r>
              <w:rPr>
                <w:rFonts w:ascii="Arial" w:cs="Arial" w:eastAsia="Arial" w:hAnsi="Arial"/>
                <w:sz w:val="18"/>
                <w:szCs w:val="18"/>
                <w:color w:val="auto"/>
              </w:rPr>
              <w:t>10.1</w:t>
            </w:r>
          </w:p>
        </w:tc>
        <w:tc>
          <w:tcPr>
            <w:tcW w:w="10800" w:type="dxa"/>
            <w:vAlign w:val="bottom"/>
          </w:tcPr>
          <w:p>
            <w:pPr>
              <w:ind w:left="440"/>
              <w:spacing w:after="0"/>
              <w:rPr>
                <w:sz w:val="20"/>
                <w:szCs w:val="20"/>
                <w:color w:val="auto"/>
              </w:rPr>
            </w:pPr>
            <w:r>
              <w:rPr>
                <w:rFonts w:ascii="Arial" w:cs="Arial" w:eastAsia="Arial" w:hAnsi="Arial"/>
                <w:sz w:val="18"/>
                <w:szCs w:val="18"/>
                <w:color w:val="auto"/>
              </w:rPr>
              <w:t>2002 Lilly Stock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10.2</w:t>
            </w:r>
          </w:p>
        </w:tc>
        <w:tc>
          <w:tcPr>
            <w:tcW w:w="10800" w:type="dxa"/>
            <w:vAlign w:val="bottom"/>
          </w:tcPr>
          <w:p>
            <w:pPr>
              <w:ind w:left="44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10.3</w:t>
            </w:r>
          </w:p>
        </w:tc>
        <w:tc>
          <w:tcPr>
            <w:tcW w:w="10800" w:type="dxa"/>
            <w:vAlign w:val="bottom"/>
          </w:tcPr>
          <w:p>
            <w:pPr>
              <w:ind w:left="44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10.4</w:t>
            </w:r>
          </w:p>
        </w:tc>
        <w:tc>
          <w:tcPr>
            <w:tcW w:w="10800" w:type="dxa"/>
            <w:vAlign w:val="bottom"/>
          </w:tcPr>
          <w:p>
            <w:pPr>
              <w:ind w:left="44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10.5</w:t>
            </w:r>
          </w:p>
        </w:tc>
        <w:tc>
          <w:tcPr>
            <w:tcW w:w="10800" w:type="dxa"/>
            <w:vAlign w:val="bottom"/>
          </w:tcPr>
          <w:p>
            <w:pPr>
              <w:ind w:left="44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10.6</w:t>
            </w:r>
          </w:p>
        </w:tc>
        <w:tc>
          <w:tcPr>
            <w:tcW w:w="10800" w:type="dxa"/>
            <w:vAlign w:val="bottom"/>
          </w:tcPr>
          <w:p>
            <w:pPr>
              <w:ind w:left="44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10.7</w:t>
            </w:r>
          </w:p>
        </w:tc>
        <w:tc>
          <w:tcPr>
            <w:tcW w:w="10800" w:type="dxa"/>
            <w:vAlign w:val="bottom"/>
          </w:tcPr>
          <w:p>
            <w:pPr>
              <w:ind w:left="440"/>
              <w:spacing w:after="0"/>
              <w:rPr>
                <w:sz w:val="20"/>
                <w:szCs w:val="20"/>
                <w:color w:val="auto"/>
              </w:rPr>
            </w:pPr>
            <w:r>
              <w:rPr>
                <w:rFonts w:ascii="Arial" w:cs="Arial" w:eastAsia="Arial" w:hAnsi="Arial"/>
                <w:sz w:val="18"/>
                <w:szCs w:val="18"/>
                <w:color w:val="auto"/>
              </w:rPr>
              <w:t>The Eli Lilly and Company Executive Officer Incentive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10.8</w:t>
            </w:r>
          </w:p>
        </w:tc>
        <w:tc>
          <w:tcPr>
            <w:tcW w:w="10800" w:type="dxa"/>
            <w:vAlign w:val="bottom"/>
          </w:tcPr>
          <w:p>
            <w:pPr>
              <w:ind w:left="44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1"/>
                <w:szCs w:val="21"/>
                <w:color w:val="auto"/>
                <w:vertAlign w:val="superscript"/>
              </w:rPr>
              <w:t>1</w:t>
            </w:r>
          </w:p>
        </w:tc>
      </w:tr>
      <w:tr>
        <w:trPr>
          <w:trHeight w:val="289"/>
        </w:trPr>
        <w:tc>
          <w:tcPr>
            <w:tcW w:w="540" w:type="dxa"/>
            <w:vAlign w:val="bottom"/>
          </w:tcPr>
          <w:p>
            <w:pPr>
              <w:ind w:left="40"/>
              <w:spacing w:after="0"/>
              <w:rPr>
                <w:sz w:val="20"/>
                <w:szCs w:val="20"/>
                <w:color w:val="auto"/>
              </w:rPr>
            </w:pPr>
            <w:r>
              <w:rPr>
                <w:rFonts w:ascii="Arial" w:cs="Arial" w:eastAsia="Arial" w:hAnsi="Arial"/>
                <w:sz w:val="18"/>
                <w:szCs w:val="18"/>
                <w:color w:val="auto"/>
              </w:rPr>
              <w:t>10.9</w:t>
            </w:r>
          </w:p>
        </w:tc>
        <w:tc>
          <w:tcPr>
            <w:tcW w:w="10800" w:type="dxa"/>
            <w:vAlign w:val="bottom"/>
          </w:tcPr>
          <w:p>
            <w:pPr>
              <w:ind w:left="440"/>
              <w:spacing w:after="0"/>
              <w:rPr>
                <w:sz w:val="20"/>
                <w:szCs w:val="20"/>
                <w:color w:val="auto"/>
              </w:rPr>
            </w:pPr>
            <w:r>
              <w:rPr>
                <w:rFonts w:ascii="Arial" w:cs="Arial" w:eastAsia="Arial" w:hAnsi="Arial"/>
                <w:sz w:val="18"/>
                <w:szCs w:val="18"/>
                <w:color w:val="auto"/>
              </w:rPr>
              <w:t xml:space="preserve">Guilty Plea Agreement in </w:t>
            </w:r>
            <w:r>
              <w:rPr>
                <w:rFonts w:ascii="Arial" w:cs="Arial" w:eastAsia="Arial" w:hAnsi="Arial"/>
                <w:sz w:val="18"/>
                <w:szCs w:val="18"/>
                <w:i w:val="1"/>
                <w:iCs w:val="1"/>
                <w:color w:val="auto"/>
              </w:rPr>
              <w:t>The United States District Court for the Eastern District of Pennsylvania, United States of America v. Eli</w:t>
            </w:r>
          </w:p>
        </w:tc>
      </w:tr>
      <w:tr>
        <w:trPr>
          <w:trHeight w:val="235"/>
        </w:trPr>
        <w:tc>
          <w:tcPr>
            <w:tcW w:w="540" w:type="dxa"/>
            <w:vAlign w:val="bottom"/>
          </w:tcPr>
          <w:p>
            <w:pPr>
              <w:spacing w:after="0"/>
              <w:rPr>
                <w:sz w:val="20"/>
                <w:szCs w:val="20"/>
                <w:color w:val="auto"/>
              </w:rPr>
            </w:pPr>
          </w:p>
        </w:tc>
        <w:tc>
          <w:tcPr>
            <w:tcW w:w="10800" w:type="dxa"/>
            <w:vAlign w:val="bottom"/>
          </w:tcPr>
          <w:p>
            <w:pPr>
              <w:ind w:left="440"/>
              <w:spacing w:after="0"/>
              <w:rPr>
                <w:sz w:val="20"/>
                <w:szCs w:val="20"/>
                <w:color w:val="auto"/>
              </w:rPr>
            </w:pPr>
            <w:r>
              <w:rPr>
                <w:rFonts w:ascii="Arial" w:cs="Arial" w:eastAsia="Arial" w:hAnsi="Arial"/>
                <w:sz w:val="18"/>
                <w:szCs w:val="18"/>
                <w:i w:val="1"/>
                <w:iCs w:val="1"/>
                <w:color w:val="auto"/>
              </w:rPr>
              <w:t>Lilly and Company</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10.10</w:t>
            </w:r>
          </w:p>
        </w:tc>
        <w:tc>
          <w:tcPr>
            <w:tcW w:w="10800" w:type="dxa"/>
            <w:vAlign w:val="bottom"/>
          </w:tcPr>
          <w:p>
            <w:pPr>
              <w:ind w:left="440"/>
              <w:spacing w:after="0"/>
              <w:rPr>
                <w:sz w:val="20"/>
                <w:szCs w:val="20"/>
                <w:color w:val="auto"/>
              </w:rPr>
            </w:pPr>
            <w:r>
              <w:rPr>
                <w:rFonts w:ascii="Arial" w:cs="Arial" w:eastAsia="Arial" w:hAnsi="Arial"/>
                <w:sz w:val="18"/>
                <w:szCs w:val="18"/>
                <w:color w:val="auto"/>
              </w:rPr>
              <w:t>Settlement Agreement among the company and the United States of America, acting through the United States Department of</w:t>
            </w:r>
          </w:p>
        </w:tc>
      </w:tr>
      <w:tr>
        <w:trPr>
          <w:trHeight w:val="203"/>
        </w:trPr>
        <w:tc>
          <w:tcPr>
            <w:tcW w:w="540" w:type="dxa"/>
            <w:vAlign w:val="bottom"/>
          </w:tcPr>
          <w:p>
            <w:pPr>
              <w:spacing w:after="0"/>
              <w:rPr>
                <w:sz w:val="17"/>
                <w:szCs w:val="17"/>
                <w:color w:val="auto"/>
              </w:rPr>
            </w:pPr>
          </w:p>
        </w:tc>
        <w:tc>
          <w:tcPr>
            <w:tcW w:w="10800" w:type="dxa"/>
            <w:vAlign w:val="bottom"/>
          </w:tcPr>
          <w:p>
            <w:pPr>
              <w:ind w:left="440"/>
              <w:spacing w:after="0" w:line="202" w:lineRule="exact"/>
              <w:rPr>
                <w:sz w:val="20"/>
                <w:szCs w:val="20"/>
                <w:color w:val="auto"/>
              </w:rPr>
            </w:pPr>
            <w:r>
              <w:rPr>
                <w:rFonts w:ascii="Arial" w:cs="Arial" w:eastAsia="Arial" w:hAnsi="Arial"/>
                <w:sz w:val="18"/>
                <w:szCs w:val="18"/>
                <w:color w:val="auto"/>
              </w:rPr>
              <w:t>Justice, Civil Division, and the United States Attorney’s Office of the Eastern District of Pennsylvania, the Office of the Inspector</w:t>
            </w:r>
          </w:p>
        </w:tc>
      </w:tr>
      <w:tr>
        <w:trPr>
          <w:trHeight w:val="203"/>
        </w:trPr>
        <w:tc>
          <w:tcPr>
            <w:tcW w:w="540" w:type="dxa"/>
            <w:vAlign w:val="bottom"/>
          </w:tcPr>
          <w:p>
            <w:pPr>
              <w:spacing w:after="0"/>
              <w:rPr>
                <w:sz w:val="17"/>
                <w:szCs w:val="17"/>
                <w:color w:val="auto"/>
              </w:rPr>
            </w:pPr>
          </w:p>
        </w:tc>
        <w:tc>
          <w:tcPr>
            <w:tcW w:w="10800" w:type="dxa"/>
            <w:vAlign w:val="bottom"/>
          </w:tcPr>
          <w:p>
            <w:pPr>
              <w:ind w:left="440"/>
              <w:spacing w:after="0" w:line="202" w:lineRule="exact"/>
              <w:rPr>
                <w:sz w:val="20"/>
                <w:szCs w:val="20"/>
                <w:color w:val="auto"/>
              </w:rPr>
            </w:pPr>
            <w:r>
              <w:rPr>
                <w:rFonts w:ascii="Arial" w:cs="Arial" w:eastAsia="Arial" w:hAnsi="Arial"/>
                <w:sz w:val="18"/>
                <w:szCs w:val="18"/>
                <w:color w:val="auto"/>
              </w:rPr>
              <w:t>General of the Department of Health and Human Services, TRICARE Management Activity, and the United States Office of</w:t>
            </w:r>
          </w:p>
        </w:tc>
      </w:tr>
      <w:tr>
        <w:trPr>
          <w:trHeight w:val="217"/>
        </w:trPr>
        <w:tc>
          <w:tcPr>
            <w:tcW w:w="540" w:type="dxa"/>
            <w:vAlign w:val="bottom"/>
          </w:tcPr>
          <w:p>
            <w:pPr>
              <w:spacing w:after="0"/>
              <w:rPr>
                <w:sz w:val="18"/>
                <w:szCs w:val="18"/>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Personnel Management, and certain individual relators</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10.11</w:t>
            </w:r>
          </w:p>
        </w:tc>
        <w:tc>
          <w:tcPr>
            <w:tcW w:w="10800" w:type="dxa"/>
            <w:vAlign w:val="bottom"/>
          </w:tcPr>
          <w:p>
            <w:pPr>
              <w:ind w:left="440"/>
              <w:spacing w:after="0"/>
              <w:rPr>
                <w:sz w:val="20"/>
                <w:szCs w:val="20"/>
                <w:color w:val="auto"/>
              </w:rPr>
            </w:pPr>
            <w:r>
              <w:rPr>
                <w:rFonts w:ascii="Arial" w:cs="Arial" w:eastAsia="Arial" w:hAnsi="Arial"/>
                <w:sz w:val="18"/>
                <w:szCs w:val="18"/>
                <w:color w:val="auto"/>
              </w:rPr>
              <w:t>Corporate Integrity Agreement between the company and the Office of Inspector General of the Department of Health and Human</w:t>
            </w:r>
          </w:p>
        </w:tc>
      </w:tr>
      <w:tr>
        <w:trPr>
          <w:trHeight w:val="217"/>
        </w:trPr>
        <w:tc>
          <w:tcPr>
            <w:tcW w:w="540" w:type="dxa"/>
            <w:vAlign w:val="bottom"/>
          </w:tcPr>
          <w:p>
            <w:pPr>
              <w:spacing w:after="0"/>
              <w:rPr>
                <w:sz w:val="18"/>
                <w:szCs w:val="18"/>
                <w:color w:val="auto"/>
              </w:rPr>
            </w:pPr>
          </w:p>
        </w:tc>
        <w:tc>
          <w:tcPr>
            <w:tcW w:w="10800" w:type="dxa"/>
            <w:vAlign w:val="bottom"/>
          </w:tcPr>
          <w:p>
            <w:pPr>
              <w:ind w:left="440"/>
              <w:spacing w:after="0"/>
              <w:rPr>
                <w:sz w:val="20"/>
                <w:szCs w:val="20"/>
                <w:color w:val="auto"/>
              </w:rPr>
            </w:pPr>
            <w:r>
              <w:rPr>
                <w:rFonts w:ascii="Arial" w:cs="Arial" w:eastAsia="Arial" w:hAnsi="Arial"/>
                <w:sz w:val="18"/>
                <w:szCs w:val="18"/>
                <w:color w:val="auto"/>
              </w:rPr>
              <w:t>Services</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12</w:t>
            </w:r>
          </w:p>
        </w:tc>
        <w:tc>
          <w:tcPr>
            <w:tcW w:w="10800" w:type="dxa"/>
            <w:vAlign w:val="bottom"/>
          </w:tcPr>
          <w:p>
            <w:pPr>
              <w:ind w:left="4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21</w:t>
            </w:r>
          </w:p>
        </w:tc>
        <w:tc>
          <w:tcPr>
            <w:tcW w:w="10800" w:type="dxa"/>
            <w:vAlign w:val="bottom"/>
          </w:tcPr>
          <w:p>
            <w:pPr>
              <w:ind w:left="440"/>
              <w:spacing w:after="0"/>
              <w:rPr>
                <w:sz w:val="20"/>
                <w:szCs w:val="20"/>
                <w:color w:val="auto"/>
              </w:rPr>
            </w:pPr>
            <w:r>
              <w:rPr>
                <w:rFonts w:ascii="Arial" w:cs="Arial" w:eastAsia="Arial" w:hAnsi="Arial"/>
                <w:sz w:val="18"/>
                <w:szCs w:val="18"/>
                <w:color w:val="auto"/>
              </w:rPr>
              <w:t>List of Subsidiaries</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23</w:t>
            </w:r>
          </w:p>
        </w:tc>
        <w:tc>
          <w:tcPr>
            <w:tcW w:w="10800" w:type="dxa"/>
            <w:vAlign w:val="bottom"/>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31.1</w:t>
            </w:r>
          </w:p>
        </w:tc>
        <w:tc>
          <w:tcPr>
            <w:tcW w:w="10800" w:type="dxa"/>
            <w:vAlign w:val="bottom"/>
          </w:tcPr>
          <w:p>
            <w:pPr>
              <w:ind w:left="440"/>
              <w:spacing w:after="0"/>
              <w:rPr>
                <w:sz w:val="20"/>
                <w:szCs w:val="20"/>
                <w:color w:val="auto"/>
              </w:rPr>
            </w:pPr>
            <w:r>
              <w:rPr>
                <w:rFonts w:ascii="Arial" w:cs="Arial" w:eastAsia="Arial" w:hAnsi="Arial"/>
                <w:sz w:val="18"/>
                <w:szCs w:val="18"/>
                <w:color w:val="auto"/>
              </w:rPr>
              <w:t>Rule 13a-14(a) Certification of John C. Lechleiter, Ph.D., Chairman of the Board, President, and Chief Executive Officer</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31.2</w:t>
            </w:r>
          </w:p>
        </w:tc>
        <w:tc>
          <w:tcPr>
            <w:tcW w:w="10800" w:type="dxa"/>
            <w:vAlign w:val="bottom"/>
          </w:tcPr>
          <w:p>
            <w:pPr>
              <w:ind w:left="440"/>
              <w:spacing w:after="0"/>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32</w:t>
            </w:r>
          </w:p>
        </w:tc>
        <w:tc>
          <w:tcPr>
            <w:tcW w:w="10800" w:type="dxa"/>
            <w:vAlign w:val="bottom"/>
          </w:tcPr>
          <w:p>
            <w:pPr>
              <w:ind w:left="440"/>
              <w:spacing w:after="0"/>
              <w:rPr>
                <w:sz w:val="20"/>
                <w:szCs w:val="20"/>
                <w:color w:val="auto"/>
              </w:rPr>
            </w:pPr>
            <w:r>
              <w:rPr>
                <w:rFonts w:ascii="Arial" w:cs="Arial" w:eastAsia="Arial" w:hAnsi="Arial"/>
                <w:sz w:val="18"/>
                <w:szCs w:val="18"/>
                <w:color w:val="auto"/>
              </w:rPr>
              <w:t>Section 1350 Certification</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101</w:t>
            </w:r>
          </w:p>
        </w:tc>
        <w:tc>
          <w:tcPr>
            <w:tcW w:w="10800" w:type="dxa"/>
            <w:vAlign w:val="bottom"/>
          </w:tcPr>
          <w:p>
            <w:pPr>
              <w:ind w:left="440"/>
              <w:spacing w:after="0"/>
              <w:rPr>
                <w:sz w:val="20"/>
                <w:szCs w:val="20"/>
                <w:color w:val="auto"/>
              </w:rPr>
            </w:pPr>
            <w:r>
              <w:rPr>
                <w:rFonts w:ascii="Arial" w:cs="Arial" w:eastAsia="Arial" w:hAnsi="Arial"/>
                <w:sz w:val="18"/>
                <w:szCs w:val="18"/>
                <w:color w:val="auto"/>
              </w:rPr>
              <w:t>Interactive Data File</w:t>
            </w:r>
          </w:p>
        </w:tc>
      </w:tr>
    </w:tbl>
    <w:p>
      <w:pPr>
        <w:spacing w:after="0" w:line="173"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103</w:t>
      </w:r>
    </w:p>
    <w:p>
      <w:pPr>
        <w:sectPr>
          <w:pgSz w:w="11900" w:h="16838" w:orient="portrait"/>
          <w:cols w:equalWidth="0" w:num="1">
            <w:col w:w="11420"/>
          </w:cols>
          <w:pgMar w:left="240" w:top="792"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CC0000"/>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79" w:lineRule="exact"/>
        <w:rPr>
          <w:sz w:val="20"/>
          <w:szCs w:val="20"/>
          <w:color w:val="auto"/>
        </w:rPr>
      </w:pPr>
    </w:p>
    <w:p>
      <w:pPr>
        <w:ind w:left="40"/>
        <w:spacing w:after="0"/>
        <w:tabs>
          <w:tab w:leader="none" w:pos="560" w:val="left"/>
          <w:tab w:leader="none" w:pos="9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39706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John C. Lechleiter, Ph.D.</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104</w:t>
      </w:r>
    </w:p>
    <w:p>
      <w:pPr>
        <w:sectPr>
          <w:pgSz w:w="11900" w:h="16838" w:orient="portrait"/>
          <w:cols w:equalWidth="0" w:num="1">
            <w:col w:w="11140"/>
          </w:cols>
          <w:pgMar w:left="240" w:top="792" w:right="519" w:bottom="1440" w:gutter="0" w:footer="0" w:header="0"/>
        </w:sectPr>
      </w:pPr>
    </w:p>
    <w:bookmarkStart w:id="104" w:name="page105"/>
    <w:bookmarkEnd w:id="104"/>
    <w:p>
      <w:pPr>
        <w:ind w:right="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19, 2015 by the following persons on behalf of the Registrant and in the capacities indicated.</w:t>
      </w:r>
    </w:p>
    <w:p>
      <w:pPr>
        <w:spacing w:after="0" w:line="130" w:lineRule="exact"/>
        <w:rPr>
          <w:sz w:val="20"/>
          <w:szCs w:val="20"/>
          <w:color w:val="auto"/>
        </w:rPr>
      </w:pPr>
    </w:p>
    <w:p>
      <w:pPr>
        <w:ind w:left="258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1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gridSpan w:val="2"/>
          </w:tcPr>
          <w:p>
            <w:pPr>
              <w:jc w:val="center"/>
              <w:ind w:right="1610"/>
              <w:spacing w:after="0"/>
              <w:rPr>
                <w:sz w:val="20"/>
                <w:szCs w:val="20"/>
                <w:color w:val="auto"/>
              </w:rPr>
            </w:pPr>
            <w:r>
              <w:rPr>
                <w:rFonts w:ascii="Arial" w:cs="Arial" w:eastAsia="Arial" w:hAnsi="Arial"/>
                <w:sz w:val="18"/>
                <w:szCs w:val="18"/>
                <w:color w:val="auto"/>
                <w:w w:val="98"/>
              </w:rPr>
              <w:t>John C. Lechleiter, Ph.D.</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JOHN C. LECHLEITER, Ph.D.</w:t>
            </w:r>
          </w:p>
        </w:tc>
      </w:tr>
      <w:tr>
        <w:trPr>
          <w:trHeight w:val="385"/>
        </w:trPr>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w w:val="98"/>
              </w:rPr>
              <w:t>Derica W. Rice</w:t>
            </w:r>
          </w:p>
        </w:tc>
      </w:tr>
      <w:tr>
        <w:trPr>
          <w:trHeight w:val="243"/>
        </w:trPr>
        <w:tc>
          <w:tcPr>
            <w:tcW w:w="2100" w:type="dxa"/>
            <w:vAlign w:val="bottom"/>
          </w:tcPr>
          <w:p>
            <w:pPr>
              <w:spacing w:after="0"/>
              <w:rPr>
                <w:sz w:val="21"/>
                <w:szCs w:val="21"/>
                <w:color w:val="auto"/>
              </w:rPr>
            </w:pPr>
          </w:p>
        </w:tc>
        <w:tc>
          <w:tcPr>
            <w:tcW w:w="3720" w:type="dxa"/>
            <w:vAlign w:val="bottom"/>
            <w:gridSpan w:val="2"/>
          </w:tcPr>
          <w:p>
            <w:pPr>
              <w:jc w:val="center"/>
              <w:ind w:right="2010"/>
              <w:spacing w:after="0"/>
              <w:rPr>
                <w:sz w:val="20"/>
                <w:szCs w:val="20"/>
                <w:color w:val="auto"/>
              </w:rPr>
            </w:pPr>
            <w:r>
              <w:rPr>
                <w:rFonts w:ascii="Arial" w:cs="Arial" w:eastAsia="Arial" w:hAnsi="Arial"/>
                <w:sz w:val="18"/>
                <w:szCs w:val="18"/>
                <w:color w:val="auto"/>
                <w:w w:val="99"/>
              </w:rPr>
              <w:t>DERICA W. RICE</w:t>
            </w:r>
          </w:p>
        </w:tc>
      </w:tr>
      <w:tr>
        <w:trPr>
          <w:trHeight w:val="385"/>
        </w:trPr>
        <w:tc>
          <w:tcPr>
            <w:tcW w:w="21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4"/>
              </w:rPr>
              <w:t>/s/</w:t>
            </w:r>
          </w:p>
        </w:tc>
        <w:tc>
          <w:tcPr>
            <w:tcW w:w="3720" w:type="dxa"/>
            <w:vAlign w:val="bottom"/>
            <w:tcBorders>
              <w:bottom w:val="single" w:sz="8" w:color="auto"/>
            </w:tcBorders>
            <w:gridSpan w:val="2"/>
          </w:tcPr>
          <w:p>
            <w:pPr>
              <w:jc w:val="center"/>
              <w:ind w:right="1610"/>
              <w:spacing w:after="0"/>
              <w:rPr>
                <w:sz w:val="20"/>
                <w:szCs w:val="20"/>
                <w:color w:val="auto"/>
              </w:rPr>
            </w:pPr>
            <w:r>
              <w:rPr>
                <w:rFonts w:ascii="Arial" w:cs="Arial" w:eastAsia="Arial" w:hAnsi="Arial"/>
                <w:sz w:val="18"/>
                <w:szCs w:val="18"/>
                <w:color w:val="auto"/>
              </w:rPr>
              <w:t>Donald A. Zakrowski</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DONALD A. ZAKROWSKI</w:t>
            </w:r>
          </w:p>
        </w:tc>
      </w:tr>
      <w:tr>
        <w:trPr>
          <w:trHeight w:val="385"/>
        </w:trPr>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950"/>
              <w:spacing w:after="0"/>
              <w:rPr>
                <w:sz w:val="20"/>
                <w:szCs w:val="20"/>
                <w:color w:val="auto"/>
              </w:rPr>
            </w:pPr>
            <w:r>
              <w:rPr>
                <w:rFonts w:ascii="Arial" w:cs="Arial" w:eastAsia="Arial" w:hAnsi="Arial"/>
                <w:sz w:val="18"/>
                <w:szCs w:val="18"/>
                <w:color w:val="auto"/>
                <w:w w:val="99"/>
              </w:rPr>
              <w:t>Ralph Alvarez</w:t>
            </w:r>
          </w:p>
        </w:tc>
      </w:tr>
      <w:tr>
        <w:trPr>
          <w:trHeight w:val="243"/>
        </w:trPr>
        <w:tc>
          <w:tcPr>
            <w:tcW w:w="2100" w:type="dxa"/>
            <w:vAlign w:val="bottom"/>
          </w:tcPr>
          <w:p>
            <w:pPr>
              <w:spacing w:after="0"/>
              <w:rPr>
                <w:sz w:val="21"/>
                <w:szCs w:val="21"/>
                <w:color w:val="auto"/>
              </w:rPr>
            </w:pPr>
          </w:p>
        </w:tc>
        <w:tc>
          <w:tcPr>
            <w:tcW w:w="3720" w:type="dxa"/>
            <w:vAlign w:val="bottom"/>
            <w:gridSpan w:val="2"/>
          </w:tcPr>
          <w:p>
            <w:pPr>
              <w:jc w:val="center"/>
              <w:ind w:right="2010"/>
              <w:spacing w:after="0"/>
              <w:rPr>
                <w:sz w:val="20"/>
                <w:szCs w:val="20"/>
                <w:color w:val="auto"/>
              </w:rPr>
            </w:pPr>
            <w:r>
              <w:rPr>
                <w:rFonts w:ascii="Arial" w:cs="Arial" w:eastAsia="Arial" w:hAnsi="Arial"/>
                <w:sz w:val="18"/>
                <w:szCs w:val="18"/>
                <w:color w:val="auto"/>
                <w:w w:val="99"/>
              </w:rPr>
              <w:t>RALPH ALVAREZ</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Chairman of the Board, President, and Chief Executive Officer, and a Director (principal executive officer)</w:t>
      </w:r>
    </w:p>
    <w:p>
      <w:pPr>
        <w:spacing w:after="0" w:line="22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Executive Vice President, Global Services and Chief Financial Officer (principal financial officer)</w:t>
      </w:r>
    </w:p>
    <w:p>
      <w:pPr>
        <w:spacing w:after="0" w:line="22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41" w:lineRule="exact"/>
        <w:rPr>
          <w:sz w:val="20"/>
          <w:szCs w:val="20"/>
          <w:color w:val="auto"/>
        </w:rPr>
      </w:pPr>
    </w:p>
    <w:p>
      <w:pPr>
        <w:sectPr>
          <w:pgSz w:w="11900" w:h="16838" w:orient="portrait"/>
          <w:cols w:equalWidth="0" w:num="2">
            <w:col w:w="5820" w:space="160"/>
            <w:col w:w="5440"/>
          </w:cols>
          <w:pgMar w:left="240" w:top="652"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1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510"/>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center"/>
              <w:ind w:right="1510"/>
              <w:spacing w:after="0"/>
              <w:rPr>
                <w:sz w:val="20"/>
                <w:szCs w:val="20"/>
                <w:color w:val="auto"/>
              </w:rPr>
            </w:pPr>
            <w:r>
              <w:rPr>
                <w:rFonts w:ascii="Arial" w:cs="Arial" w:eastAsia="Arial" w:hAnsi="Arial"/>
                <w:sz w:val="18"/>
                <w:szCs w:val="18"/>
                <w:color w:val="auto"/>
              </w:rPr>
              <w:t>/s/  Karen N. Horn,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KAREN N. HORN, Ph.D.</w:t>
            </w:r>
          </w:p>
        </w:tc>
        <w:tc>
          <w:tcPr>
            <w:tcW w:w="780" w:type="dxa"/>
            <w:vAlign w:val="bottom"/>
          </w:tcPr>
          <w:p>
            <w:pPr>
              <w:spacing w:after="0"/>
              <w:rPr>
                <w:sz w:val="21"/>
                <w:szCs w:val="21"/>
                <w:color w:val="auto"/>
              </w:rPr>
            </w:pPr>
          </w:p>
        </w:tc>
      </w:tr>
      <w:tr>
        <w:trPr>
          <w:trHeight w:val="399"/>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Ellen R. Marram</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rPr>
              <w:t>ELLEN R. MARRAM</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rPr>
              <w:t>Douglas R. Oberhelman</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42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DOUGLAS R. OBERHELMAN</w:t>
            </w:r>
          </w:p>
        </w:tc>
        <w:tc>
          <w:tcPr>
            <w:tcW w:w="780" w:type="dxa"/>
            <w:vAlign w:val="bottom"/>
          </w:tcPr>
          <w:p>
            <w:pPr>
              <w:spacing w:after="0"/>
              <w:rPr>
                <w:sz w:val="21"/>
                <w:szCs w:val="21"/>
                <w:color w:val="auto"/>
              </w:rPr>
            </w:pPr>
          </w:p>
        </w:tc>
      </w:tr>
      <w:tr>
        <w:trPr>
          <w:trHeight w:val="385"/>
        </w:trPr>
        <w:tc>
          <w:tcPr>
            <w:tcW w:w="16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4220" w:type="dxa"/>
            <w:vAlign w:val="bottom"/>
            <w:tcBorders>
              <w:bottom w:val="single" w:sz="8" w:color="auto"/>
            </w:tcBorders>
            <w:gridSpan w:val="3"/>
          </w:tcPr>
          <w:p>
            <w:pPr>
              <w:jc w:val="center"/>
              <w:ind w:right="1110"/>
              <w:spacing w:after="0"/>
              <w:rPr>
                <w:sz w:val="20"/>
                <w:szCs w:val="20"/>
                <w:color w:val="auto"/>
              </w:rPr>
            </w:pPr>
            <w:r>
              <w:rPr>
                <w:rFonts w:ascii="Arial" w:cs="Arial" w:eastAsia="Arial" w:hAnsi="Arial"/>
                <w:sz w:val="18"/>
                <w:szCs w:val="18"/>
                <w:color w:val="auto"/>
                <w:w w:val="99"/>
              </w:rPr>
              <w:t>Franklyn G. Prendergast,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4"/>
          </w:tcPr>
          <w:p>
            <w:pPr>
              <w:jc w:val="center"/>
              <w:spacing w:after="0"/>
              <w:rPr>
                <w:sz w:val="20"/>
                <w:szCs w:val="20"/>
                <w:color w:val="auto"/>
              </w:rPr>
            </w:pPr>
            <w:r>
              <w:rPr>
                <w:rFonts w:ascii="Arial" w:cs="Arial" w:eastAsia="Arial" w:hAnsi="Arial"/>
                <w:sz w:val="18"/>
                <w:szCs w:val="18"/>
                <w:color w:val="auto"/>
                <w:w w:val="99"/>
              </w:rPr>
              <w:t>FRANKLYN G. PRENDERGAST, M.D., Ph.D.</w:t>
            </w:r>
          </w:p>
        </w:tc>
        <w:tc>
          <w:tcPr>
            <w:tcW w:w="780" w:type="dxa"/>
            <w:vAlign w:val="bottom"/>
          </w:tcPr>
          <w:p>
            <w:pPr>
              <w:spacing w:after="0"/>
              <w:rPr>
                <w:sz w:val="21"/>
                <w:szCs w:val="21"/>
                <w:color w:val="auto"/>
              </w:rPr>
            </w:pPr>
          </w:p>
        </w:tc>
      </w:tr>
      <w:tr>
        <w:trPr>
          <w:trHeight w:val="378"/>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4220" w:type="dxa"/>
            <w:vAlign w:val="bottom"/>
            <w:gridSpan w:val="3"/>
          </w:tcPr>
          <w:p>
            <w:pPr>
              <w:jc w:val="center"/>
              <w:ind w:right="1130"/>
              <w:spacing w:after="0"/>
              <w:rPr>
                <w:sz w:val="20"/>
                <w:szCs w:val="20"/>
                <w:color w:val="auto"/>
              </w:rPr>
            </w:pPr>
            <w:r>
              <w:rPr>
                <w:rFonts w:ascii="Arial" w:cs="Arial" w:eastAsia="Arial" w:hAnsi="Arial"/>
                <w:sz w:val="18"/>
                <w:szCs w:val="18"/>
                <w:color w:val="auto"/>
                <w:w w:val="99"/>
              </w:rPr>
              <w:t>Marschall S. Runge,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5820" w:type="dxa"/>
            <w:vAlign w:val="bottom"/>
            <w:tcBorders>
              <w:bottom w:val="single" w:sz="8" w:color="auto"/>
            </w:tcBorders>
            <w:gridSpan w:val="4"/>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gridSpan w:val="4"/>
          </w:tcPr>
          <w:p>
            <w:pPr>
              <w:jc w:val="center"/>
              <w:spacing w:after="0"/>
              <w:rPr>
                <w:sz w:val="20"/>
                <w:szCs w:val="20"/>
                <w:color w:val="auto"/>
              </w:rPr>
            </w:pPr>
            <w:r>
              <w:rPr>
                <w:rFonts w:ascii="Arial" w:cs="Arial" w:eastAsia="Arial" w:hAnsi="Arial"/>
                <w:sz w:val="18"/>
                <w:szCs w:val="18"/>
                <w:color w:val="auto"/>
              </w:rPr>
              <w:t>MARSCHALL S. RUNGE, M.D., Ph.D.</w:t>
            </w:r>
          </w:p>
        </w:tc>
        <w:tc>
          <w:tcPr>
            <w:tcW w:w="780" w:type="dxa"/>
            <w:vAlign w:val="bottom"/>
          </w:tcPr>
          <w:p>
            <w:pPr>
              <w:spacing w:after="0"/>
              <w:rPr>
                <w:sz w:val="20"/>
                <w:szCs w:val="20"/>
                <w:color w:val="auto"/>
              </w:rPr>
            </w:pPr>
          </w:p>
        </w:tc>
      </w:tr>
      <w:tr>
        <w:trPr>
          <w:trHeight w:val="385"/>
        </w:trPr>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8"/>
              </w:rPr>
              <w:t>Kathi P. Seifert</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7"/>
              </w:rPr>
              <w:t>KATHI P. SEIFERT</w:t>
            </w:r>
          </w:p>
        </w:tc>
        <w:tc>
          <w:tcPr>
            <w:tcW w:w="780" w:type="dxa"/>
            <w:vAlign w:val="bottom"/>
          </w:tcPr>
          <w:p>
            <w:pPr>
              <w:spacing w:after="0"/>
              <w:rPr>
                <w:sz w:val="21"/>
                <w:szCs w:val="21"/>
                <w:color w:val="auto"/>
              </w:rPr>
            </w:pPr>
          </w:p>
        </w:tc>
      </w:tr>
      <w:tr>
        <w:trPr>
          <w:trHeight w:val="378"/>
        </w:trPr>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6"/>
              </w:rPr>
              <w:t>Jackson P. Tai</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8"/>
              </w:rPr>
              <w:t>JACKSON P. TAI</w:t>
            </w:r>
          </w:p>
        </w:tc>
        <w:tc>
          <w:tcPr>
            <w:tcW w:w="780" w:type="dxa"/>
            <w:vAlign w:val="bottom"/>
          </w:tcPr>
          <w:p>
            <w:pPr>
              <w:spacing w:after="0"/>
              <w:rPr>
                <w:sz w:val="20"/>
                <w:szCs w:val="20"/>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105</w:t>
      </w:r>
    </w:p>
    <w:p>
      <w:pPr>
        <w:sectPr>
          <w:pgSz w:w="11900" w:h="16838" w:orient="portrait"/>
          <w:cols w:equalWidth="0" w:num="1">
            <w:col w:w="11420"/>
          </w:cols>
          <w:pgMar w:left="240" w:top="652"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3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Trademarks or service marks owned by Eli Lilly and Company or its subsidiaries or affiliates, when first used in this report, appear with an initial capital and are followed by the symbol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w:t>
      </w:r>
      <w:r>
        <w:rPr>
          <w:rFonts w:ascii="Arial" w:cs="Arial" w:eastAsia="Arial" w:hAnsi="Arial"/>
          <w:sz w:val="18"/>
          <w:szCs w:val="18"/>
          <w:color w:val="auto"/>
        </w:rPr>
        <w:t>, as applicable. In subsequent uses of the marks in the report, the symbols may be omitted.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Amylin Pharmaceuticals,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and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Boehringer Ingelheim GmbH.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Lantus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Sanofi-Aventis Deutschland GmbH.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Sentinel</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Virbac Corporation.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Xigris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Biocritica, Inc.</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106</w:t>
      </w:r>
    </w:p>
    <w:p>
      <w:pPr>
        <w:sectPr>
          <w:pgSz w:w="11900" w:h="16838" w:orient="portrait"/>
          <w:cols w:equalWidth="0" w:num="1">
            <w:col w:w="11380"/>
          </w:cols>
          <w:pgMar w:left="240" w:top="738"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Index to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Exhibit</w:t>
      </w:r>
    </w:p>
    <w:p>
      <w:pPr>
        <w:spacing w:after="0" w:line="189" w:lineRule="exact"/>
        <w:rPr>
          <w:sz w:val="20"/>
          <w:szCs w:val="20"/>
          <w:color w:val="auto"/>
        </w:rPr>
      </w:pPr>
    </w:p>
    <w:p>
      <w:pPr>
        <w:ind w:left="960" w:hanging="917"/>
        <w:spacing w:after="0" w:line="246"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and Asset Purchase Agreement between Novartis AG and Eli Lilly and Company dated as of April 22, 2014</w:t>
      </w:r>
    </w:p>
    <w:p>
      <w:pPr>
        <w:spacing w:after="0" w:line="156" w:lineRule="exact"/>
        <w:rPr>
          <w:sz w:val="20"/>
          <w:szCs w:val="20"/>
          <w:color w:val="auto"/>
        </w:rPr>
      </w:pPr>
    </w:p>
    <w:p>
      <w:pPr>
        <w:ind w:left="960" w:right="40" w:hanging="917"/>
        <w:spacing w:after="0" w:line="239" w:lineRule="auto"/>
        <w:tabs>
          <w:tab w:leader="none" w:pos="9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First Amendment to Stock and Asset Purchase Agreement between Novartis AG and Eli Lilly and Company dated as of December 17, 2014 (confidential treatment requested for certain information in this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8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Incorporated by reference to Exhibit 2 to the Company's Report on Form 10-Q for the quarter ended June 30,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778" w:lineRule="exact"/>
        <w:rPr>
          <w:sz w:val="20"/>
          <w:szCs w:val="20"/>
          <w:color w:val="auto"/>
        </w:rPr>
      </w:pPr>
    </w:p>
    <w:p>
      <w:pPr>
        <w:sectPr>
          <w:pgSz w:w="11900" w:h="16838" w:orient="portrait"/>
          <w:cols w:equalWidth="0" w:num="2">
            <w:col w:w="6100" w:space="440"/>
            <w:col w:w="4880"/>
          </w:cols>
          <w:pgMar w:left="240" w:top="576" w:right="239" w:bottom="1440" w:gutter="0" w:footer="0" w:header="0"/>
        </w:sectPr>
      </w:pPr>
    </w:p>
    <w:tbl>
      <w:tblPr>
        <w:tblLayout w:type="fixed"/>
        <w:tblInd w:w="4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5660" w:type="dxa"/>
            <w:vAlign w:val="bottom"/>
          </w:tcPr>
          <w:p>
            <w:pPr>
              <w:ind w:left="300"/>
              <w:spacing w:after="0"/>
              <w:rPr>
                <w:sz w:val="20"/>
                <w:szCs w:val="20"/>
                <w:color w:val="auto"/>
              </w:rPr>
            </w:pPr>
            <w:r>
              <w:rPr>
                <w:rFonts w:ascii="Arial" w:cs="Arial" w:eastAsia="Arial" w:hAnsi="Arial"/>
                <w:sz w:val="18"/>
                <w:szCs w:val="18"/>
                <w:color w:val="auto"/>
              </w:rPr>
              <w:t>Amended Articles of Incorporation</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5660" w:type="dxa"/>
            <w:vAlign w:val="bottom"/>
          </w:tcPr>
          <w:p>
            <w:pPr>
              <w:ind w:left="300"/>
              <w:spacing w:after="0"/>
              <w:rPr>
                <w:sz w:val="20"/>
                <w:szCs w:val="20"/>
                <w:color w:val="auto"/>
              </w:rPr>
            </w:pPr>
            <w:r>
              <w:rPr>
                <w:rFonts w:ascii="Arial" w:cs="Arial" w:eastAsia="Arial" w:hAnsi="Arial"/>
                <w:sz w:val="18"/>
                <w:szCs w:val="18"/>
                <w:color w:val="auto"/>
              </w:rPr>
              <w:t>By-laws, as amended</w:t>
            </w:r>
          </w:p>
        </w:tc>
      </w:tr>
      <w:tr>
        <w:trPr>
          <w:trHeight w:val="566"/>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5660" w:type="dxa"/>
            <w:vAlign w:val="bottom"/>
          </w:tcPr>
          <w:p>
            <w:pPr>
              <w:ind w:left="300"/>
              <w:spacing w:after="0"/>
              <w:rPr>
                <w:sz w:val="20"/>
                <w:szCs w:val="20"/>
                <w:color w:val="auto"/>
              </w:rPr>
            </w:pPr>
            <w:r>
              <w:rPr>
                <w:rFonts w:ascii="Arial" w:cs="Arial" w:eastAsia="Arial" w:hAnsi="Arial"/>
                <w:sz w:val="18"/>
                <w:szCs w:val="18"/>
                <w:color w:val="auto"/>
              </w:rPr>
              <w:t>Indenture with respect to Debt Securities dated as of February 1,</w:t>
            </w:r>
          </w:p>
        </w:tc>
      </w:tr>
      <w:tr>
        <w:trPr>
          <w:trHeight w:val="203"/>
        </w:trPr>
        <w:tc>
          <w:tcPr>
            <w:tcW w:w="620" w:type="dxa"/>
            <w:vAlign w:val="bottom"/>
          </w:tcPr>
          <w:p>
            <w:pPr>
              <w:spacing w:after="0"/>
              <w:rPr>
                <w:sz w:val="17"/>
                <w:szCs w:val="17"/>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1991, between Eli Lilly and Company and Deutsche Bank Trust</w:t>
            </w:r>
          </w:p>
        </w:tc>
      </w:tr>
      <w:tr>
        <w:trPr>
          <w:trHeight w:val="217"/>
        </w:trPr>
        <w:tc>
          <w:tcPr>
            <w:tcW w:w="620" w:type="dxa"/>
            <w:vAlign w:val="bottom"/>
          </w:tcPr>
          <w:p>
            <w:pPr>
              <w:spacing w:after="0"/>
              <w:rPr>
                <w:sz w:val="18"/>
                <w:szCs w:val="18"/>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w w:val="99"/>
              </w:rPr>
              <w:t>Company Americas, as successor trustee to Citibank, N.A., Trustee</w:t>
            </w:r>
          </w:p>
        </w:tc>
      </w:tr>
      <w:tr>
        <w:trPr>
          <w:trHeight w:val="364"/>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5660" w:type="dxa"/>
            <w:vAlign w:val="bottom"/>
          </w:tcPr>
          <w:p>
            <w:pPr>
              <w:ind w:left="300"/>
              <w:spacing w:after="0"/>
              <w:rPr>
                <w:sz w:val="20"/>
                <w:szCs w:val="20"/>
                <w:color w:val="auto"/>
              </w:rPr>
            </w:pPr>
            <w:r>
              <w:rPr>
                <w:rFonts w:ascii="Arial" w:cs="Arial" w:eastAsia="Arial" w:hAnsi="Arial"/>
                <w:sz w:val="18"/>
                <w:szCs w:val="18"/>
                <w:color w:val="auto"/>
              </w:rPr>
              <w:t>Agreement dated September 13, 2007 appointing Deutsche Bank</w:t>
            </w:r>
          </w:p>
        </w:tc>
      </w:tr>
      <w:tr>
        <w:trPr>
          <w:trHeight w:val="203"/>
        </w:trPr>
        <w:tc>
          <w:tcPr>
            <w:tcW w:w="620" w:type="dxa"/>
            <w:vAlign w:val="bottom"/>
          </w:tcPr>
          <w:p>
            <w:pPr>
              <w:spacing w:after="0"/>
              <w:rPr>
                <w:sz w:val="17"/>
                <w:szCs w:val="17"/>
                <w:color w:val="auto"/>
              </w:rPr>
            </w:pPr>
          </w:p>
        </w:tc>
        <w:tc>
          <w:tcPr>
            <w:tcW w:w="5660" w:type="dxa"/>
            <w:vAlign w:val="bottom"/>
          </w:tcPr>
          <w:p>
            <w:pPr>
              <w:ind w:left="300"/>
              <w:spacing w:after="0" w:line="202" w:lineRule="exact"/>
              <w:rPr>
                <w:sz w:val="20"/>
                <w:szCs w:val="20"/>
                <w:color w:val="auto"/>
              </w:rPr>
            </w:pPr>
            <w:r>
              <w:rPr>
                <w:rFonts w:ascii="Arial" w:cs="Arial" w:eastAsia="Arial" w:hAnsi="Arial"/>
                <w:sz w:val="18"/>
                <w:szCs w:val="18"/>
                <w:color w:val="auto"/>
              </w:rPr>
              <w:t>Trust Company Americas as Successor Trustee under the</w:t>
            </w:r>
          </w:p>
        </w:tc>
      </w:tr>
      <w:tr>
        <w:trPr>
          <w:trHeight w:val="217"/>
        </w:trPr>
        <w:tc>
          <w:tcPr>
            <w:tcW w:w="620" w:type="dxa"/>
            <w:vAlign w:val="bottom"/>
          </w:tcPr>
          <w:p>
            <w:pPr>
              <w:spacing w:after="0"/>
              <w:rPr>
                <w:sz w:val="18"/>
                <w:szCs w:val="18"/>
                <w:color w:val="auto"/>
              </w:rPr>
            </w:pPr>
          </w:p>
        </w:tc>
        <w:tc>
          <w:tcPr>
            <w:tcW w:w="5660" w:type="dxa"/>
            <w:vAlign w:val="bottom"/>
          </w:tcPr>
          <w:p>
            <w:pPr>
              <w:ind w:left="300"/>
              <w:spacing w:after="0"/>
              <w:rPr>
                <w:sz w:val="20"/>
                <w:szCs w:val="20"/>
                <w:color w:val="auto"/>
              </w:rPr>
            </w:pPr>
            <w:r>
              <w:rPr>
                <w:rFonts w:ascii="Arial" w:cs="Arial" w:eastAsia="Arial" w:hAnsi="Arial"/>
                <w:sz w:val="18"/>
                <w:szCs w:val="18"/>
                <w:color w:val="auto"/>
              </w:rPr>
              <w:t>Indenture listed above</w:t>
            </w:r>
          </w:p>
        </w:tc>
      </w:tr>
      <w:tr>
        <w:trPr>
          <w:trHeight w:val="37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5660" w:type="dxa"/>
            <w:vAlign w:val="bottom"/>
          </w:tcPr>
          <w:p>
            <w:pPr>
              <w:ind w:left="300"/>
              <w:spacing w:after="0"/>
              <w:rPr>
                <w:sz w:val="20"/>
                <w:szCs w:val="20"/>
                <w:color w:val="auto"/>
              </w:rPr>
            </w:pPr>
            <w:r>
              <w:rPr>
                <w:rFonts w:ascii="Arial" w:cs="Arial" w:eastAsia="Arial" w:hAnsi="Arial"/>
                <w:sz w:val="18"/>
                <w:szCs w:val="18"/>
                <w:color w:val="auto"/>
              </w:rPr>
              <w:t>2002 Lilly Stock Plan, as amended</w:t>
            </w:r>
          </w:p>
        </w:tc>
      </w:tr>
    </w:tbl>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Incorporated by reference to Exhibit 3.1 to the Company's Report on Form 10-K for the year ended December 31, 2013</w:t>
      </w:r>
    </w:p>
    <w:p>
      <w:pPr>
        <w:spacing w:after="0" w:line="13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Incorporated by reference to Exhibit 99 to the Company’s Report on Form 8-K filed February 27, 2012</w:t>
      </w:r>
    </w:p>
    <w:p>
      <w:pPr>
        <w:spacing w:after="0" w:line="156"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Incorporated by reference to Exhibit 4.1 to the Company’s Registration Statement on Form S-3, Registration No. 333-186979</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to Exhibit 4.2 to the Company’s Report on Form 10-K for the year ended December 31, 2008 (SEC File No. 001-06351, Film No. 09640420)</w:t>
      </w:r>
    </w:p>
    <w:p>
      <w:pPr>
        <w:spacing w:after="0" w:line="16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Incorporated by reference to Exhibit 10 to the Company’s Report on Form 10-Q for the quarter ended September 30, 2012</w:t>
      </w:r>
    </w:p>
    <w:p>
      <w:pPr>
        <w:spacing w:after="0" w:line="162" w:lineRule="exact"/>
        <w:rPr>
          <w:sz w:val="20"/>
          <w:szCs w:val="20"/>
          <w:color w:val="auto"/>
        </w:rPr>
      </w:pPr>
    </w:p>
    <w:p>
      <w:pPr>
        <w:sectPr>
          <w:pgSz w:w="11900" w:h="16838" w:orient="portrait"/>
          <w:cols w:equalWidth="0" w:num="2">
            <w:col w:w="6320" w:space="220"/>
            <w:col w:w="4880"/>
          </w:cols>
          <w:pgMar w:left="240" w:top="576" w:right="239" w:bottom="1440" w:gutter="0" w:footer="0" w:header="0"/>
          <w:type w:val="continuous"/>
        </w:sectPr>
      </w:pPr>
    </w:p>
    <w:tbl>
      <w:tblPr>
        <w:tblLayout w:type="fixed"/>
        <w:tblInd w:w="40" w:type="dxa"/>
        <w:tblCellMar>
          <w:top w:w="0" w:type="dxa"/>
          <w:left w:w="0" w:type="dxa"/>
          <w:bottom w:w="0" w:type="dxa"/>
          <w:right w:w="0" w:type="dxa"/>
        </w:tblCellMar>
      </w:tblPr>
      <w:tr>
        <w:trPr>
          <w:trHeight w:val="21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10.2</w:t>
            </w:r>
          </w:p>
        </w:tc>
        <w:tc>
          <w:tcPr>
            <w:tcW w:w="5780" w:type="dxa"/>
            <w:vAlign w:val="bottom"/>
          </w:tcPr>
          <w:p>
            <w:pPr>
              <w:ind w:left="300"/>
              <w:spacing w:after="0"/>
              <w:rPr>
                <w:sz w:val="20"/>
                <w:szCs w:val="20"/>
                <w:color w:val="auto"/>
              </w:rPr>
            </w:pPr>
            <w:r>
              <w:rPr>
                <w:rFonts w:ascii="Arial" w:cs="Arial" w:eastAsia="Arial" w:hAnsi="Arial"/>
                <w:sz w:val="18"/>
                <w:szCs w:val="18"/>
                <w:color w:val="auto"/>
              </w:rPr>
              <w:t>Form of Performance Award under the 2002 Lilly Stock Plan</w:t>
            </w:r>
          </w:p>
        </w:tc>
        <w:tc>
          <w:tcPr>
            <w:tcW w:w="4980" w:type="dxa"/>
            <w:vAlign w:val="bottom"/>
          </w:tcPr>
          <w:p>
            <w:pPr>
              <w:ind w:left="100"/>
              <w:spacing w:after="0"/>
              <w:rPr>
                <w:sz w:val="20"/>
                <w:szCs w:val="20"/>
                <w:color w:val="auto"/>
              </w:rPr>
            </w:pPr>
            <w:r>
              <w:rPr>
                <w:rFonts w:ascii="Arial" w:cs="Arial" w:eastAsia="Arial" w:hAnsi="Arial"/>
                <w:sz w:val="18"/>
                <w:szCs w:val="18"/>
                <w:color w:val="auto"/>
              </w:rPr>
              <w:t>Attached</w:t>
            </w:r>
          </w:p>
        </w:tc>
      </w:tr>
      <w:tr>
        <w:trPr>
          <w:trHeight w:val="378"/>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10.3</w:t>
            </w:r>
          </w:p>
        </w:tc>
        <w:tc>
          <w:tcPr>
            <w:tcW w:w="5780" w:type="dxa"/>
            <w:vAlign w:val="bottom"/>
          </w:tcPr>
          <w:p>
            <w:pPr>
              <w:ind w:left="300"/>
              <w:spacing w:after="0"/>
              <w:rPr>
                <w:sz w:val="20"/>
                <w:szCs w:val="20"/>
                <w:color w:val="auto"/>
              </w:rPr>
            </w:pPr>
            <w:r>
              <w:rPr>
                <w:rFonts w:ascii="Arial" w:cs="Arial" w:eastAsia="Arial" w:hAnsi="Arial"/>
                <w:sz w:val="18"/>
                <w:szCs w:val="18"/>
                <w:color w:val="auto"/>
              </w:rPr>
              <w:t>Form of Shareholder Value Award under the 2002 Lilly Stock Plan</w:t>
            </w:r>
          </w:p>
        </w:tc>
        <w:tc>
          <w:tcPr>
            <w:tcW w:w="4980" w:type="dxa"/>
            <w:vAlign w:val="bottom"/>
          </w:tcPr>
          <w:p>
            <w:pPr>
              <w:ind w:left="100"/>
              <w:spacing w:after="0"/>
              <w:rPr>
                <w:sz w:val="20"/>
                <w:szCs w:val="20"/>
                <w:color w:val="auto"/>
              </w:rPr>
            </w:pPr>
            <w:r>
              <w:rPr>
                <w:rFonts w:ascii="Arial" w:cs="Arial" w:eastAsia="Arial" w:hAnsi="Arial"/>
                <w:sz w:val="18"/>
                <w:szCs w:val="18"/>
                <w:color w:val="auto"/>
              </w:rPr>
              <w:t>Attached</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10.4</w:t>
            </w:r>
          </w:p>
        </w:tc>
        <w:tc>
          <w:tcPr>
            <w:tcW w:w="5780" w:type="dxa"/>
            <w:vAlign w:val="bottom"/>
          </w:tcPr>
          <w:p>
            <w:pPr>
              <w:ind w:left="300"/>
              <w:spacing w:after="0"/>
              <w:rPr>
                <w:sz w:val="20"/>
                <w:szCs w:val="20"/>
                <w:color w:val="auto"/>
              </w:rPr>
            </w:pPr>
            <w:r>
              <w:rPr>
                <w:rFonts w:ascii="Arial" w:cs="Arial" w:eastAsia="Arial" w:hAnsi="Arial"/>
                <w:sz w:val="18"/>
                <w:szCs w:val="18"/>
                <w:color w:val="auto"/>
              </w:rPr>
              <w:t>The Lilly Deferred Compensation Plan, as amended</w:t>
            </w:r>
          </w:p>
        </w:tc>
        <w:tc>
          <w:tcPr>
            <w:tcW w:w="498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10.5 to the Company's</w:t>
            </w:r>
          </w:p>
        </w:tc>
      </w:tr>
      <w:tr>
        <w:trPr>
          <w:trHeight w:val="217"/>
        </w:trPr>
        <w:tc>
          <w:tcPr>
            <w:tcW w:w="6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10.5</w:t>
            </w:r>
          </w:p>
        </w:tc>
        <w:tc>
          <w:tcPr>
            <w:tcW w:w="5780" w:type="dxa"/>
            <w:vAlign w:val="bottom"/>
          </w:tcPr>
          <w:p>
            <w:pPr>
              <w:ind w:left="300"/>
              <w:spacing w:after="0"/>
              <w:rPr>
                <w:sz w:val="20"/>
                <w:szCs w:val="20"/>
                <w:color w:val="auto"/>
              </w:rPr>
            </w:pPr>
            <w:r>
              <w:rPr>
                <w:rFonts w:ascii="Arial" w:cs="Arial" w:eastAsia="Arial" w:hAnsi="Arial"/>
                <w:sz w:val="18"/>
                <w:szCs w:val="18"/>
                <w:color w:val="auto"/>
              </w:rPr>
              <w:t>The Lilly Directors’ Deferral Plan, as amended</w:t>
            </w:r>
          </w:p>
        </w:tc>
        <w:tc>
          <w:tcPr>
            <w:tcW w:w="498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10.2 to the Company’s</w:t>
            </w:r>
          </w:p>
        </w:tc>
      </w:tr>
      <w:tr>
        <w:trPr>
          <w:trHeight w:val="203"/>
        </w:trPr>
        <w:tc>
          <w:tcPr>
            <w:tcW w:w="6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Report on Form 10-Q for the quarter ended September 30,</w:t>
            </w:r>
          </w:p>
        </w:tc>
      </w:tr>
      <w:tr>
        <w:trPr>
          <w:trHeight w:val="217"/>
        </w:trPr>
        <w:tc>
          <w:tcPr>
            <w:tcW w:w="6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2009 (SEC File No. 001-06351, Film No. 091147352)</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10.6</w:t>
            </w:r>
          </w:p>
        </w:tc>
        <w:tc>
          <w:tcPr>
            <w:tcW w:w="5780" w:type="dxa"/>
            <w:vAlign w:val="bottom"/>
          </w:tcPr>
          <w:p>
            <w:pPr>
              <w:ind w:left="300"/>
              <w:spacing w:after="0"/>
              <w:rPr>
                <w:sz w:val="20"/>
                <w:szCs w:val="20"/>
                <w:color w:val="auto"/>
              </w:rPr>
            </w:pPr>
            <w:r>
              <w:rPr>
                <w:rFonts w:ascii="Arial" w:cs="Arial" w:eastAsia="Arial" w:hAnsi="Arial"/>
                <w:sz w:val="18"/>
                <w:szCs w:val="18"/>
                <w:color w:val="auto"/>
              </w:rPr>
              <w:t>The Eli Lilly and Company Bonus Plan, as amended</w:t>
            </w:r>
          </w:p>
        </w:tc>
        <w:tc>
          <w:tcPr>
            <w:tcW w:w="498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10.7 to the Company's</w:t>
            </w:r>
          </w:p>
        </w:tc>
      </w:tr>
      <w:tr>
        <w:trPr>
          <w:trHeight w:val="217"/>
        </w:trPr>
        <w:tc>
          <w:tcPr>
            <w:tcW w:w="6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10.7</w:t>
            </w:r>
          </w:p>
        </w:tc>
        <w:tc>
          <w:tcPr>
            <w:tcW w:w="5780" w:type="dxa"/>
            <w:vAlign w:val="bottom"/>
          </w:tcPr>
          <w:p>
            <w:pPr>
              <w:ind w:left="300"/>
              <w:spacing w:after="0"/>
              <w:rPr>
                <w:sz w:val="20"/>
                <w:szCs w:val="20"/>
                <w:color w:val="auto"/>
              </w:rPr>
            </w:pPr>
            <w:r>
              <w:rPr>
                <w:rFonts w:ascii="Arial" w:cs="Arial" w:eastAsia="Arial" w:hAnsi="Arial"/>
                <w:sz w:val="18"/>
                <w:szCs w:val="18"/>
                <w:color w:val="auto"/>
              </w:rPr>
              <w:t>The Eli Lilly and Company Executive Officer Incentive Plan</w:t>
            </w:r>
          </w:p>
        </w:tc>
        <w:tc>
          <w:tcPr>
            <w:tcW w:w="4980" w:type="dxa"/>
            <w:vAlign w:val="bottom"/>
          </w:tcPr>
          <w:p>
            <w:pPr>
              <w:ind w:left="100"/>
              <w:spacing w:after="0"/>
              <w:rPr>
                <w:sz w:val="20"/>
                <w:szCs w:val="20"/>
                <w:color w:val="auto"/>
              </w:rPr>
            </w:pPr>
            <w:r>
              <w:rPr>
                <w:rFonts w:ascii="Arial" w:cs="Arial" w:eastAsia="Arial" w:hAnsi="Arial"/>
                <w:sz w:val="18"/>
                <w:szCs w:val="18"/>
                <w:color w:val="auto"/>
              </w:rPr>
              <w:t>Incorporated by reference to Appendix B to the Company’s</w:t>
            </w:r>
          </w:p>
        </w:tc>
      </w:tr>
      <w:tr>
        <w:trPr>
          <w:trHeight w:val="217"/>
        </w:trPr>
        <w:tc>
          <w:tcPr>
            <w:tcW w:w="6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proxy statement on Schedule 14A filed March 7, 2011</w:t>
            </w:r>
          </w:p>
        </w:tc>
      </w:tr>
      <w:tr>
        <w:trPr>
          <w:trHeight w:val="364"/>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10.8</w:t>
            </w:r>
          </w:p>
        </w:tc>
        <w:tc>
          <w:tcPr>
            <w:tcW w:w="5780" w:type="dxa"/>
            <w:vAlign w:val="bottom"/>
          </w:tcPr>
          <w:p>
            <w:pPr>
              <w:ind w:left="300"/>
              <w:spacing w:after="0"/>
              <w:rPr>
                <w:sz w:val="20"/>
                <w:szCs w:val="20"/>
                <w:color w:val="auto"/>
              </w:rPr>
            </w:pPr>
            <w:r>
              <w:rPr>
                <w:rFonts w:ascii="Arial" w:cs="Arial" w:eastAsia="Arial" w:hAnsi="Arial"/>
                <w:sz w:val="18"/>
                <w:szCs w:val="18"/>
                <w:color w:val="auto"/>
              </w:rPr>
              <w:t>2007 Change in Control Severance Pay Plan for Select Employees,</w:t>
            </w:r>
          </w:p>
        </w:tc>
        <w:tc>
          <w:tcPr>
            <w:tcW w:w="4980" w:type="dxa"/>
            <w:vAlign w:val="bottom"/>
          </w:tcPr>
          <w:p>
            <w:pPr>
              <w:ind w:left="100"/>
              <w:spacing w:after="0"/>
              <w:rPr>
                <w:sz w:val="20"/>
                <w:szCs w:val="20"/>
                <w:color w:val="auto"/>
              </w:rPr>
            </w:pPr>
            <w:r>
              <w:rPr>
                <w:rFonts w:ascii="Arial" w:cs="Arial" w:eastAsia="Arial" w:hAnsi="Arial"/>
                <w:sz w:val="18"/>
                <w:szCs w:val="18"/>
                <w:color w:val="auto"/>
              </w:rPr>
              <w:t>Incorporated by reference to Exhibit 10 to the Company’s</w:t>
            </w:r>
          </w:p>
        </w:tc>
      </w:tr>
      <w:tr>
        <w:trPr>
          <w:trHeight w:val="203"/>
        </w:trPr>
        <w:tc>
          <w:tcPr>
            <w:tcW w:w="620" w:type="dxa"/>
            <w:vAlign w:val="bottom"/>
          </w:tcPr>
          <w:p>
            <w:pPr>
              <w:spacing w:after="0"/>
              <w:rPr>
                <w:sz w:val="17"/>
                <w:szCs w:val="17"/>
                <w:color w:val="auto"/>
              </w:rPr>
            </w:pPr>
          </w:p>
        </w:tc>
        <w:tc>
          <w:tcPr>
            <w:tcW w:w="5780" w:type="dxa"/>
            <w:vAlign w:val="bottom"/>
          </w:tcPr>
          <w:p>
            <w:pPr>
              <w:ind w:left="300"/>
              <w:spacing w:after="0" w:line="202" w:lineRule="exact"/>
              <w:rPr>
                <w:sz w:val="20"/>
                <w:szCs w:val="20"/>
                <w:color w:val="auto"/>
              </w:rPr>
            </w:pPr>
            <w:r>
              <w:rPr>
                <w:rFonts w:ascii="Arial" w:cs="Arial" w:eastAsia="Arial" w:hAnsi="Arial"/>
                <w:sz w:val="18"/>
                <w:szCs w:val="18"/>
                <w:color w:val="auto"/>
              </w:rPr>
              <w:t>as amended</w:t>
            </w:r>
          </w:p>
        </w:tc>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Report on Form 10-Q for the quarter ended September 30,</w:t>
            </w:r>
          </w:p>
        </w:tc>
      </w:tr>
      <w:tr>
        <w:trPr>
          <w:trHeight w:val="217"/>
        </w:trPr>
        <w:tc>
          <w:tcPr>
            <w:tcW w:w="6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2010</w:t>
            </w:r>
          </w:p>
        </w:tc>
      </w:tr>
      <w:tr>
        <w:trPr>
          <w:trHeight w:val="594"/>
        </w:trPr>
        <w:tc>
          <w:tcPr>
            <w:tcW w:w="6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980" w:type="dxa"/>
            <w:vAlign w:val="bottom"/>
          </w:tcPr>
          <w:p>
            <w:pPr>
              <w:ind w:left="4720"/>
              <w:spacing w:after="0"/>
              <w:rPr>
                <w:sz w:val="20"/>
                <w:szCs w:val="20"/>
                <w:color w:val="auto"/>
              </w:rPr>
            </w:pPr>
            <w:r>
              <w:rPr>
                <w:rFonts w:ascii="Arial" w:cs="Arial" w:eastAsia="Arial" w:hAnsi="Arial"/>
                <w:sz w:val="18"/>
                <w:szCs w:val="18"/>
                <w:b w:val="1"/>
                <w:bCs w:val="1"/>
                <w:i w:val="1"/>
                <w:iCs w:val="1"/>
                <w:color w:val="auto"/>
                <w:w w:val="79"/>
              </w:rPr>
              <w:t>107</w:t>
            </w:r>
          </w:p>
        </w:tc>
      </w:tr>
    </w:tbl>
    <w:p>
      <w:pPr>
        <w:sectPr>
          <w:pgSz w:w="11900" w:h="16838" w:orient="portrait"/>
          <w:cols w:equalWidth="0" w:num="1">
            <w:col w:w="11420"/>
          </w:cols>
          <w:pgMar w:left="240" w:top="576" w:right="239" w:bottom="1440" w:gutter="0" w:footer="0" w:header="0"/>
          <w:type w:val="continuous"/>
        </w:sectPr>
      </w:pPr>
    </w:p>
    <w:bookmarkStart w:id="107" w:name="page108"/>
    <w:bookmarkEnd w:id="10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540" w:type="dxa"/>
            <w:vAlign w:val="bottom"/>
          </w:tcPr>
          <w:p>
            <w:pPr>
              <w:spacing w:after="0"/>
              <w:rPr>
                <w:sz w:val="14"/>
                <w:szCs w:val="14"/>
                <w:color w:val="auto"/>
              </w:rPr>
            </w:pPr>
          </w:p>
        </w:tc>
      </w:tr>
      <w:tr>
        <w:trPr>
          <w:trHeight w:val="371"/>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Guilty Plea Agreement in The United States District Court for the</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Eastern District of Pennsylvania, United States of America v. Eli</w:t>
            </w:r>
          </w:p>
        </w:tc>
      </w:tr>
      <w:tr>
        <w:trPr>
          <w:trHeight w:val="217"/>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Lilly and Company</w:t>
            </w:r>
          </w:p>
        </w:tc>
      </w:tr>
      <w:tr>
        <w:trPr>
          <w:trHeight w:val="242"/>
        </w:trPr>
        <w:tc>
          <w:tcPr>
            <w:tcW w:w="48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1"/>
                <w:szCs w:val="21"/>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Settlement Agreement among the company and the United States</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of America, acting through the U. S. Department of Justice, Civil</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Division, and the U. S. Attorney’s Office of the Eastern District of</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Pennsylvania, the Office of the Inspector General of the</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Department of Health and Human Services, TRICARE</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Management Activity, and the U. S. Office of Personnel</w:t>
            </w:r>
          </w:p>
        </w:tc>
      </w:tr>
      <w:tr>
        <w:trPr>
          <w:trHeight w:val="217"/>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Management, and certain individual relators</w:t>
            </w:r>
          </w:p>
        </w:tc>
      </w:tr>
      <w:tr>
        <w:trPr>
          <w:trHeight w:val="364"/>
        </w:trPr>
        <w:tc>
          <w:tcPr>
            <w:tcW w:w="48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Corporate Integrity Agreement between the company and the</w:t>
            </w:r>
          </w:p>
        </w:tc>
      </w:tr>
      <w:tr>
        <w:trPr>
          <w:trHeight w:val="203"/>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Office of Inspector General of the Department of Health and</w:t>
            </w:r>
          </w:p>
        </w:tc>
      </w:tr>
      <w:tr>
        <w:trPr>
          <w:trHeight w:val="217"/>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Human Services</w:t>
            </w:r>
          </w:p>
        </w:tc>
      </w:tr>
      <w:tr>
        <w:trPr>
          <w:trHeight w:val="378"/>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78"/>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List of Subsidiaries</w:t>
            </w:r>
          </w:p>
        </w:tc>
      </w:tr>
      <w:tr>
        <w:trPr>
          <w:trHeight w:val="378"/>
        </w:trPr>
        <w:tc>
          <w:tcPr>
            <w:tcW w:w="48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Consent of Registered Independent Public Accounting Firm</w:t>
            </w:r>
          </w:p>
        </w:tc>
      </w:tr>
      <w:tr>
        <w:trPr>
          <w:trHeight w:val="364"/>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w w:val="99"/>
              </w:rPr>
              <w:t>Rule 13a-14(a) Certification of John C. Lechleiter, Ph.D., Chairman</w:t>
            </w:r>
          </w:p>
        </w:tc>
      </w:tr>
      <w:tr>
        <w:trPr>
          <w:trHeight w:val="217"/>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of the Board, President, and Chief Executive Officer</w:t>
            </w:r>
          </w:p>
        </w:tc>
      </w:tr>
      <w:tr>
        <w:trPr>
          <w:trHeight w:val="364"/>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Rule 13a-14(a) Certification of Derica W. Rice, Executive Vice</w:t>
            </w:r>
          </w:p>
        </w:tc>
      </w:tr>
      <w:tr>
        <w:trPr>
          <w:trHeight w:val="217"/>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President, Global Services and Chief Financial Officer</w:t>
            </w:r>
          </w:p>
        </w:tc>
      </w:tr>
    </w:tbl>
    <w:p>
      <w:pPr>
        <w:spacing w:after="0" w:line="161" w:lineRule="exact"/>
        <w:rPr>
          <w:sz w:val="20"/>
          <w:szCs w:val="20"/>
          <w:color w:val="auto"/>
        </w:rPr>
      </w:pPr>
    </w:p>
    <w:p>
      <w:pPr>
        <w:ind w:left="960" w:hanging="925"/>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1350 Certification</w:t>
      </w:r>
    </w:p>
    <w:p>
      <w:pPr>
        <w:spacing w:after="0" w:line="171" w:lineRule="exact"/>
        <w:rPr>
          <w:rFonts w:ascii="Arial" w:cs="Arial" w:eastAsia="Arial" w:hAnsi="Arial"/>
          <w:sz w:val="18"/>
          <w:szCs w:val="18"/>
          <w:color w:val="auto"/>
        </w:rPr>
      </w:pPr>
    </w:p>
    <w:p>
      <w:pPr>
        <w:ind w:left="960" w:hanging="925"/>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Incorporated by reference to Exhibit 10.15 to the Company’s Report on Form 10-K for the year ended December 31, 2008 (SEC File No. 001-06351, Film No. 09640420)</w:t>
      </w:r>
    </w:p>
    <w:p>
      <w:pPr>
        <w:spacing w:after="0" w:line="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Incorporated by reference to Exhibit 10.16 to the Company’s Report on Form 10-K for the year ended December 31, 2008 (SEC File No. 001-06351, Film No. 09640420)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Incorporated by reference to Exhibit 10.17 to the Company’s Report on Form 10-K for the year ended December 31, 2008 (SEC File No. 001-06351, Film No. 09640420)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ectPr>
          <w:pgSz w:w="11900" w:h="16838" w:orient="portrait"/>
          <w:cols w:equalWidth="0" w:num="2">
            <w:col w:w="6280" w:space="260"/>
            <w:col w:w="4820"/>
          </w:cols>
          <w:pgMar w:left="240" w:top="748" w:right="29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FIRST AMENDMENT</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AND ASSET PURCHASE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This First Amendment to the Stock and Asset Purchase Agreement (this </w:t>
      </w:r>
      <w:r>
        <w:rPr>
          <w:rFonts w:ascii="Arial" w:cs="Arial" w:eastAsia="Arial" w:hAnsi="Arial"/>
          <w:sz w:val="22"/>
          <w:szCs w:val="22"/>
          <w:b w:val="1"/>
          <w:bCs w:val="1"/>
          <w:i w:val="1"/>
          <w:iCs w:val="1"/>
          <w:color w:val="auto"/>
        </w:rPr>
        <w:t>Amendment Agreement</w:t>
      </w:r>
      <w:r>
        <w:rPr>
          <w:rFonts w:ascii="Arial" w:cs="Arial" w:eastAsia="Arial" w:hAnsi="Arial"/>
          <w:sz w:val="22"/>
          <w:szCs w:val="22"/>
          <w:color w:val="auto"/>
        </w:rPr>
        <w:t xml:space="preserve">) dated as of December 17, 2014, is entered into by and between Novartis AG, a company incorporated under the laws of Switzerland (the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xml:space="preserve">), and Eli Lilly and Company, a corporation organized under the laws of Indiana (the </w:t>
      </w:r>
      <w:r>
        <w:rPr>
          <w:rFonts w:ascii="Arial" w:cs="Arial" w:eastAsia="Arial" w:hAnsi="Arial"/>
          <w:sz w:val="22"/>
          <w:szCs w:val="22"/>
          <w:b w:val="1"/>
          <w:bCs w:val="1"/>
          <w:i w:val="1"/>
          <w:iCs w:val="1"/>
          <w:color w:val="auto"/>
        </w:rPr>
        <w:t>Purchaser</w:t>
      </w:r>
      <w:r>
        <w:rPr>
          <w:rFonts w:ascii="Arial" w:cs="Arial" w:eastAsia="Arial" w:hAnsi="Arial"/>
          <w:sz w:val="22"/>
          <w:szCs w:val="22"/>
          <w:color w:val="auto"/>
        </w:rPr>
        <w:t xml:space="preserve">, each of the Purchaser and the Seller is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xml:space="preserve"> and together are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that certain Stock and Asset Purchase Agreement, dated as of April 22, 2014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SAPA</w:t>
      </w:r>
      <w:r>
        <w:rPr>
          <w:rFonts w:ascii="Arial" w:cs="Arial" w:eastAsia="Arial" w:hAnsi="Arial"/>
          <w:sz w:val="22"/>
          <w:szCs w:val="22"/>
          <w:color w:val="auto"/>
        </w:rPr>
        <w:t>);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Seller has delivered the Initial Closing Statement to the Purchaser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2.03(b)</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SAPA</w:t>
      </w:r>
      <w:r>
        <w:rPr>
          <w:rFonts w:ascii="Arial" w:cs="Arial" w:eastAsia="Arial" w:hAnsi="Arial"/>
          <w:sz w:val="22"/>
          <w:szCs w:val="22"/>
          <w:b w:val="1"/>
          <w:bCs w:val="1"/>
          <w:color w:val="auto"/>
        </w:rPr>
        <w:t xml:space="preserve"> </w:t>
      </w:r>
      <w:r>
        <w:rPr>
          <w:rFonts w:ascii="Arial" w:cs="Arial" w:eastAsia="Arial" w:hAnsi="Arial"/>
          <w:sz w:val="22"/>
          <w:szCs w:val="22"/>
          <w:color w:val="auto"/>
        </w:rPr>
        <w:t>on or prior to the date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SAPA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11.02</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as set forth herein.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exchange for good and valuable consideration, the receipt and sufficiency of which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and intending to be legally bound hereby, the Parties agree as follows:</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Definitions; References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Unless otherwise specifically defined herein, each capitalized term used herein shall have the meaning assigned to such term in the SAPA. Each reference to “hereof,” “herein,” “hereunder,” “hereby” and “this Agreement” shall, from and after the date hereof, refer to the SAPA as amended by this Amendment Agreement. Notwithstanding the foregoing, references to the date of the SAPA, as amended hereby, shall in all instances continue to refer to April 22, 2014, references to “the date hereof” and “the date of this Agreement” shall continue to refer to April 22, 2014 and references to the date of the Amendment Agreement and “as of the date of the Amendment Agreement” shall refer to December 17, 2014.</w:t>
      </w:r>
    </w:p>
    <w:p>
      <w:pPr>
        <w:spacing w:after="0" w:line="17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 TO STOCK AND ASSET PURCHASE AGREEMENT</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color w:val="auto"/>
        </w:rPr>
        <w:t>Closing Date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Notwithstanding anything to the contrary in the SAPA and subject to the provisos below, if the conditions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SAPA (other than those conditions that by their nature are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126" w:right="239" w:bottom="1440" w:gutter="0" w:footer="0" w:header="0"/>
        </w:sectPr>
      </w:pPr>
    </w:p>
    <w:bookmarkStart w:id="109" w:name="page110"/>
    <w:bookmarkEnd w:id="109"/>
    <w:p>
      <w:pPr>
        <w:jc w:val="both"/>
        <w:spacing w:after="0" w:line="250" w:lineRule="auto"/>
        <w:rPr>
          <w:sz w:val="20"/>
          <w:szCs w:val="20"/>
          <w:color w:val="auto"/>
        </w:rPr>
      </w:pPr>
      <w:r>
        <w:rPr>
          <w:rFonts w:ascii="Arial" w:cs="Arial" w:eastAsia="Arial" w:hAnsi="Arial"/>
          <w:sz w:val="22"/>
          <w:szCs w:val="22"/>
          <w:color w:val="auto"/>
        </w:rPr>
        <w:t xml:space="preserve">to be satisfied at Closing, but subject to the fulfillment or waiver of those conditions at Closing) are satisfied on or prior to 5:00 PM in New York City, New York, on December 19, 2014 (the </w:t>
      </w:r>
      <w:r>
        <w:rPr>
          <w:rFonts w:ascii="Arial" w:cs="Arial" w:eastAsia="Arial" w:hAnsi="Arial"/>
          <w:sz w:val="22"/>
          <w:szCs w:val="22"/>
          <w:b w:val="1"/>
          <w:bCs w:val="1"/>
          <w:i w:val="1"/>
          <w:iCs w:val="1"/>
          <w:color w:val="auto"/>
        </w:rPr>
        <w:t>January 1 Closing Event</w:t>
      </w:r>
      <w:r>
        <w:rPr>
          <w:rFonts w:ascii="Arial" w:cs="Arial" w:eastAsia="Arial" w:hAnsi="Arial"/>
          <w:sz w:val="22"/>
          <w:szCs w:val="22"/>
          <w:color w:val="auto"/>
        </w:rPr>
        <w:t xml:space="preserve">), the Closing shall take place at 12:01 AM Eastern Standard Time in New York City, New York, on January 1, 2015 at the offices of Freshfields Bruckhaus Deringer US LLP, 601 Lexington Avenue, 31st Floor, New York, NY 10022; </w:t>
      </w:r>
      <w:r>
        <w:rPr>
          <w:rFonts w:ascii="Arial" w:cs="Arial" w:eastAsia="Arial" w:hAnsi="Arial"/>
          <w:sz w:val="22"/>
          <w:szCs w:val="22"/>
          <w:b w:val="1"/>
          <w:bCs w:val="1"/>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both"/>
        <w:ind w:left="660" w:hanging="4"/>
        <w:spacing w:after="0" w:line="253" w:lineRule="auto"/>
        <w:tabs>
          <w:tab w:leader="none" w:pos="1108"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condition precedent set forth in </w:t>
      </w:r>
      <w:r>
        <w:rPr>
          <w:rFonts w:ascii="Arial" w:cs="Arial" w:eastAsia="Arial" w:hAnsi="Arial"/>
          <w:sz w:val="22"/>
          <w:szCs w:val="22"/>
          <w:u w:val="single" w:color="auto"/>
          <w:color w:val="auto"/>
        </w:rPr>
        <w:t>Section 8.01(a)(i)</w:t>
      </w:r>
      <w:r>
        <w:rPr>
          <w:rFonts w:ascii="Arial" w:cs="Arial" w:eastAsia="Arial" w:hAnsi="Arial"/>
          <w:sz w:val="22"/>
          <w:szCs w:val="22"/>
          <w:color w:val="auto"/>
        </w:rPr>
        <w:t xml:space="preserve"> of the SAPA required to be satisfied as of the Closing Date shall instead be deemed satisfied, if satisfied, as of 5:00 PM, New York time, December 31, 2014 (and not on the Closing Date) as if made at and as of such time;</w:t>
      </w:r>
    </w:p>
    <w:p>
      <w:pPr>
        <w:spacing w:after="0" w:line="185" w:lineRule="exact"/>
        <w:rPr>
          <w:rFonts w:ascii="Arial" w:cs="Arial" w:eastAsia="Arial" w:hAnsi="Arial"/>
          <w:sz w:val="22"/>
          <w:szCs w:val="22"/>
          <w:color w:val="auto"/>
        </w:rPr>
      </w:pPr>
    </w:p>
    <w:p>
      <w:pPr>
        <w:jc w:val="both"/>
        <w:ind w:left="660" w:hanging="4"/>
        <w:spacing w:after="0" w:line="253" w:lineRule="auto"/>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certificate required to be delivered by the Seller pursuant to </w:t>
      </w:r>
      <w:r>
        <w:rPr>
          <w:rFonts w:ascii="Arial" w:cs="Arial" w:eastAsia="Arial" w:hAnsi="Arial"/>
          <w:sz w:val="22"/>
          <w:szCs w:val="22"/>
          <w:u w:val="single" w:color="auto"/>
          <w:color w:val="auto"/>
        </w:rPr>
        <w:t>Section 8.01(a)(iii)</w:t>
      </w:r>
      <w:r>
        <w:rPr>
          <w:rFonts w:ascii="Arial" w:cs="Arial" w:eastAsia="Arial" w:hAnsi="Arial"/>
          <w:sz w:val="22"/>
          <w:szCs w:val="22"/>
          <w:color w:val="auto"/>
        </w:rPr>
        <w:t xml:space="preserve"> of the SAPA certifying the matters set forth in </w:t>
      </w:r>
      <w:r>
        <w:rPr>
          <w:rFonts w:ascii="Arial" w:cs="Arial" w:eastAsia="Arial" w:hAnsi="Arial"/>
          <w:sz w:val="22"/>
          <w:szCs w:val="22"/>
          <w:u w:val="single" w:color="auto"/>
          <w:color w:val="auto"/>
        </w:rPr>
        <w:t>Section 8.01(a)(i)</w:t>
      </w:r>
      <w:r>
        <w:rPr>
          <w:rFonts w:ascii="Arial" w:cs="Arial" w:eastAsia="Arial" w:hAnsi="Arial"/>
          <w:sz w:val="22"/>
          <w:szCs w:val="22"/>
          <w:color w:val="auto"/>
        </w:rPr>
        <w:t xml:space="preserve"> of the SAPA shall certify such matters as of 5:00 PM, New York time, December 31, 2014 (and not on the Closing Date); and</w:t>
      </w:r>
    </w:p>
    <w:p>
      <w:pPr>
        <w:spacing w:after="0" w:line="185" w:lineRule="exact"/>
        <w:rPr>
          <w:rFonts w:ascii="Arial" w:cs="Arial" w:eastAsia="Arial" w:hAnsi="Arial"/>
          <w:sz w:val="22"/>
          <w:szCs w:val="22"/>
          <w:color w:val="auto"/>
        </w:rPr>
      </w:pPr>
    </w:p>
    <w:p>
      <w:pPr>
        <w:ind w:left="660" w:right="20" w:hanging="4"/>
        <w:spacing w:after="0" w:line="263" w:lineRule="auto"/>
        <w:tabs>
          <w:tab w:leader="none" w:pos="10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condition set forth in </w:t>
      </w:r>
      <w:r>
        <w:rPr>
          <w:rFonts w:ascii="Arial" w:cs="Arial" w:eastAsia="Arial" w:hAnsi="Arial"/>
          <w:sz w:val="22"/>
          <w:szCs w:val="22"/>
          <w:u w:val="single" w:color="auto"/>
          <w:color w:val="auto"/>
        </w:rPr>
        <w:t>Section 8.01(d)</w:t>
      </w:r>
      <w:r>
        <w:rPr>
          <w:rFonts w:ascii="Arial" w:cs="Arial" w:eastAsia="Arial" w:hAnsi="Arial"/>
          <w:sz w:val="22"/>
          <w:szCs w:val="22"/>
          <w:color w:val="auto"/>
        </w:rPr>
        <w:t xml:space="preserve"> of the SAPA shall be deemed satisfied, if satisfied, as of 5:00 PM, New York time, December 31, 2014 (and not on the Closing Date).</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Amendment to Section 2.05 of the SAPA</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If the January 1 Closing Event occurs, Section 2.05 of the SAPA shall be deleted and replaced in its entirety by the following provisions. For the avoidance of doubt, notwithstanding the foregoing sentence, if the January 1 Closing Event, and/or the Closing on January 1, 2015, does not occur, Section 2.05 of the SAPA, as amended by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of this Amendment Agreement, shall remain in full force and effect and the Parties shall consummate the Closing in accordance therewith.</w:t>
      </w:r>
    </w:p>
    <w:p>
      <w:pPr>
        <w:spacing w:after="0" w:line="13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“2.05</w:t>
      </w:r>
      <w:r>
        <w:rPr>
          <w:sz w:val="20"/>
          <w:szCs w:val="20"/>
          <w:color w:val="auto"/>
        </w:rPr>
        <w:tab/>
      </w:r>
      <w:r>
        <w:rPr>
          <w:rFonts w:ascii="Arial" w:cs="Arial" w:eastAsia="Arial" w:hAnsi="Arial"/>
          <w:sz w:val="19"/>
          <w:szCs w:val="19"/>
          <w:b w:val="1"/>
          <w:bCs w:val="1"/>
          <w:color w:val="auto"/>
        </w:rPr>
        <w:t>Transactions to be Effected Prior to and at Closing</w:t>
      </w:r>
    </w:p>
    <w:p>
      <w:pPr>
        <w:spacing w:after="0" w:line="226" w:lineRule="exact"/>
        <w:rPr>
          <w:sz w:val="20"/>
          <w:szCs w:val="20"/>
          <w:color w:val="auto"/>
        </w:rPr>
      </w:pPr>
    </w:p>
    <w:p>
      <w:pPr>
        <w:jc w:val="both"/>
        <w:ind w:left="660" w:hanging="4"/>
        <w:spacing w:after="0" w:line="263" w:lineRule="auto"/>
        <w:tabs>
          <w:tab w:leader="none" w:pos="1124"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Seller and the Purchaser shall, or shall cause their designated Affiliates to, use reasonable best efforts to enter into on or prior to December 19, 2014 (but in no event later than December 29, 2014) (i) an escrow agreement with UBS AG (the </w:t>
      </w:r>
      <w:r>
        <w:rPr>
          <w:rFonts w:ascii="Arial" w:cs="Arial" w:eastAsia="Arial" w:hAnsi="Arial"/>
          <w:sz w:val="21"/>
          <w:szCs w:val="21"/>
          <w:b w:val="1"/>
          <w:bCs w:val="1"/>
          <w:i w:val="1"/>
          <w:iCs w:val="1"/>
          <w:color w:val="auto"/>
        </w:rPr>
        <w:t>UBS Escrow Agent</w:t>
      </w:r>
      <w:r>
        <w:rPr>
          <w:rFonts w:ascii="Arial" w:cs="Arial" w:eastAsia="Arial" w:hAnsi="Arial"/>
          <w:sz w:val="21"/>
          <w:szCs w:val="21"/>
          <w:color w:val="auto"/>
        </w:rPr>
        <w:t xml:space="preserve">), substantially in the form attached hereto as </w:t>
      </w:r>
      <w:r>
        <w:rPr>
          <w:rFonts w:ascii="Arial" w:cs="Arial" w:eastAsia="Arial" w:hAnsi="Arial"/>
          <w:sz w:val="21"/>
          <w:szCs w:val="21"/>
          <w:u w:val="single" w:color="auto"/>
          <w:color w:val="auto"/>
        </w:rPr>
        <w:t>Annex 2.05A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UBS Escrow Agreement</w:t>
      </w:r>
      <w:r>
        <w:rPr>
          <w:rFonts w:ascii="Arial" w:cs="Arial" w:eastAsia="Arial" w:hAnsi="Arial"/>
          <w:sz w:val="21"/>
          <w:szCs w:val="21"/>
          <w:color w:val="auto"/>
        </w:rPr>
        <w:t xml:space="preserve">) and (ii) an escrow agreement with Credit Suisse (the </w:t>
      </w:r>
      <w:r>
        <w:rPr>
          <w:rFonts w:ascii="Arial" w:cs="Arial" w:eastAsia="Arial" w:hAnsi="Arial"/>
          <w:sz w:val="21"/>
          <w:szCs w:val="21"/>
          <w:b w:val="1"/>
          <w:bCs w:val="1"/>
          <w:i w:val="1"/>
          <w:iCs w:val="1"/>
          <w:color w:val="auto"/>
        </w:rPr>
        <w:t>Credit Suisse Escrow Agent</w:t>
      </w:r>
      <w:r>
        <w:rPr>
          <w:rFonts w:ascii="Arial" w:cs="Arial" w:eastAsia="Arial" w:hAnsi="Arial"/>
          <w:sz w:val="21"/>
          <w:szCs w:val="21"/>
          <w:color w:val="auto"/>
        </w:rPr>
        <w:t xml:space="preserve">), substantially in the form attached hereto as </w:t>
      </w:r>
      <w:r>
        <w:rPr>
          <w:rFonts w:ascii="Arial" w:cs="Arial" w:eastAsia="Arial" w:hAnsi="Arial"/>
          <w:sz w:val="21"/>
          <w:szCs w:val="21"/>
          <w:u w:val="single" w:color="auto"/>
          <w:color w:val="auto"/>
        </w:rPr>
        <w:t>Annex 2.05B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Credit Suisse Escrow Agreement</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660" w:hanging="4"/>
        <w:spacing w:after="0" w:line="247" w:lineRule="auto"/>
        <w:tabs>
          <w:tab w:leader="none" w:pos="117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Purchaser shall pay all escrow agent’s fees and expenses required to be paid under the UBS Escrow Agreement and the Credit Suisse Escrow Agreement in accordance with the terms thereof, and shall, in each case, indemnify each Seller Indemnitee and hold it harmless from any Losses (including any escrow fees, customary banking fees or commissions) arising under the UBS Escrow Agreement or the Credit Suisse Escrow Agreement including, but not limited to (i) Sections 4, 16.1, 16.2 and 16.3 of the UBS Escrow Agreement and (ii) Sections 4, 16.1, 16.2 and 16.3 of the Credit Suisse Escrow Agreement.</w:t>
      </w:r>
    </w:p>
    <w:p>
      <w:pPr>
        <w:spacing w:after="0" w:line="193" w:lineRule="exact"/>
        <w:rPr>
          <w:rFonts w:ascii="Arial" w:cs="Arial" w:eastAsia="Arial" w:hAnsi="Arial"/>
          <w:sz w:val="22"/>
          <w:szCs w:val="22"/>
          <w:color w:val="auto"/>
        </w:rPr>
      </w:pPr>
    </w:p>
    <w:p>
      <w:pPr>
        <w:ind w:left="660" w:hanging="4"/>
        <w:spacing w:after="0" w:line="263" w:lineRule="auto"/>
        <w:tabs>
          <w:tab w:leader="none" w:pos="11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Not later than 10:00 AM, in New York City, New York, on December 29, 2014, the Purchaser shall, or shall cause its Affiliates to, initiate wire transfers for an amount that, in</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0" w:name="page111"/>
    <w:bookmarkEnd w:id="110"/>
    <w:p>
      <w:pPr>
        <w:ind w:left="660" w:right="20"/>
        <w:spacing w:after="0" w:line="263" w:lineRule="auto"/>
        <w:rPr>
          <w:sz w:val="20"/>
          <w:szCs w:val="20"/>
          <w:color w:val="auto"/>
        </w:rPr>
      </w:pPr>
      <w:r>
        <w:rPr>
          <w:rFonts w:ascii="Arial" w:cs="Arial" w:eastAsia="Arial" w:hAnsi="Arial"/>
          <w:sz w:val="22"/>
          <w:szCs w:val="22"/>
          <w:color w:val="auto"/>
        </w:rPr>
        <w:t>the aggregate, equals the Initial Purchase Price (it being agreed and understood that the wire instructions for each transfer shall be noted as “priority wire to be effected on December 30, 2014”) as follows:</w:t>
      </w:r>
    </w:p>
    <w:p>
      <w:pPr>
        <w:spacing w:after="0" w:line="175" w:lineRule="exact"/>
        <w:rPr>
          <w:sz w:val="20"/>
          <w:szCs w:val="20"/>
          <w:color w:val="auto"/>
        </w:rPr>
      </w:pPr>
    </w:p>
    <w:p>
      <w:pPr>
        <w:jc w:val="both"/>
        <w:ind w:left="1300" w:firstLine="5"/>
        <w:spacing w:after="0" w:line="297" w:lineRule="auto"/>
        <w:tabs>
          <w:tab w:leader="none" w:pos="184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to the applicable Affiliate of the Seller, cash in an amount equal to such portion of the Initial Purchase Price agreed by the Parties to be allocated to the Business owned by such Affiliate in South Africa (the </w:t>
      </w:r>
      <w:r>
        <w:rPr>
          <w:rFonts w:ascii="Arial" w:cs="Arial" w:eastAsia="Arial" w:hAnsi="Arial"/>
          <w:sz w:val="19"/>
          <w:szCs w:val="19"/>
          <w:b w:val="1"/>
          <w:bCs w:val="1"/>
          <w:i w:val="1"/>
          <w:iCs w:val="1"/>
          <w:color w:val="auto"/>
        </w:rPr>
        <w:t>South Africa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Purchase Price Payment</w:t>
      </w:r>
      <w:r>
        <w:rPr>
          <w:rFonts w:ascii="Arial" w:cs="Arial" w:eastAsia="Arial" w:hAnsi="Arial"/>
          <w:sz w:val="19"/>
          <w:szCs w:val="19"/>
          <w:color w:val="auto"/>
        </w:rPr>
        <w:t>), by means of a wire transfer of immediately available funds to such account or accounts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as designated by the Seller in </w:t>
      </w:r>
      <w:r>
        <w:rPr>
          <w:rFonts w:ascii="Arial" w:cs="Arial" w:eastAsia="Arial" w:hAnsi="Arial"/>
          <w:sz w:val="19"/>
          <w:szCs w:val="19"/>
          <w:u w:val="single" w:color="auto"/>
          <w:color w:val="auto"/>
        </w:rPr>
        <w:t>Annex 2.05(c)</w:t>
      </w:r>
      <w:r>
        <w:rPr>
          <w:rFonts w:ascii="Arial" w:cs="Arial" w:eastAsia="Arial" w:hAnsi="Arial"/>
          <w:sz w:val="19"/>
          <w:szCs w:val="19"/>
          <w:color w:val="auto"/>
        </w:rPr>
        <w:t xml:space="preserve"> hereto as the “South African Purchase Price Wire Details”, which South Africa Purchase Price Payment shall be held in escrow by such Affiliate of the Seller until the Closing;</w:t>
      </w:r>
    </w:p>
    <w:p>
      <w:pPr>
        <w:spacing w:after="0" w:line="147" w:lineRule="exact"/>
        <w:rPr>
          <w:rFonts w:ascii="Arial" w:cs="Arial" w:eastAsia="Arial" w:hAnsi="Arial"/>
          <w:sz w:val="19"/>
          <w:szCs w:val="19"/>
          <w:color w:val="auto"/>
        </w:rPr>
      </w:pPr>
    </w:p>
    <w:p>
      <w:pPr>
        <w:jc w:val="both"/>
        <w:ind w:left="1300" w:firstLine="5"/>
        <w:spacing w:after="0" w:line="263" w:lineRule="auto"/>
        <w:tabs>
          <w:tab w:leader="none" w:pos="1887"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to the applicable Affiliate of the Seller, cash in an amount equal to such portion of the Initial Purchase Price agreed by the Parties to be allocated to the Shares of Novartis Saùde Animal Ltda (the </w:t>
      </w:r>
      <w:r>
        <w:rPr>
          <w:rFonts w:ascii="Arial" w:cs="Arial" w:eastAsia="Arial" w:hAnsi="Arial"/>
          <w:sz w:val="21"/>
          <w:szCs w:val="21"/>
          <w:b w:val="1"/>
          <w:bCs w:val="1"/>
          <w:i w:val="1"/>
          <w:iCs w:val="1"/>
          <w:color w:val="auto"/>
        </w:rPr>
        <w:t>Brazil Purchase Price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by means of a wire transfer of immediately available funds to such account or accounts as designated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the Seller in </w:t>
      </w:r>
      <w:r>
        <w:rPr>
          <w:rFonts w:ascii="Arial" w:cs="Arial" w:eastAsia="Arial" w:hAnsi="Arial"/>
          <w:sz w:val="21"/>
          <w:szCs w:val="21"/>
          <w:u w:val="single" w:color="auto"/>
          <w:color w:val="auto"/>
        </w:rPr>
        <w:t>Annex 2.05(c)</w:t>
      </w:r>
      <w:r>
        <w:rPr>
          <w:rFonts w:ascii="Arial" w:cs="Arial" w:eastAsia="Arial" w:hAnsi="Arial"/>
          <w:sz w:val="21"/>
          <w:szCs w:val="21"/>
          <w:color w:val="auto"/>
        </w:rPr>
        <w:t xml:space="preserve"> hereto as the “Brazil Purchase Price Wire Details”, which Brazil Purchase Price Payment shall be held in escrow by such Affiliate of the Seller until the Closing;</w:t>
      </w:r>
    </w:p>
    <w:p>
      <w:pPr>
        <w:spacing w:after="0" w:line="175" w:lineRule="exact"/>
        <w:rPr>
          <w:rFonts w:ascii="Arial" w:cs="Arial" w:eastAsia="Arial" w:hAnsi="Arial"/>
          <w:sz w:val="21"/>
          <w:szCs w:val="21"/>
          <w:color w:val="auto"/>
        </w:rPr>
      </w:pPr>
    </w:p>
    <w:p>
      <w:pPr>
        <w:jc w:val="both"/>
        <w:ind w:left="1300" w:firstLine="5"/>
        <w:spacing w:after="0" w:line="297" w:lineRule="auto"/>
        <w:tabs>
          <w:tab w:leader="none" w:pos="1936"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to the applicable Affiliate of the Seller, cash in an amount equal to such portion of the Initial Purchase Price agreed by the Parties to be allocated to the Business owned by such Affiliate in Argentina (the </w:t>
      </w:r>
      <w:r>
        <w:rPr>
          <w:rFonts w:ascii="Arial" w:cs="Arial" w:eastAsia="Arial" w:hAnsi="Arial"/>
          <w:sz w:val="19"/>
          <w:szCs w:val="19"/>
          <w:b w:val="1"/>
          <w:bCs w:val="1"/>
          <w:i w:val="1"/>
          <w:iCs w:val="1"/>
          <w:color w:val="auto"/>
        </w:rPr>
        <w:t>Argentina Purchase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Price Payment</w:t>
      </w:r>
      <w:r>
        <w:rPr>
          <w:rFonts w:ascii="Arial" w:cs="Arial" w:eastAsia="Arial" w:hAnsi="Arial"/>
          <w:sz w:val="19"/>
          <w:szCs w:val="19"/>
          <w:color w:val="auto"/>
        </w:rPr>
        <w:t>), by means of a wire transfer of immediately available funds to such account or accounts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designated by the Seller in </w:t>
      </w:r>
      <w:r>
        <w:rPr>
          <w:rFonts w:ascii="Arial" w:cs="Arial" w:eastAsia="Arial" w:hAnsi="Arial"/>
          <w:sz w:val="19"/>
          <w:szCs w:val="19"/>
          <w:u w:val="single" w:color="auto"/>
          <w:color w:val="auto"/>
        </w:rPr>
        <w:t>Annex 2.05(c)</w:t>
      </w:r>
      <w:r>
        <w:rPr>
          <w:rFonts w:ascii="Arial" w:cs="Arial" w:eastAsia="Arial" w:hAnsi="Arial"/>
          <w:sz w:val="19"/>
          <w:szCs w:val="19"/>
          <w:color w:val="auto"/>
        </w:rPr>
        <w:t xml:space="preserve"> hereto as the “Argentina Purchase Price Wire Details”, which Argentina Purchase Price Payment shall be held in escrow by such Affiliate of the Seller until the Closing;</w:t>
      </w:r>
    </w:p>
    <w:p>
      <w:pPr>
        <w:spacing w:after="0" w:line="147" w:lineRule="exact"/>
        <w:rPr>
          <w:rFonts w:ascii="Arial" w:cs="Arial" w:eastAsia="Arial" w:hAnsi="Arial"/>
          <w:sz w:val="19"/>
          <w:szCs w:val="19"/>
          <w:color w:val="auto"/>
        </w:rPr>
      </w:pPr>
    </w:p>
    <w:p>
      <w:pPr>
        <w:jc w:val="both"/>
        <w:ind w:left="1300" w:firstLine="5"/>
        <w:spacing w:after="0" w:line="247" w:lineRule="auto"/>
        <w:tabs>
          <w:tab w:leader="none" w:pos="192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to the applicable Affiliate of the Seller, cash in an amount equal to such portion of the Initial Purchase Price agreed by the Parties to be allocated to the Business owned by such Affiliate in Colombia (the </w:t>
      </w:r>
      <w:r>
        <w:rPr>
          <w:rFonts w:ascii="Arial" w:cs="Arial" w:eastAsia="Arial" w:hAnsi="Arial"/>
          <w:sz w:val="22"/>
          <w:szCs w:val="22"/>
          <w:b w:val="1"/>
          <w:bCs w:val="1"/>
          <w:i w:val="1"/>
          <w:iCs w:val="1"/>
          <w:color w:val="auto"/>
        </w:rPr>
        <w:t>Colombia Purchase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Price Payment</w:t>
      </w:r>
      <w:r>
        <w:rPr>
          <w:rFonts w:ascii="Arial" w:cs="Arial" w:eastAsia="Arial" w:hAnsi="Arial"/>
          <w:sz w:val="22"/>
          <w:szCs w:val="22"/>
          <w:color w:val="auto"/>
        </w:rPr>
        <w:t>), denominated in Colombian Pesos, by means of a wire transfer of immediately available funds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such account or accounts as designated by the Seller in </w:t>
      </w:r>
      <w:r>
        <w:rPr>
          <w:rFonts w:ascii="Arial" w:cs="Arial" w:eastAsia="Arial" w:hAnsi="Arial"/>
          <w:sz w:val="22"/>
          <w:szCs w:val="22"/>
          <w:u w:val="single" w:color="auto"/>
          <w:color w:val="auto"/>
        </w:rPr>
        <w:t>Annex 2.05(c)</w:t>
      </w:r>
      <w:r>
        <w:rPr>
          <w:rFonts w:ascii="Arial" w:cs="Arial" w:eastAsia="Arial" w:hAnsi="Arial"/>
          <w:sz w:val="22"/>
          <w:szCs w:val="22"/>
          <w:color w:val="auto"/>
        </w:rPr>
        <w:t xml:space="preserve"> hereto as the “Colombia Purchase Price Wire Details”, which Colombia Purchase Price Payment shall be held in escrow by such Affiliate of the Seller until the Closing;</w:t>
      </w:r>
    </w:p>
    <w:p>
      <w:pPr>
        <w:spacing w:after="0" w:line="193" w:lineRule="exact"/>
        <w:rPr>
          <w:rFonts w:ascii="Arial" w:cs="Arial" w:eastAsia="Arial" w:hAnsi="Arial"/>
          <w:sz w:val="22"/>
          <w:szCs w:val="22"/>
          <w:color w:val="auto"/>
        </w:rPr>
      </w:pPr>
    </w:p>
    <w:p>
      <w:pPr>
        <w:jc w:val="both"/>
        <w:ind w:left="1300" w:firstLine="5"/>
        <w:spacing w:after="0" w:line="292" w:lineRule="auto"/>
        <w:tabs>
          <w:tab w:leader="none" w:pos="1913"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the India Unconditional Date has occurred prior to December 19, 2014, to the applicable Affiliate of the Seller, cash in an amount equal to such portion of the Initial Purchase Price agreed by the Parties to be allocated to the Business owned by such Affiliate in India (the </w:t>
      </w:r>
      <w:r>
        <w:rPr>
          <w:rFonts w:ascii="Arial" w:cs="Arial" w:eastAsia="Arial" w:hAnsi="Arial"/>
          <w:sz w:val="19"/>
          <w:szCs w:val="19"/>
          <w:b w:val="1"/>
          <w:bCs w:val="1"/>
          <w:i w:val="1"/>
          <w:iCs w:val="1"/>
          <w:color w:val="auto"/>
        </w:rPr>
        <w:t>India Purchase Price Payment</w:t>
      </w:r>
      <w:r>
        <w:rPr>
          <w:rFonts w:ascii="Arial" w:cs="Arial" w:eastAsia="Arial" w:hAnsi="Arial"/>
          <w:sz w:val="19"/>
          <w:szCs w:val="19"/>
          <w:color w:val="auto"/>
        </w:rPr>
        <w:t xml:space="preserve">; and such payment, together with the South Africa Purchase Price Payment, the Brazil Purchase Price Payment, the Argentina Purchase Price Payment and the Colombia Purchase Price Payment, the </w:t>
      </w:r>
      <w:r>
        <w:rPr>
          <w:rFonts w:ascii="Arial" w:cs="Arial" w:eastAsia="Arial" w:hAnsi="Arial"/>
          <w:sz w:val="19"/>
          <w:szCs w:val="19"/>
          <w:b w:val="1"/>
          <w:bCs w:val="1"/>
          <w:i w:val="1"/>
          <w:iCs w:val="1"/>
          <w:color w:val="auto"/>
        </w:rPr>
        <w:t>Local Purchase Price Payments</w:t>
      </w:r>
      <w:r>
        <w:rPr>
          <w:rFonts w:ascii="Arial" w:cs="Arial" w:eastAsia="Arial" w:hAnsi="Arial"/>
          <w:sz w:val="19"/>
          <w:szCs w:val="19"/>
          <w:color w:val="auto"/>
        </w:rPr>
        <w:t xml:space="preserve">), denominated in Indian Rupees, by means of a wire transfer of immediately available funds to such account or accounts as designated by the Seller in </w:t>
      </w:r>
      <w:r>
        <w:rPr>
          <w:rFonts w:ascii="Arial" w:cs="Arial" w:eastAsia="Arial" w:hAnsi="Arial"/>
          <w:sz w:val="19"/>
          <w:szCs w:val="19"/>
          <w:u w:val="single" w:color="auto"/>
          <w:color w:val="auto"/>
        </w:rPr>
        <w:t>Annex 2.05(c)</w:t>
      </w:r>
      <w:r>
        <w:rPr>
          <w:rFonts w:ascii="Arial" w:cs="Arial" w:eastAsia="Arial" w:hAnsi="Arial"/>
          <w:sz w:val="19"/>
          <w:szCs w:val="19"/>
          <w:color w:val="auto"/>
        </w:rPr>
        <w:t xml:space="preserve"> hereto as the “India Purchase Price Wire</w:t>
      </w:r>
    </w:p>
    <w:p>
      <w:pPr>
        <w:spacing w:after="0" w:line="38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3</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1" w:name="page112"/>
    <w:bookmarkEnd w:id="111"/>
    <w:p>
      <w:pPr>
        <w:ind w:left="1300"/>
        <w:spacing w:after="0"/>
        <w:rPr>
          <w:sz w:val="20"/>
          <w:szCs w:val="20"/>
          <w:color w:val="auto"/>
        </w:rPr>
      </w:pPr>
      <w:r>
        <w:rPr>
          <w:rFonts w:ascii="Arial" w:cs="Arial" w:eastAsia="Arial" w:hAnsi="Arial"/>
          <w:sz w:val="19"/>
          <w:szCs w:val="19"/>
          <w:color w:val="auto"/>
        </w:rPr>
        <w:t>Details”, which India Purchase Price Payment shall be held in escrow by such Affiliate of Seller until the Closing;</w:t>
      </w:r>
    </w:p>
    <w:p>
      <w:pPr>
        <w:spacing w:after="0" w:line="254" w:lineRule="exact"/>
        <w:rPr>
          <w:sz w:val="20"/>
          <w:szCs w:val="20"/>
          <w:color w:val="auto"/>
        </w:rPr>
      </w:pPr>
    </w:p>
    <w:p>
      <w:pPr>
        <w:jc w:val="both"/>
        <w:ind w:left="1300" w:firstLine="5"/>
        <w:spacing w:after="0" w:line="248" w:lineRule="auto"/>
        <w:tabs>
          <w:tab w:leader="none" w:pos="1942"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to the escrow account referenced in Section 2 of the Credit Suisse Escrow Agreement (the </w:t>
      </w:r>
      <w:r>
        <w:rPr>
          <w:rFonts w:ascii="Arial" w:cs="Arial" w:eastAsia="Arial" w:hAnsi="Arial"/>
          <w:sz w:val="22"/>
          <w:szCs w:val="22"/>
          <w:b w:val="1"/>
          <w:bCs w:val="1"/>
          <w:i w:val="1"/>
          <w:iCs w:val="1"/>
          <w:color w:val="auto"/>
        </w:rPr>
        <w:t>Credit Suisse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 cash in an amount equal to such portion of the Initial Purchase Price agreed by the Parties to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allocated to the Shares of the U.S. Transferred Subsidiary (the </w:t>
      </w:r>
      <w:r>
        <w:rPr>
          <w:rFonts w:ascii="Arial" w:cs="Arial" w:eastAsia="Arial" w:hAnsi="Arial"/>
          <w:sz w:val="22"/>
          <w:szCs w:val="22"/>
          <w:b w:val="1"/>
          <w:bCs w:val="1"/>
          <w:i w:val="1"/>
          <w:iCs w:val="1"/>
          <w:color w:val="auto"/>
        </w:rPr>
        <w:t>Credit Suisse Escrow Payment</w:t>
      </w:r>
      <w:r>
        <w:rPr>
          <w:rFonts w:ascii="Arial" w:cs="Arial" w:eastAsia="Arial" w:hAnsi="Arial"/>
          <w:sz w:val="22"/>
          <w:szCs w:val="22"/>
          <w:color w:val="auto"/>
        </w:rPr>
        <w:t>), by means of a wire transfer of immediately available funds, the details of which are designated in the Credit Suisse Escrow Agreement; and</w:t>
      </w:r>
    </w:p>
    <w:p>
      <w:pPr>
        <w:spacing w:after="0" w:line="192" w:lineRule="exact"/>
        <w:rPr>
          <w:rFonts w:ascii="Arial" w:cs="Arial" w:eastAsia="Arial" w:hAnsi="Arial"/>
          <w:sz w:val="22"/>
          <w:szCs w:val="22"/>
          <w:color w:val="auto"/>
        </w:rPr>
      </w:pPr>
    </w:p>
    <w:p>
      <w:pPr>
        <w:jc w:val="both"/>
        <w:ind w:left="1300" w:firstLine="5"/>
        <w:spacing w:after="0" w:line="263" w:lineRule="auto"/>
        <w:tabs>
          <w:tab w:leader="none" w:pos="1957"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to the escrow account referenced in Section 2 of the UBS Escrow Agreement (the </w:t>
      </w:r>
      <w:r>
        <w:rPr>
          <w:rFonts w:ascii="Arial" w:cs="Arial" w:eastAsia="Arial" w:hAnsi="Arial"/>
          <w:sz w:val="21"/>
          <w:szCs w:val="21"/>
          <w:b w:val="1"/>
          <w:bCs w:val="1"/>
          <w:i w:val="1"/>
          <w:iCs w:val="1"/>
          <w:color w:val="auto"/>
        </w:rPr>
        <w:t>UBS Escrow Account</w:t>
      </w:r>
      <w:r>
        <w:rPr>
          <w:rFonts w:ascii="Arial" w:cs="Arial" w:eastAsia="Arial" w:hAnsi="Arial"/>
          <w:sz w:val="21"/>
          <w:szCs w:val="21"/>
          <w:color w:val="auto"/>
        </w:rPr>
        <w:t xml:space="preserve">), cash in an amount equal to the Initial Purchase Price,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the Local Purchase Payments (other than the India Purchase Price Payment if the India Unconditional Date does not occur prior to December 19, 2014) and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the Credit Suisse Escrow Payment (the </w:t>
      </w:r>
      <w:r>
        <w:rPr>
          <w:rFonts w:ascii="Arial" w:cs="Arial" w:eastAsia="Arial" w:hAnsi="Arial"/>
          <w:sz w:val="21"/>
          <w:szCs w:val="21"/>
          <w:b w:val="1"/>
          <w:bCs w:val="1"/>
          <w:i w:val="1"/>
          <w:iCs w:val="1"/>
          <w:color w:val="auto"/>
        </w:rPr>
        <w:t>UBS Escrow Payment</w:t>
      </w:r>
      <w:r>
        <w:rPr>
          <w:rFonts w:ascii="Arial" w:cs="Arial" w:eastAsia="Arial" w:hAnsi="Arial"/>
          <w:sz w:val="21"/>
          <w:szCs w:val="21"/>
          <w:color w:val="auto"/>
        </w:rPr>
        <w:t>) by means of a wire transfer of immediately available funds, the details of which are designated in the UBS Escrow Agreement.</w:t>
      </w:r>
    </w:p>
    <w:p>
      <w:pPr>
        <w:spacing w:after="0" w:line="176"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 xml:space="preserve">The Purchaser shall use its reasonable best efforts (i) to cause the Local Purchase Price Payments to be received in the applicable Seller account set forth on </w:t>
      </w:r>
      <w:r>
        <w:rPr>
          <w:rFonts w:ascii="Arial" w:cs="Arial" w:eastAsia="Arial" w:hAnsi="Arial"/>
          <w:sz w:val="19"/>
          <w:szCs w:val="19"/>
          <w:u w:val="single" w:color="auto"/>
          <w:color w:val="auto"/>
        </w:rPr>
        <w:t>Annex 2.05(c)</w:t>
      </w:r>
      <w:r>
        <w:rPr>
          <w:rFonts w:ascii="Arial" w:cs="Arial" w:eastAsia="Arial" w:hAnsi="Arial"/>
          <w:sz w:val="19"/>
          <w:szCs w:val="19"/>
          <w:color w:val="auto"/>
        </w:rPr>
        <w:t xml:space="preserve"> not later than 3:00 PM, in New York City, New York, on December 30, 2014, and (ii) to cause the Credit Suisse Escrow Payment to be received by the Credit Suisse Escrow Agent, and the UBS Escrow Payment to be received by the UBS Escrow Agent, in each case, by 3:00 PM, in New York City, New York, on December 30, 2014, and in any event, not later than 4:00 PM in Basel, Switzerland, on December 31, 2014. The UBS Escrow Payment and the Credit Suisse Escrow Payment shall be held in escrow pending the Closing pursuant to the terms and conditions of the UBS Escrow Agreement and the Credit Suisse Escrow Agreement, as applicable. The Purchaser shall cause its representative or a representative of its designated Affiliate, who is authorized to deliver both the executed release instruction in the form set out in Exhibit B to the UBS Escrow Agreement and the executed release instruction in the form set out in Exhibit B to the Credit Suisse Escrow Agreement, to (y) be present in Basel, Switzerland from and after December 30, 2014 through the Closing, and (z) deliver, on behalf of the Purchaser and its designated Affiliate, to a representative of the Escrow Agent (as such term is defined in each of the UBS Escrow Agreement and the Credit Suisse Escrow Agreement) such executed release instructions at the Seller’s headquarters in Basel, Switzerland (Novartis Campus) in accordance with the UBS Escrow Agreement and the Credit Suisse Escrow Agreement.</w:t>
      </w:r>
    </w:p>
    <w:p>
      <w:pPr>
        <w:spacing w:after="0" w:line="163"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for any reason, the Closing does not occur by 11:59 P.M., New York time, on January 5, 2015, the Seller shall refund to the Purchaser or its designated Affiliates each of the Local Purchase Price Payments not later than January 9, 2015 by means of a wire transfer of immediately available funds to such account or accounts as designated by the Purchaser.</w:t>
      </w:r>
    </w:p>
    <w:p>
      <w:pPr>
        <w:spacing w:after="0" w:line="147" w:lineRule="exact"/>
        <w:rPr>
          <w:sz w:val="20"/>
          <w:szCs w:val="20"/>
          <w:color w:val="auto"/>
        </w:rPr>
      </w:pPr>
    </w:p>
    <w:p>
      <w:pPr>
        <w:jc w:val="both"/>
        <w:ind w:left="660" w:right="20"/>
        <w:spacing w:after="0" w:line="302" w:lineRule="auto"/>
        <w:rPr>
          <w:sz w:val="20"/>
          <w:szCs w:val="20"/>
          <w:color w:val="auto"/>
        </w:rPr>
      </w:pPr>
      <w:r>
        <w:rPr>
          <w:rFonts w:ascii="Arial" w:cs="Arial" w:eastAsia="Arial" w:hAnsi="Arial"/>
          <w:sz w:val="22"/>
          <w:szCs w:val="22"/>
          <w:color w:val="auto"/>
        </w:rPr>
        <w:t xml:space="preserve">The Parties acknowledge and agree that in the event that the Seller cannot, or cannot cause its Affiliate to, transfer the Shares of any Transferred Subsidiary set forth on </w:t>
      </w:r>
      <w:r>
        <w:rPr>
          <w:rFonts w:ascii="Arial" w:cs="Arial" w:eastAsia="Arial" w:hAnsi="Arial"/>
          <w:sz w:val="22"/>
          <w:szCs w:val="22"/>
          <w:u w:val="single" w:color="auto"/>
          <w:color w:val="auto"/>
        </w:rPr>
        <w:t>Annex 2.05(d)</w:t>
      </w:r>
    </w:p>
    <w:p>
      <w:pPr>
        <w:spacing w:after="0" w:line="338"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4</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2" w:name="page113"/>
    <w:bookmarkEnd w:id="112"/>
    <w:p>
      <w:pPr>
        <w:jc w:val="both"/>
        <w:ind w:left="660"/>
        <w:spacing w:after="0" w:line="303" w:lineRule="auto"/>
        <w:rPr>
          <w:sz w:val="20"/>
          <w:szCs w:val="20"/>
          <w:color w:val="auto"/>
        </w:rPr>
      </w:pPr>
      <w:r>
        <w:rPr>
          <w:rFonts w:ascii="Arial" w:cs="Arial" w:eastAsia="Arial" w:hAnsi="Arial"/>
          <w:sz w:val="21"/>
          <w:szCs w:val="21"/>
          <w:color w:val="auto"/>
        </w:rPr>
        <w:t xml:space="preserve">(each, a </w:t>
      </w:r>
      <w:r>
        <w:rPr>
          <w:rFonts w:ascii="Arial" w:cs="Arial" w:eastAsia="Arial" w:hAnsi="Arial"/>
          <w:sz w:val="21"/>
          <w:szCs w:val="21"/>
          <w:b w:val="1"/>
          <w:bCs w:val="1"/>
          <w:i w:val="1"/>
          <w:iCs w:val="1"/>
          <w:color w:val="auto"/>
        </w:rPr>
        <w:t>Notarial Transferred Subsidiary</w:t>
      </w:r>
      <w:r>
        <w:rPr>
          <w:rFonts w:ascii="Arial" w:cs="Arial" w:eastAsia="Arial" w:hAnsi="Arial"/>
          <w:sz w:val="21"/>
          <w:szCs w:val="21"/>
          <w:color w:val="auto"/>
        </w:rPr>
        <w:t xml:space="preserve">), or any Transferred Asset of any Asset Seller set forth on </w:t>
      </w:r>
      <w:r>
        <w:rPr>
          <w:rFonts w:ascii="Arial" w:cs="Arial" w:eastAsia="Arial" w:hAnsi="Arial"/>
          <w:sz w:val="21"/>
          <w:szCs w:val="21"/>
          <w:u w:val="single" w:color="auto"/>
          <w:color w:val="auto"/>
        </w:rPr>
        <w:t>Annex 2.05(d)</w:t>
      </w:r>
      <w:r>
        <w:rPr>
          <w:rFonts w:ascii="Arial" w:cs="Arial" w:eastAsia="Arial" w:hAnsi="Arial"/>
          <w:sz w:val="21"/>
          <w:szCs w:val="21"/>
          <w:color w:val="auto"/>
        </w:rPr>
        <w:t xml:space="preserve"> hereto (each, a </w:t>
      </w:r>
      <w:r>
        <w:rPr>
          <w:rFonts w:ascii="Arial" w:cs="Arial" w:eastAsia="Arial" w:hAnsi="Arial"/>
          <w:sz w:val="21"/>
          <w:szCs w:val="21"/>
          <w:b w:val="1"/>
          <w:bCs w:val="1"/>
          <w:i w:val="1"/>
          <w:iCs w:val="1"/>
          <w:color w:val="auto"/>
        </w:rPr>
        <w:t>Notarial Asset Seller</w:t>
      </w:r>
      <w:r>
        <w:rPr>
          <w:rFonts w:ascii="Arial" w:cs="Arial" w:eastAsia="Arial" w:hAnsi="Arial"/>
          <w:sz w:val="21"/>
          <w:szCs w:val="21"/>
          <w:color w:val="auto"/>
        </w:rPr>
        <w:t xml:space="preserve">; and each jurisdiction of incorporation of a Notarial Transferred Subsidiary or Notarial Asset Seller, a </w:t>
      </w:r>
      <w:r>
        <w:rPr>
          <w:rFonts w:ascii="Arial" w:cs="Arial" w:eastAsia="Arial" w:hAnsi="Arial"/>
          <w:sz w:val="21"/>
          <w:szCs w:val="21"/>
          <w:b w:val="1"/>
          <w:bCs w:val="1"/>
          <w:i w:val="1"/>
          <w:iCs w:val="1"/>
          <w:color w:val="auto"/>
        </w:rPr>
        <w:t>Notarial Jurisdiction</w:t>
      </w:r>
      <w:r>
        <w:rPr>
          <w:rFonts w:ascii="Arial" w:cs="Arial" w:eastAsia="Arial" w:hAnsi="Arial"/>
          <w:sz w:val="21"/>
          <w:szCs w:val="21"/>
          <w:color w:val="auto"/>
        </w:rPr>
        <w:t>) in accordance with the terms and conditions of the SAPA as a result of the Closing Date not being a Business Day in such Notarial Jurisdiction, then, with respect to the transfer of the Shares of any such Notarial Transferred Subsidiary or any Transferred Asset of such Notarial Asset Seller:</w:t>
      </w:r>
    </w:p>
    <w:p>
      <w:pPr>
        <w:spacing w:after="0" w:line="123" w:lineRule="exact"/>
        <w:rPr>
          <w:sz w:val="20"/>
          <w:szCs w:val="20"/>
          <w:color w:val="auto"/>
        </w:rPr>
      </w:pPr>
    </w:p>
    <w:p>
      <w:pPr>
        <w:ind w:left="1300" w:right="420" w:firstLine="5"/>
        <w:spacing w:after="0" w:line="311" w:lineRule="auto"/>
        <w:tabs>
          <w:tab w:leader="none" w:pos="1680"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The Seller shall appear before the relevant notary or registry in order to fulfill its obligations under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2.05</w:t>
      </w:r>
      <w:r>
        <w:rPr>
          <w:rFonts w:ascii="Arial" w:cs="Arial" w:eastAsia="Arial" w:hAnsi="Arial"/>
          <w:sz w:val="21"/>
          <w:szCs w:val="21"/>
          <w:color w:val="auto"/>
        </w:rPr>
        <w:t xml:space="preserve"> on the first Business Day on which the relevant notary or registry is available in the relevant Notarial Jurisdiction following the Closing Date (the </w:t>
      </w:r>
      <w:r>
        <w:rPr>
          <w:rFonts w:ascii="Arial" w:cs="Arial" w:eastAsia="Arial" w:hAnsi="Arial"/>
          <w:sz w:val="21"/>
          <w:szCs w:val="21"/>
          <w:b w:val="1"/>
          <w:bCs w:val="1"/>
          <w:i w:val="1"/>
          <w:iCs w:val="1"/>
          <w:color w:val="auto"/>
        </w:rPr>
        <w:t>Notarial Closing Date</w:t>
      </w:r>
      <w:r>
        <w:rPr>
          <w:rFonts w:ascii="Arial" w:cs="Arial" w:eastAsia="Arial" w:hAnsi="Arial"/>
          <w:sz w:val="21"/>
          <w:szCs w:val="21"/>
          <w:color w:val="auto"/>
        </w:rPr>
        <w:t>);</w:t>
      </w:r>
    </w:p>
    <w:p>
      <w:pPr>
        <w:spacing w:after="0" w:line="114" w:lineRule="exact"/>
        <w:rPr>
          <w:rFonts w:ascii="Arial" w:cs="Arial" w:eastAsia="Arial" w:hAnsi="Arial"/>
          <w:sz w:val="21"/>
          <w:szCs w:val="21"/>
          <w:color w:val="auto"/>
        </w:rPr>
      </w:pPr>
    </w:p>
    <w:p>
      <w:pPr>
        <w:jc w:val="both"/>
        <w:ind w:left="1300" w:firstLine="5"/>
        <w:spacing w:after="0" w:line="292" w:lineRule="auto"/>
        <w:tabs>
          <w:tab w:leader="none" w:pos="1801" w:val="left"/>
        </w:tabs>
        <w:numPr>
          <w:ilvl w:val="1"/>
          <w:numId w:val="62"/>
        </w:numPr>
        <w:rPr>
          <w:rFonts w:ascii="Arial" w:cs="Arial" w:eastAsia="Arial" w:hAnsi="Arial"/>
          <w:sz w:val="22"/>
          <w:szCs w:val="22"/>
          <w:color w:val="auto"/>
        </w:rPr>
      </w:pPr>
      <w:r>
        <w:rPr>
          <w:rFonts w:ascii="Arial" w:cs="Arial" w:eastAsia="Arial" w:hAnsi="Arial"/>
          <w:sz w:val="22"/>
          <w:szCs w:val="22"/>
          <w:color w:val="auto"/>
        </w:rPr>
        <w:t>From the Closing Date until the Notarial Closing Date, the Seller shall hold in trust for the account of the Purchaser such Notarial Transferred Subsidiary or any Transferred Asset of the Notarial Asset Sellers in a manner consistent with this Agreement.</w:t>
      </w:r>
    </w:p>
    <w:p>
      <w:pPr>
        <w:spacing w:after="0" w:line="116" w:lineRule="exact"/>
        <w:rPr>
          <w:rFonts w:ascii="Arial" w:cs="Arial" w:eastAsia="Arial" w:hAnsi="Arial"/>
          <w:sz w:val="22"/>
          <w:szCs w:val="22"/>
          <w:color w:val="auto"/>
        </w:rPr>
      </w:pPr>
    </w:p>
    <w:p>
      <w:pPr>
        <w:ind w:left="1100" w:hanging="444"/>
        <w:spacing w:after="0"/>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At the Closing:</w:t>
      </w:r>
    </w:p>
    <w:p>
      <w:pPr>
        <w:spacing w:after="0" w:line="220" w:lineRule="exact"/>
        <w:rPr>
          <w:sz w:val="20"/>
          <w:szCs w:val="20"/>
          <w:color w:val="auto"/>
        </w:rPr>
      </w:pPr>
    </w:p>
    <w:p>
      <w:pPr>
        <w:ind w:left="1720" w:hanging="415"/>
        <w:spacing w:after="0"/>
        <w:tabs>
          <w:tab w:leader="none" w:pos="17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Seller shall or shall cause its Affiliates to, as applicable, deliver to the Purchaser or its Affiliates:</w:t>
      </w:r>
    </w:p>
    <w:p>
      <w:pPr>
        <w:spacing w:after="0" w:line="219" w:lineRule="exact"/>
        <w:rPr>
          <w:rFonts w:ascii="Arial" w:cs="Arial" w:eastAsia="Arial" w:hAnsi="Arial"/>
          <w:sz w:val="22"/>
          <w:szCs w:val="22"/>
          <w:color w:val="auto"/>
        </w:rPr>
      </w:pPr>
    </w:p>
    <w:p>
      <w:pPr>
        <w:ind w:left="2460" w:hanging="507"/>
        <w:spacing w:after="0"/>
        <w:tabs>
          <w:tab w:leader="none" w:pos="24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duly executed Local Agreements;</w:t>
      </w:r>
    </w:p>
    <w:p>
      <w:pPr>
        <w:spacing w:after="0" w:line="219" w:lineRule="exact"/>
        <w:rPr>
          <w:rFonts w:ascii="Arial" w:cs="Arial" w:eastAsia="Arial" w:hAnsi="Arial"/>
          <w:sz w:val="22"/>
          <w:szCs w:val="22"/>
          <w:color w:val="auto"/>
        </w:rPr>
      </w:pPr>
    </w:p>
    <w:p>
      <w:pPr>
        <w:ind w:left="1960" w:hanging="7"/>
        <w:spacing w:after="0" w:line="263" w:lineRule="auto"/>
        <w:tabs>
          <w:tab w:leader="none" w:pos="2549" w:val="left"/>
        </w:tabs>
        <w:numPr>
          <w:ilvl w:val="1"/>
          <w:numId w:val="64"/>
        </w:numPr>
        <w:rPr>
          <w:rFonts w:ascii="Arial" w:cs="Arial" w:eastAsia="Arial" w:hAnsi="Arial"/>
          <w:sz w:val="22"/>
          <w:szCs w:val="22"/>
          <w:color w:val="auto"/>
        </w:rPr>
      </w:pPr>
      <w:r>
        <w:rPr>
          <w:rFonts w:ascii="Arial" w:cs="Arial" w:eastAsia="Arial" w:hAnsi="Arial"/>
          <w:sz w:val="22"/>
          <w:szCs w:val="22"/>
          <w:color w:val="auto"/>
        </w:rPr>
        <w:t>counterparts of the Ancillary Agreements to which the Seller or any of its Affiliates is a party duly executed by the Seller or such Affiliates, as applicable;</w:t>
      </w:r>
    </w:p>
    <w:p>
      <w:pPr>
        <w:spacing w:after="0" w:line="174" w:lineRule="exact"/>
        <w:rPr>
          <w:rFonts w:ascii="Arial" w:cs="Arial" w:eastAsia="Arial" w:hAnsi="Arial"/>
          <w:sz w:val="22"/>
          <w:szCs w:val="22"/>
          <w:color w:val="auto"/>
        </w:rPr>
      </w:pPr>
    </w:p>
    <w:p>
      <w:pPr>
        <w:jc w:val="both"/>
        <w:ind w:left="1960" w:hanging="7"/>
        <w:spacing w:after="0" w:line="253" w:lineRule="auto"/>
        <w:tabs>
          <w:tab w:leader="none" w:pos="2584"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if requested by the Purchaser, the letters of resignation (or evidence that such directors have been removed from office) of those directors of the Transferred Subsidiaries who are designated by the Purchaser pursuant to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2460" w:hanging="507"/>
        <w:spacing w:after="0"/>
        <w:tabs>
          <w:tab w:leader="none" w:pos="24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Seller’s Closing Certificate;</w:t>
      </w:r>
    </w:p>
    <w:p>
      <w:pPr>
        <w:spacing w:after="0" w:line="219" w:lineRule="exact"/>
        <w:rPr>
          <w:rFonts w:ascii="Arial" w:cs="Arial" w:eastAsia="Arial" w:hAnsi="Arial"/>
          <w:sz w:val="22"/>
          <w:szCs w:val="22"/>
          <w:color w:val="auto"/>
        </w:rPr>
      </w:pPr>
    </w:p>
    <w:p>
      <w:pPr>
        <w:jc w:val="both"/>
        <w:ind w:left="1960" w:hanging="7"/>
        <w:spacing w:after="0" w:line="297" w:lineRule="auto"/>
        <w:tabs>
          <w:tab w:leader="none" w:pos="2570" w:val="left"/>
        </w:tabs>
        <w:numPr>
          <w:ilvl w:val="1"/>
          <w:numId w:val="64"/>
        </w:numPr>
        <w:rPr>
          <w:rFonts w:ascii="Arial" w:cs="Arial" w:eastAsia="Arial" w:hAnsi="Arial"/>
          <w:sz w:val="19"/>
          <w:szCs w:val="19"/>
          <w:color w:val="auto"/>
        </w:rPr>
      </w:pPr>
      <w:r>
        <w:rPr>
          <w:rFonts w:ascii="Arial" w:cs="Arial" w:eastAsia="Arial" w:hAnsi="Arial"/>
          <w:sz w:val="19"/>
          <w:szCs w:val="19"/>
          <w:color w:val="auto"/>
        </w:rPr>
        <w:t>a certification that Novartis Finance Corporation (and any other “United States person” within the meaning of section 7701(a)(30) of the Code that is treated as transferring a “United States real property interest” within the meaning of section 897(c)(1) of the Code for U.S. Federal income tax purposes in the Proposed Transactions) is not a foreign person within the meaning of section 1445 of the Code, dated as of the Closing Date and in form and substance as provided in Treasury Regulations section 1.1445-2(b)(2);</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5</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61" w:right="239" w:bottom="1440" w:gutter="0" w:footer="0" w:header="0"/>
        </w:sectPr>
      </w:pPr>
    </w:p>
    <w:bookmarkStart w:id="113" w:name="page114"/>
    <w:bookmarkEnd w:id="113"/>
    <w:p>
      <w:pPr>
        <w:jc w:val="both"/>
        <w:ind w:left="1960" w:hanging="7"/>
        <w:spacing w:after="0" w:line="253" w:lineRule="auto"/>
        <w:tabs>
          <w:tab w:leader="none" w:pos="2483"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 effective, irrevocable election under Section 338(h)(10) of the Code on IRS Form 8023 (and under any comparable provisions of Applicable Law in any U.S. state or local jurisdiction) with respect to the U.S. Transferred Subsidiary; and</w:t>
      </w:r>
    </w:p>
    <w:p>
      <w:pPr>
        <w:spacing w:after="0" w:line="185" w:lineRule="exact"/>
        <w:rPr>
          <w:rFonts w:ascii="Arial" w:cs="Arial" w:eastAsia="Arial" w:hAnsi="Arial"/>
          <w:sz w:val="22"/>
          <w:szCs w:val="22"/>
          <w:color w:val="auto"/>
        </w:rPr>
      </w:pPr>
    </w:p>
    <w:p>
      <w:pPr>
        <w:ind w:left="2460" w:hanging="507"/>
        <w:spacing w:after="0"/>
        <w:tabs>
          <w:tab w:leader="none" w:pos="24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counterparts to the Support Agreement duly executed by Seller.</w:t>
      </w:r>
    </w:p>
    <w:p>
      <w:pPr>
        <w:spacing w:after="0" w:line="219" w:lineRule="exact"/>
        <w:rPr>
          <w:rFonts w:ascii="Arial" w:cs="Arial" w:eastAsia="Arial" w:hAnsi="Arial"/>
          <w:sz w:val="22"/>
          <w:szCs w:val="22"/>
          <w:color w:val="auto"/>
        </w:rPr>
      </w:pPr>
    </w:p>
    <w:p>
      <w:pPr>
        <w:jc w:val="both"/>
        <w:ind w:left="1300" w:firstLine="5"/>
        <w:spacing w:after="0" w:line="253" w:lineRule="auto"/>
        <w:tabs>
          <w:tab w:leader="none" w:pos="1923"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Purchaser shall or shall cause its Affiliates to, as applicable, deliver to the Seller and in the case of paragraph (A) below the UBS Escrow Agent and in the case of paragraph (B) below the Credit Suisse Escrow Agent:</w:t>
      </w:r>
    </w:p>
    <w:p>
      <w:pPr>
        <w:spacing w:after="0" w:line="185" w:lineRule="exact"/>
        <w:rPr>
          <w:rFonts w:ascii="Arial" w:cs="Arial" w:eastAsia="Arial" w:hAnsi="Arial"/>
          <w:sz w:val="22"/>
          <w:szCs w:val="22"/>
          <w:color w:val="auto"/>
        </w:rPr>
      </w:pPr>
    </w:p>
    <w:p>
      <w:pPr>
        <w:ind w:left="2460" w:hanging="507"/>
        <w:spacing w:after="0"/>
        <w:tabs>
          <w:tab w:leader="none" w:pos="2460" w:val="left"/>
        </w:tabs>
        <w:numPr>
          <w:ilvl w:val="1"/>
          <w:numId w:val="66"/>
        </w:numPr>
        <w:rPr>
          <w:rFonts w:ascii="Arial" w:cs="Arial" w:eastAsia="Arial" w:hAnsi="Arial"/>
          <w:sz w:val="21"/>
          <w:szCs w:val="21"/>
          <w:color w:val="auto"/>
        </w:rPr>
      </w:pPr>
      <w:r>
        <w:rPr>
          <w:rFonts w:ascii="Arial" w:cs="Arial" w:eastAsia="Arial" w:hAnsi="Arial"/>
          <w:sz w:val="21"/>
          <w:szCs w:val="21"/>
          <w:color w:val="auto"/>
        </w:rPr>
        <w:t>duly executed release instruction in the form set out in Exhibit B to the UBS Escrow Agreement;</w:t>
      </w:r>
    </w:p>
    <w:p>
      <w:pPr>
        <w:spacing w:after="0" w:line="231" w:lineRule="exact"/>
        <w:rPr>
          <w:rFonts w:ascii="Arial" w:cs="Arial" w:eastAsia="Arial" w:hAnsi="Arial"/>
          <w:sz w:val="21"/>
          <w:szCs w:val="21"/>
          <w:color w:val="auto"/>
        </w:rPr>
      </w:pPr>
    </w:p>
    <w:p>
      <w:pPr>
        <w:ind w:left="1960" w:hanging="7"/>
        <w:spacing w:after="0" w:line="263" w:lineRule="auto"/>
        <w:tabs>
          <w:tab w:leader="none" w:pos="2650" w:val="left"/>
        </w:tabs>
        <w:numPr>
          <w:ilvl w:val="1"/>
          <w:numId w:val="66"/>
        </w:numPr>
        <w:rPr>
          <w:rFonts w:ascii="Arial" w:cs="Arial" w:eastAsia="Arial" w:hAnsi="Arial"/>
          <w:sz w:val="22"/>
          <w:szCs w:val="22"/>
          <w:color w:val="auto"/>
        </w:rPr>
      </w:pPr>
      <w:r>
        <w:rPr>
          <w:rFonts w:ascii="Arial" w:cs="Arial" w:eastAsia="Arial" w:hAnsi="Arial"/>
          <w:sz w:val="22"/>
          <w:szCs w:val="22"/>
          <w:color w:val="auto"/>
        </w:rPr>
        <w:t>duly executed release instruction in the form set out in Exhibit B to the Credit Suisse Escrow Agreement;</w:t>
      </w:r>
    </w:p>
    <w:p>
      <w:pPr>
        <w:spacing w:after="0" w:line="174" w:lineRule="exact"/>
        <w:rPr>
          <w:rFonts w:ascii="Arial" w:cs="Arial" w:eastAsia="Arial" w:hAnsi="Arial"/>
          <w:sz w:val="22"/>
          <w:szCs w:val="22"/>
          <w:color w:val="auto"/>
        </w:rPr>
      </w:pPr>
    </w:p>
    <w:p>
      <w:pPr>
        <w:ind w:left="2460" w:hanging="507"/>
        <w:spacing w:after="0"/>
        <w:tabs>
          <w:tab w:leader="none" w:pos="24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duly executed Local Agreements;</w:t>
      </w:r>
    </w:p>
    <w:p>
      <w:pPr>
        <w:spacing w:after="0" w:line="219" w:lineRule="exact"/>
        <w:rPr>
          <w:rFonts w:ascii="Arial" w:cs="Arial" w:eastAsia="Arial" w:hAnsi="Arial"/>
          <w:sz w:val="22"/>
          <w:szCs w:val="22"/>
          <w:color w:val="auto"/>
        </w:rPr>
      </w:pPr>
    </w:p>
    <w:p>
      <w:pPr>
        <w:ind w:left="1960" w:right="20" w:hanging="7"/>
        <w:spacing w:after="0" w:line="287" w:lineRule="auto"/>
        <w:tabs>
          <w:tab w:leader="none" w:pos="2548"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if requested by the Seller, an executed instrument of assignment and assumption substantially in the form attached hereto as </w:t>
      </w:r>
      <w:r>
        <w:rPr>
          <w:rFonts w:ascii="Arial" w:cs="Arial" w:eastAsia="Arial" w:hAnsi="Arial"/>
          <w:sz w:val="21"/>
          <w:szCs w:val="21"/>
          <w:u w:val="single" w:color="auto"/>
          <w:color w:val="auto"/>
        </w:rPr>
        <w:t>Exhibit 2.05(b)(ii)(D)</w:t>
      </w:r>
      <w:r>
        <w:rPr>
          <w:rFonts w:ascii="Arial" w:cs="Arial" w:eastAsia="Arial" w:hAnsi="Arial"/>
          <w:sz w:val="21"/>
          <w:szCs w:val="21"/>
          <w:color w:val="auto"/>
        </w:rPr>
        <w:t xml:space="preserve"> in respect of the Assumed Liabilities;</w:t>
      </w:r>
    </w:p>
    <w:p>
      <w:pPr>
        <w:spacing w:after="0" w:line="151" w:lineRule="exact"/>
        <w:rPr>
          <w:rFonts w:ascii="Arial" w:cs="Arial" w:eastAsia="Arial" w:hAnsi="Arial"/>
          <w:sz w:val="21"/>
          <w:szCs w:val="21"/>
          <w:color w:val="auto"/>
        </w:rPr>
      </w:pPr>
    </w:p>
    <w:p>
      <w:pPr>
        <w:ind w:left="1960" w:hanging="7"/>
        <w:spacing w:after="0" w:line="263" w:lineRule="auto"/>
        <w:tabs>
          <w:tab w:leader="none" w:pos="2455"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counterparts of the other Ancillary Agreements to which the Purchaser or any of its Affiliates is a party, duly executed by the Purchaser or such Affiliates, as applicable;</w:t>
      </w:r>
    </w:p>
    <w:p>
      <w:pPr>
        <w:spacing w:after="0" w:line="174" w:lineRule="exact"/>
        <w:rPr>
          <w:rFonts w:ascii="Arial" w:cs="Arial" w:eastAsia="Arial" w:hAnsi="Arial"/>
          <w:sz w:val="22"/>
          <w:szCs w:val="22"/>
          <w:color w:val="auto"/>
        </w:rPr>
      </w:pPr>
    </w:p>
    <w:p>
      <w:pPr>
        <w:ind w:left="2440" w:hanging="487"/>
        <w:spacing w:after="0"/>
        <w:tabs>
          <w:tab w:leader="none" w:pos="24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Purchaser’s Closing Certificate; and</w:t>
      </w:r>
    </w:p>
    <w:p>
      <w:pPr>
        <w:spacing w:after="0" w:line="219" w:lineRule="exact"/>
        <w:rPr>
          <w:rFonts w:ascii="Arial" w:cs="Arial" w:eastAsia="Arial" w:hAnsi="Arial"/>
          <w:sz w:val="22"/>
          <w:szCs w:val="22"/>
          <w:color w:val="auto"/>
        </w:rPr>
      </w:pPr>
    </w:p>
    <w:p>
      <w:pPr>
        <w:ind w:left="2460" w:hanging="507"/>
        <w:spacing w:after="0"/>
        <w:tabs>
          <w:tab w:leader="none" w:pos="24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counterparts to the Support Agreement duly executed by Purchaser.</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Amendment to Section 2.06 of the SAPA</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Notwithstanding anything to the contrary set forth in Section 2.06(d) of the SAPA, as amended by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of this Amendment Agreement, any repayments to be made by the Purchaser, for itself and on behalf of the Transferred Subsidiaries, to the Seller, immediately after Closing pursuant to Section 2.06(d) of the SAPA (the </w:t>
      </w:r>
      <w:r>
        <w:rPr>
          <w:rFonts w:ascii="Arial" w:cs="Arial" w:eastAsia="Arial" w:hAnsi="Arial"/>
          <w:sz w:val="22"/>
          <w:szCs w:val="22"/>
          <w:b w:val="1"/>
          <w:bCs w:val="1"/>
          <w:i w:val="1"/>
          <w:iCs w:val="1"/>
          <w:color w:val="auto"/>
        </w:rPr>
        <w:t>Intra-Group Payables Escrow Amount</w:t>
      </w:r>
      <w:r>
        <w:rPr>
          <w:rFonts w:ascii="Arial" w:cs="Arial" w:eastAsia="Arial" w:hAnsi="Arial"/>
          <w:sz w:val="22"/>
          <w:szCs w:val="22"/>
          <w:color w:val="auto"/>
        </w:rPr>
        <w:t>) shall be made by the Purchaser to the UBS Escrow Account on December 30, 2014 and held in escrow pending the Closing pursuant to the terms and conditions of the UBS Escrow Agreement.</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9"/>
          <w:szCs w:val="19"/>
          <w:b w:val="1"/>
          <w:bCs w:val="1"/>
          <w:color w:val="auto"/>
        </w:rPr>
        <w:t>Annex 2.05A and Annex 2.05 B</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hereto shall be inserted at the end of the SAPA as </w:t>
      </w:r>
      <w:r>
        <w:rPr>
          <w:rFonts w:ascii="Arial" w:cs="Arial" w:eastAsia="Arial" w:hAnsi="Arial"/>
          <w:sz w:val="22"/>
          <w:szCs w:val="22"/>
          <w:u w:val="single" w:color="auto"/>
          <w:color w:val="auto"/>
        </w:rPr>
        <w:t>Annex 2.05A</w:t>
      </w:r>
      <w:r>
        <w:rPr>
          <w:rFonts w:ascii="Arial" w:cs="Arial" w:eastAsia="Arial" w:hAnsi="Arial"/>
          <w:sz w:val="22"/>
          <w:szCs w:val="22"/>
          <w:color w:val="auto"/>
        </w:rPr>
        <w:t xml:space="preserve"> and the form of UBS Escrow Agreement shall be attached thereto, and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hereto shall be inserted at the end of the SAPA as </w:t>
      </w:r>
      <w:r>
        <w:rPr>
          <w:rFonts w:ascii="Arial" w:cs="Arial" w:eastAsia="Arial" w:hAnsi="Arial"/>
          <w:sz w:val="22"/>
          <w:szCs w:val="22"/>
          <w:u w:val="single" w:color="auto"/>
          <w:color w:val="auto"/>
        </w:rPr>
        <w:t>Annex 2.05B</w:t>
      </w:r>
      <w:r>
        <w:rPr>
          <w:rFonts w:ascii="Arial" w:cs="Arial" w:eastAsia="Arial" w:hAnsi="Arial"/>
          <w:sz w:val="22"/>
          <w:szCs w:val="22"/>
          <w:color w:val="auto"/>
        </w:rPr>
        <w:t xml:space="preserve"> and the form of Credit Suisse Escrow Agreement shall be attached thereto.</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2.05</w:t>
      </w:r>
      <w:r>
        <w:rPr>
          <w:sz w:val="20"/>
          <w:szCs w:val="20"/>
          <w:color w:val="auto"/>
        </w:rPr>
        <w:tab/>
      </w:r>
      <w:r>
        <w:rPr>
          <w:rFonts w:ascii="Arial" w:cs="Arial" w:eastAsia="Arial" w:hAnsi="Arial"/>
          <w:sz w:val="19"/>
          <w:szCs w:val="19"/>
          <w:b w:val="1"/>
          <w:bCs w:val="1"/>
          <w:color w:val="auto"/>
        </w:rPr>
        <w:t>Annex 2.05(c)</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6</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u w:val="single" w:color="auto"/>
          <w:color w:val="auto"/>
        </w:rPr>
        <w:t>Annex III</w:t>
      </w:r>
      <w:r>
        <w:rPr>
          <w:rFonts w:ascii="Arial" w:cs="Arial" w:eastAsia="Arial" w:hAnsi="Arial"/>
          <w:sz w:val="22"/>
          <w:szCs w:val="22"/>
          <w:color w:val="auto"/>
        </w:rPr>
        <w:t xml:space="preserve"> hereto shall be inserted at the end of the SAPA as </w:t>
      </w:r>
      <w:r>
        <w:rPr>
          <w:rFonts w:ascii="Arial" w:cs="Arial" w:eastAsia="Arial" w:hAnsi="Arial"/>
          <w:sz w:val="22"/>
          <w:szCs w:val="22"/>
          <w:u w:val="single" w:color="auto"/>
          <w:color w:val="auto"/>
        </w:rPr>
        <w:t>Annex 2.05(c)</w:t>
      </w:r>
      <w:r>
        <w:rPr>
          <w:rFonts w:ascii="Arial" w:cs="Arial" w:eastAsia="Arial" w:hAnsi="Arial"/>
          <w:sz w:val="22"/>
          <w:szCs w:val="22"/>
          <w:color w:val="auto"/>
        </w:rPr>
        <w:t>.</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2.06</w:t>
      </w:r>
      <w:r>
        <w:rPr>
          <w:sz w:val="20"/>
          <w:szCs w:val="20"/>
          <w:color w:val="auto"/>
        </w:rPr>
        <w:tab/>
      </w:r>
      <w:r>
        <w:rPr>
          <w:rFonts w:ascii="Arial" w:cs="Arial" w:eastAsia="Arial" w:hAnsi="Arial"/>
          <w:sz w:val="19"/>
          <w:szCs w:val="19"/>
          <w:b w:val="1"/>
          <w:bCs w:val="1"/>
          <w:color w:val="auto"/>
        </w:rPr>
        <w:t>Annex 2.05(d)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Annex IV</w:t>
      </w:r>
      <w:r>
        <w:rPr>
          <w:rFonts w:ascii="Arial" w:cs="Arial" w:eastAsia="Arial" w:hAnsi="Arial"/>
          <w:sz w:val="22"/>
          <w:szCs w:val="22"/>
          <w:color w:val="auto"/>
        </w:rPr>
        <w:t xml:space="preserve"> hereto shall be inserted at the end of the SAPA as </w:t>
      </w:r>
      <w:r>
        <w:rPr>
          <w:rFonts w:ascii="Arial" w:cs="Arial" w:eastAsia="Arial" w:hAnsi="Arial"/>
          <w:sz w:val="22"/>
          <w:szCs w:val="22"/>
          <w:u w:val="single" w:color="auto"/>
          <w:color w:val="auto"/>
        </w:rPr>
        <w:t>Annex 2.05(d)</w:t>
      </w:r>
      <w:r>
        <w:rPr>
          <w:rFonts w:ascii="Arial" w:cs="Arial" w:eastAsia="Arial" w:hAnsi="Arial"/>
          <w:sz w:val="22"/>
          <w:szCs w:val="22"/>
          <w:color w:val="auto"/>
        </w:rPr>
        <w:t>.</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color w:val="auto"/>
        </w:rPr>
        <w:t>Amendment to Annex C – Selling Affiliates</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list of Selling Affiliates attached as Annex C to the SAPA is hereby deleted and replaced in its entirety by the revised Annex C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2.08</w:t>
      </w:r>
      <w:r>
        <w:rPr>
          <w:sz w:val="20"/>
          <w:szCs w:val="20"/>
          <w:color w:val="auto"/>
        </w:rPr>
        <w:tab/>
      </w:r>
      <w:r>
        <w:rPr>
          <w:rFonts w:ascii="Arial" w:cs="Arial" w:eastAsia="Arial" w:hAnsi="Arial"/>
          <w:sz w:val="19"/>
          <w:szCs w:val="19"/>
          <w:b w:val="1"/>
          <w:bCs w:val="1"/>
          <w:color w:val="auto"/>
        </w:rPr>
        <w:t>Replacement of Lek S.A.</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references to “Lek S.A.” as a Selling Affiliate in the SAPA and the Disclosure Schedule are hereby deleted and replaced in their entirety with “Novartis Poland Sp. z.o.o.”.</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2.09</w:t>
      </w:r>
      <w:r>
        <w:rPr>
          <w:sz w:val="20"/>
          <w:szCs w:val="20"/>
          <w:color w:val="auto"/>
        </w:rPr>
        <w:tab/>
      </w:r>
      <w:r>
        <w:rPr>
          <w:rFonts w:ascii="Arial" w:cs="Arial" w:eastAsia="Arial" w:hAnsi="Arial"/>
          <w:sz w:val="19"/>
          <w:szCs w:val="19"/>
          <w:b w:val="1"/>
          <w:bCs w:val="1"/>
          <w:color w:val="auto"/>
        </w:rPr>
        <w:t>Replacement of Novartis Saglik A.S.</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references to “Novartis Saglik A.S.” as a Selling Affiliate in the SAPA and the Disclosure Schedule are hereby deleted and replaced in their entirety with “Novartis Sağlık, Gıda ve Tarım Ürünleri Sanayi ve Ticaret A.Ş.”.</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Amendment to Section 2.01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of the SAPA is hereby amended by inserting the following at the end of that Section:</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 provided, that, neither the Seller nor its Affiliates shall transfer the assets set forth on </w:t>
      </w:r>
      <w:r>
        <w:rPr>
          <w:rFonts w:ascii="Arial" w:cs="Arial" w:eastAsia="Arial" w:hAnsi="Arial"/>
          <w:sz w:val="22"/>
          <w:szCs w:val="22"/>
          <w:u w:val="single" w:color="auto"/>
          <w:color w:val="auto"/>
        </w:rPr>
        <w:t>Annex 2.01(b)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Retained IT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Assets</w:t>
      </w:r>
      <w:r>
        <w:rPr>
          <w:rFonts w:ascii="Arial" w:cs="Arial" w:eastAsia="Arial" w:hAnsi="Arial"/>
          <w:sz w:val="22"/>
          <w:szCs w:val="22"/>
          <w:color w:val="auto"/>
        </w:rPr>
        <w:t>) to the Purchaser or its Affiliates at Closing, but instead shall transfer the Retained IT Assets to the Purchaser or 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Affiliates pursuant to this Agreement if Purchaser provides notice thereof under Section 10.02 of the Transition Services Agreement and on the date so required under such Section.”</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Amendment to Section 2.03 of the SAPA</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Section 2.03(b) of the SAPA is hereby amended by inserting at the end of the first sentence after “in accordance with the Closing Statement Principles” the following: “and setting forth the breakdown of the Initial Purchase Price to be paid in U.S. Dollars and each other currency required by Applicable Law, including, the applicable conversion rate as determined in accordance with Section 11.17”.</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Amendment to Section 2.05 of the SAPA</w:t>
      </w:r>
    </w:p>
    <w:p>
      <w:pPr>
        <w:spacing w:after="0" w:line="239" w:lineRule="exact"/>
        <w:rPr>
          <w:sz w:val="20"/>
          <w:szCs w:val="20"/>
          <w:color w:val="auto"/>
        </w:rPr>
      </w:pPr>
    </w:p>
    <w:p>
      <w:pPr>
        <w:ind w:left="1140" w:hanging="484"/>
        <w:spacing w:after="0"/>
        <w:tabs>
          <w:tab w:leader="none" w:pos="11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Section 2.05(a) of the SAPA is hereby amended by:</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deleting the word “and” at the end of the subsection (v);</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deleting and replacing the period at the end of subsection (vi) with “; and”; and</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7</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5" w:name="page116"/>
    <w:bookmarkEnd w:id="115"/>
    <w:p>
      <w:pPr>
        <w:ind w:left="1960" w:hanging="655"/>
        <w:spacing w:after="0" w:line="263" w:lineRule="auto"/>
        <w:tabs>
          <w:tab w:leader="none" w:pos="1960" w:val="left"/>
        </w:tabs>
        <w:numPr>
          <w:ilvl w:val="1"/>
          <w:numId w:val="68"/>
        </w:numPr>
        <w:rPr>
          <w:rFonts w:ascii="Arial" w:cs="Arial" w:eastAsia="Arial" w:hAnsi="Arial"/>
          <w:sz w:val="22"/>
          <w:szCs w:val="22"/>
          <w:color w:val="auto"/>
        </w:rPr>
      </w:pPr>
      <w:r>
        <w:rPr>
          <w:rFonts w:ascii="Arial" w:cs="Arial" w:eastAsia="Arial" w:hAnsi="Arial"/>
          <w:sz w:val="22"/>
          <w:szCs w:val="22"/>
          <w:color w:val="auto"/>
        </w:rPr>
        <w:t>inserting the following provision as subsection (vii) “counterparts to the Support Agreement duly executed by the Seller.”</w:t>
      </w:r>
    </w:p>
    <w:p>
      <w:pPr>
        <w:spacing w:after="0" w:line="174" w:lineRule="exact"/>
        <w:rPr>
          <w:rFonts w:ascii="Arial" w:cs="Arial" w:eastAsia="Arial" w:hAnsi="Arial"/>
          <w:sz w:val="22"/>
          <w:szCs w:val="22"/>
          <w:color w:val="auto"/>
        </w:rPr>
      </w:pPr>
    </w:p>
    <w:p>
      <w:pPr>
        <w:jc w:val="both"/>
        <w:ind w:left="660" w:hanging="4"/>
        <w:spacing w:after="0" w:line="271" w:lineRule="auto"/>
        <w:tabs>
          <w:tab w:leader="none" w:pos="1092" w:val="left"/>
        </w:tabs>
        <w:numPr>
          <w:ilvl w:val="0"/>
          <w:numId w:val="69"/>
        </w:numPr>
        <w:rPr>
          <w:rFonts w:ascii="Arial" w:cs="Arial" w:eastAsia="Arial" w:hAnsi="Arial"/>
          <w:sz w:val="21"/>
          <w:szCs w:val="21"/>
          <w:color w:val="auto"/>
        </w:rPr>
      </w:pPr>
      <w:r>
        <w:rPr>
          <w:rFonts w:ascii="Arial" w:cs="Arial" w:eastAsia="Arial" w:hAnsi="Arial"/>
          <w:sz w:val="21"/>
          <w:szCs w:val="21"/>
          <w:color w:val="auto"/>
        </w:rPr>
        <w:t>Section 2.05(b) of the SAPA is hereby amended by adding “or, in the case of the transfer of the Business in Argentina, Colombia, India and South Africa, and the Shares of the U.S. Transferred Subsidiary and Novartis Saùde Animal Ltda. in each case, as contemplated by this Agreement, its Affiliates, as applicable” after “Seller”.</w:t>
      </w:r>
    </w:p>
    <w:p>
      <w:pPr>
        <w:spacing w:after="0" w:line="167" w:lineRule="exact"/>
        <w:rPr>
          <w:rFonts w:ascii="Arial" w:cs="Arial" w:eastAsia="Arial" w:hAnsi="Arial"/>
          <w:sz w:val="21"/>
          <w:szCs w:val="21"/>
          <w:color w:val="auto"/>
        </w:rPr>
      </w:pPr>
    </w:p>
    <w:p>
      <w:pPr>
        <w:ind w:left="1180" w:hanging="524"/>
        <w:spacing w:after="0"/>
        <w:tabs>
          <w:tab w:leader="none" w:pos="11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Section 2.05(b)(i) of the SAPA is hereby deleted and replaced in its entirety as follows:</w:t>
      </w:r>
    </w:p>
    <w:p>
      <w:pPr>
        <w:spacing w:after="0" w:line="220"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“cash in an aggregate amount equal to the Initial Purchase Price, paid in U.S. Dollars and in such local currencies as is required by Applicable Law, by means of wire transfers of immediately available funds to such account or accounts as shall be designated by the Seller no later than five (5) Business Days prior to the Closing Date;”.</w:t>
      </w:r>
    </w:p>
    <w:p>
      <w:pPr>
        <w:spacing w:after="0" w:line="168"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2.05(b) of the SAPA is hereby amended by:</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deleting “and” at the end of the subsection (iv);</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deleting and replacing the period at the end of subsection (v) with “; and”; and</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inserting the following provision as subsection (vii) of that Section: “counterparts to the Support Agreement duly executed by the Purchaser.”</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Amendment to Section 2.06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2.06 of the SAPA is hereby amended as follows:</w:t>
      </w:r>
    </w:p>
    <w:p>
      <w:pPr>
        <w:spacing w:after="0" w:line="220" w:lineRule="exact"/>
        <w:rPr>
          <w:sz w:val="20"/>
          <w:szCs w:val="20"/>
          <w:color w:val="auto"/>
        </w:rPr>
      </w:pPr>
    </w:p>
    <w:p>
      <w:pPr>
        <w:ind w:left="660" w:right="3020" w:hanging="4"/>
        <w:spacing w:after="0" w:line="448" w:lineRule="auto"/>
        <w:tabs>
          <w:tab w:leader="none" w:pos="1086" w:val="left"/>
        </w:tabs>
        <w:numPr>
          <w:ilvl w:val="0"/>
          <w:numId w:val="71"/>
        </w:numPr>
        <w:rPr>
          <w:rFonts w:ascii="Arial" w:cs="Arial" w:eastAsia="Arial" w:hAnsi="Arial"/>
          <w:sz w:val="22"/>
          <w:szCs w:val="22"/>
          <w:color w:val="auto"/>
        </w:rPr>
      </w:pPr>
      <w:r>
        <w:rPr>
          <w:rFonts w:ascii="Arial" w:cs="Arial" w:eastAsia="Arial" w:hAnsi="Arial"/>
          <w:sz w:val="22"/>
          <w:szCs w:val="22"/>
          <w:color w:val="auto"/>
        </w:rPr>
        <w:t>Section 2.06(a) of the SAPA is hereby deleted and replaced in its entirety as follows: “Immediately following the Closing,</w:t>
      </w:r>
    </w:p>
    <w:p>
      <w:pPr>
        <w:spacing w:after="0" w:line="1" w:lineRule="exact"/>
        <w:rPr>
          <w:sz w:val="20"/>
          <w:szCs w:val="20"/>
          <w:color w:val="auto"/>
        </w:rPr>
      </w:pPr>
    </w:p>
    <w:p>
      <w:pPr>
        <w:jc w:val="both"/>
        <w:ind w:left="660" w:hanging="4"/>
        <w:spacing w:after="0" w:line="263" w:lineRule="auto"/>
        <w:tabs>
          <w:tab w:leader="none" w:pos="1134"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other than the Intra-Group Non-Trade Payables owed by certain Transferred Subsidiaries to the Seller as set forth on </w:t>
      </w:r>
      <w:r>
        <w:rPr>
          <w:rFonts w:ascii="Arial" w:cs="Arial" w:eastAsia="Arial" w:hAnsi="Arial"/>
          <w:sz w:val="21"/>
          <w:szCs w:val="21"/>
          <w:u w:val="single" w:color="auto"/>
          <w:color w:val="auto"/>
        </w:rPr>
        <w:t>Annex 2.06(a)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Outstanding Intra-Group Non-Trade Payables</w:t>
      </w:r>
      <w:r>
        <w:rPr>
          <w:rFonts w:ascii="Arial" w:cs="Arial" w:eastAsia="Arial" w:hAnsi="Arial"/>
          <w:sz w:val="21"/>
          <w:szCs w:val="21"/>
          <w:color w:val="auto"/>
        </w:rPr>
        <w:t xml:space="preserve">), the Purchaser shall cause each Transferred Subsidiary to repay to the relevant member of the Seller’s Group the amount of any Estimated Closing Date Intra-Group Non-Trade Payables and shall acknowledge, on behalf of each Transferred Subsidiary, the payment of the Estimated Closing Date Intra-Group Non-Trade Receivables in accordance with </w:t>
      </w:r>
      <w:r>
        <w:rPr>
          <w:rFonts w:ascii="Arial" w:cs="Arial" w:eastAsia="Arial" w:hAnsi="Arial"/>
          <w:sz w:val="21"/>
          <w:szCs w:val="21"/>
          <w:u w:val="single" w:color="auto"/>
          <w:color w:val="auto"/>
        </w:rPr>
        <w:t>Section 2.06(b)</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660" w:hanging="4"/>
        <w:spacing w:after="0" w:line="302" w:lineRule="auto"/>
        <w:tabs>
          <w:tab w:leader="none" w:pos="1202"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Purchaser shall, or shall cause its Affiliate to, purchase from the Seller, and the Seller shall sell to the Purchaser or its Affiliate, as designated by the Purchaser, all of the Seller’s right, title and interest in and to the Outstanding Intra-Group Non-Trade Payables, and as consideration therefor, the Purchaser and its designated Affiliate, together, shall pay to the Seller an amount equal to the amount owed by the Transferred Subsidiaries to the</w:t>
      </w:r>
    </w:p>
    <w:p>
      <w:pPr>
        <w:spacing w:after="0" w:line="375"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8</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6" w:name="page117"/>
    <w:bookmarkEnd w:id="116"/>
    <w:p>
      <w:pPr>
        <w:ind w:left="660"/>
        <w:spacing w:after="0" w:line="263" w:lineRule="auto"/>
        <w:rPr>
          <w:sz w:val="20"/>
          <w:szCs w:val="20"/>
          <w:color w:val="auto"/>
        </w:rPr>
      </w:pPr>
      <w:r>
        <w:rPr>
          <w:rFonts w:ascii="Arial" w:cs="Arial" w:eastAsia="Arial" w:hAnsi="Arial"/>
          <w:sz w:val="22"/>
          <w:szCs w:val="22"/>
          <w:color w:val="auto"/>
        </w:rPr>
        <w:t>Seller or the applicable member of the Seller’s Group, in the aggregate, under such Outstanding Intra-Group Non-Trade Payables.”</w:t>
      </w:r>
    </w:p>
    <w:p>
      <w:pPr>
        <w:spacing w:after="0" w:line="175"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Section 2.06(d) of the SAPA is hereby amended by inserting:</w:t>
      </w:r>
    </w:p>
    <w:p>
      <w:pPr>
        <w:spacing w:after="0" w:line="219" w:lineRule="exact"/>
        <w:rPr>
          <w:rFonts w:ascii="Arial" w:cs="Arial" w:eastAsia="Arial" w:hAnsi="Arial"/>
          <w:sz w:val="22"/>
          <w:szCs w:val="22"/>
          <w:color w:val="auto"/>
        </w:rPr>
      </w:pPr>
    </w:p>
    <w:p>
      <w:pPr>
        <w:jc w:val="both"/>
        <w:ind w:left="1300" w:firstLine="5"/>
        <w:spacing w:after="0" w:line="247" w:lineRule="auto"/>
        <w:tabs>
          <w:tab w:leader="none" w:pos="1664" w:val="left"/>
        </w:tabs>
        <w:numPr>
          <w:ilvl w:val="1"/>
          <w:numId w:val="73"/>
        </w:numPr>
        <w:rPr>
          <w:rFonts w:ascii="Arial" w:cs="Arial" w:eastAsia="Arial" w:hAnsi="Arial"/>
          <w:sz w:val="22"/>
          <w:szCs w:val="22"/>
          <w:color w:val="auto"/>
        </w:rPr>
      </w:pPr>
      <w:r>
        <w:rPr>
          <w:rFonts w:ascii="Arial" w:cs="Arial" w:eastAsia="Arial" w:hAnsi="Arial"/>
          <w:sz w:val="22"/>
          <w:szCs w:val="22"/>
          <w:color w:val="auto"/>
        </w:rPr>
        <w:t>at the end of the first sentence of that Section the words “other than any such repayment, or adjustment to such repayment, owed by Novartis Tiergesundheit GmbH to Novartis Deutschland GmbH pursuant to that certain domination and profit and loss pooling agreement (</w:t>
      </w:r>
      <w:r>
        <w:rPr>
          <w:rFonts w:ascii="Arial" w:cs="Arial" w:eastAsia="Arial" w:hAnsi="Arial"/>
          <w:sz w:val="22"/>
          <w:szCs w:val="22"/>
          <w:i w:val="1"/>
          <w:iCs w:val="1"/>
          <w:color w:val="auto"/>
        </w:rPr>
        <w:t>Beherrschungs- und Gewinnabführungsvertrag</w:t>
      </w:r>
      <w:r>
        <w:rPr>
          <w:rFonts w:ascii="Arial" w:cs="Arial" w:eastAsia="Arial" w:hAnsi="Arial"/>
          <w:sz w:val="22"/>
          <w:szCs w:val="22"/>
          <w:color w:val="auto"/>
        </w:rPr>
        <w:t>) dated December 6, 1996, entered into between Novartis Deutschland GmbH as controlling company and Novartis Tiergesundheit GmbH as controlled entity, which shall be settled by direct payments between Novartis Tiergesundheit GmbH and Novartis Deutschland GmbH.</w:t>
      </w:r>
    </w:p>
    <w:p>
      <w:pPr>
        <w:spacing w:after="0" w:line="193" w:lineRule="exact"/>
        <w:rPr>
          <w:rFonts w:ascii="Arial" w:cs="Arial" w:eastAsia="Arial" w:hAnsi="Arial"/>
          <w:sz w:val="22"/>
          <w:szCs w:val="22"/>
          <w:color w:val="auto"/>
        </w:rPr>
      </w:pPr>
    </w:p>
    <w:p>
      <w:pPr>
        <w:jc w:val="both"/>
        <w:ind w:left="1300" w:firstLine="5"/>
        <w:spacing w:after="0" w:line="297" w:lineRule="auto"/>
        <w:tabs>
          <w:tab w:leader="none" w:pos="1756"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into the second sentence of that Section, after “Any such payments”, the words “(other than any payment made (or required to be made) between Novartis Tiergesundheit GmbH and Novartis Deutschland GmbH pursuant to this Section </w:t>
      </w:r>
      <w:r>
        <w:rPr>
          <w:rFonts w:ascii="Arial" w:cs="Arial" w:eastAsia="Arial" w:hAnsi="Arial"/>
          <w:sz w:val="19"/>
          <w:szCs w:val="19"/>
          <w:u w:val="single" w:color="auto"/>
          <w:color w:val="auto"/>
        </w:rPr>
        <w:t>2.06(d)</w:t>
      </w:r>
      <w:r>
        <w:rPr>
          <w:rFonts w:ascii="Arial" w:cs="Arial" w:eastAsia="Arial" w:hAnsi="Arial"/>
          <w:sz w:val="19"/>
          <w:szCs w:val="19"/>
          <w:color w:val="auto"/>
        </w:rPr>
        <w:t xml:space="preserve">)” and after “to produce a net sum” the words “(for the avoidance of doubt, any payment made (or required to be made) between Novartis Tiergesundheit GmbH to Novartis Deutschland GmbH pursuant to this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shall be taken into account as payment due by the Purchaser).”</w:t>
      </w:r>
    </w:p>
    <w:p>
      <w:pPr>
        <w:spacing w:after="0" w:line="14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Amendment to Article 2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Article 2 of the SAPA is hereby amended by adding the following provision as Sections 2.12 and 2.13 thereof:</w:t>
      </w:r>
    </w:p>
    <w:p>
      <w:pPr>
        <w:spacing w:after="0" w:line="21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Deferred India Closing</w:t>
      </w:r>
    </w:p>
    <w:p>
      <w:pPr>
        <w:spacing w:after="0" w:line="226" w:lineRule="exact"/>
        <w:rPr>
          <w:sz w:val="20"/>
          <w:szCs w:val="20"/>
          <w:color w:val="auto"/>
        </w:rPr>
      </w:pPr>
    </w:p>
    <w:p>
      <w:pPr>
        <w:jc w:val="both"/>
        <w:ind w:left="660" w:hanging="4"/>
        <w:spacing w:after="0" w:line="290" w:lineRule="auto"/>
        <w:tabs>
          <w:tab w:leader="none" w:pos="1170"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sale, conveyance, transfer, assignment and delivery to the Purchaser or one or more of its Affiliates of the Transferred Assets (the </w:t>
      </w:r>
      <w:r>
        <w:rPr>
          <w:rFonts w:ascii="Arial" w:cs="Arial" w:eastAsia="Arial" w:hAnsi="Arial"/>
          <w:sz w:val="19"/>
          <w:szCs w:val="19"/>
          <w:b w:val="1"/>
          <w:bCs w:val="1"/>
          <w:i w:val="1"/>
          <w:iCs w:val="1"/>
          <w:color w:val="auto"/>
        </w:rPr>
        <w:t>India Transferred Assets</w:t>
      </w:r>
      <w:r>
        <w:rPr>
          <w:rFonts w:ascii="Arial" w:cs="Arial" w:eastAsia="Arial" w:hAnsi="Arial"/>
          <w:sz w:val="19"/>
          <w:szCs w:val="19"/>
          <w:color w:val="auto"/>
        </w:rPr>
        <w:t xml:space="preserve">) and the assumption by the Purchaser or one or more of its Affiliates of the Assumed Liabilities (the </w:t>
      </w:r>
      <w:r>
        <w:rPr>
          <w:rFonts w:ascii="Arial" w:cs="Arial" w:eastAsia="Arial" w:hAnsi="Arial"/>
          <w:sz w:val="19"/>
          <w:szCs w:val="19"/>
          <w:b w:val="1"/>
          <w:bCs w:val="1"/>
          <w:i w:val="1"/>
          <w:iCs w:val="1"/>
          <w:color w:val="auto"/>
        </w:rPr>
        <w:t>India Assumed Liabilities</w:t>
      </w:r>
      <w:r>
        <w:rPr>
          <w:rFonts w:ascii="Arial" w:cs="Arial" w:eastAsia="Arial" w:hAnsi="Arial"/>
          <w:sz w:val="19"/>
          <w:szCs w:val="19"/>
          <w:color w:val="auto"/>
        </w:rPr>
        <w:t xml:space="preserve">), in each case, of the Business in India (the India Transferred Assets and the Assumed Liabilities, collectively, the </w:t>
      </w:r>
      <w:r>
        <w:rPr>
          <w:rFonts w:ascii="Arial" w:cs="Arial" w:eastAsia="Arial" w:hAnsi="Arial"/>
          <w:sz w:val="19"/>
          <w:szCs w:val="19"/>
          <w:b w:val="1"/>
          <w:bCs w:val="1"/>
          <w:i w:val="1"/>
          <w:iCs w:val="1"/>
          <w:color w:val="auto"/>
        </w:rPr>
        <w:t>India Business</w:t>
      </w:r>
      <w:r>
        <w:rPr>
          <w:rFonts w:ascii="Arial" w:cs="Arial" w:eastAsia="Arial" w:hAnsi="Arial"/>
          <w:sz w:val="19"/>
          <w:szCs w:val="19"/>
          <w:color w:val="auto"/>
        </w:rPr>
        <w:t xml:space="preserve">) shall occur on the later of (i) the Closing and (ii) on the last Business Day of the month in which the India Unconditional Date falls (the </w:t>
      </w:r>
      <w:r>
        <w:rPr>
          <w:rFonts w:ascii="Arial" w:cs="Arial" w:eastAsia="Arial" w:hAnsi="Arial"/>
          <w:sz w:val="19"/>
          <w:szCs w:val="19"/>
          <w:b w:val="1"/>
          <w:bCs w:val="1"/>
          <w:i w:val="1"/>
          <w:iCs w:val="1"/>
          <w:color w:val="auto"/>
        </w:rPr>
        <w:t>Deferred India Closing Date</w:t>
      </w:r>
      <w:r>
        <w:rPr>
          <w:rFonts w:ascii="Arial" w:cs="Arial" w:eastAsia="Arial" w:hAnsi="Arial"/>
          <w:sz w:val="19"/>
          <w:szCs w:val="19"/>
          <w:color w:val="auto"/>
        </w:rPr>
        <w:t>). For purposes of this Agreement, the</w:t>
      </w:r>
      <w:r>
        <w:rPr>
          <w:rFonts w:ascii="Arial" w:cs="Arial" w:eastAsia="Arial" w:hAnsi="Arial"/>
          <w:sz w:val="19"/>
          <w:szCs w:val="19"/>
          <w:b w:val="1"/>
          <w:bCs w:val="1"/>
          <w:i w:val="1"/>
          <w:iCs w:val="1"/>
          <w:color w:val="auto"/>
        </w:rPr>
        <w:t xml:space="preserve"> India Unconditional Date </w:t>
      </w:r>
      <w:r>
        <w:rPr>
          <w:rFonts w:ascii="Arial" w:cs="Arial" w:eastAsia="Arial" w:hAnsi="Arial"/>
          <w:sz w:val="19"/>
          <w:szCs w:val="19"/>
          <w:color w:val="auto"/>
        </w:rPr>
        <w:t>means the first Business Day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 India after the Purchaser obtains written approval (the </w:t>
      </w:r>
      <w:r>
        <w:rPr>
          <w:rFonts w:ascii="Arial" w:cs="Arial" w:eastAsia="Arial" w:hAnsi="Arial"/>
          <w:sz w:val="19"/>
          <w:szCs w:val="19"/>
          <w:b w:val="1"/>
          <w:bCs w:val="1"/>
          <w:i w:val="1"/>
          <w:iCs w:val="1"/>
          <w:color w:val="auto"/>
        </w:rPr>
        <w:t>FIPB Approval</w:t>
      </w:r>
      <w:r>
        <w:rPr>
          <w:rFonts w:ascii="Arial" w:cs="Arial" w:eastAsia="Arial" w:hAnsi="Arial"/>
          <w:sz w:val="19"/>
          <w:szCs w:val="19"/>
          <w:color w:val="auto"/>
        </w:rPr>
        <w:t>) from the Foreign Investment Promotion Board of India permitting the Purchaser to purchase the India Business.</w:t>
      </w:r>
    </w:p>
    <w:p>
      <w:pPr>
        <w:spacing w:after="0" w:line="156" w:lineRule="exact"/>
        <w:rPr>
          <w:rFonts w:ascii="Arial" w:cs="Arial" w:eastAsia="Arial" w:hAnsi="Arial"/>
          <w:sz w:val="19"/>
          <w:szCs w:val="19"/>
          <w:color w:val="auto"/>
        </w:rPr>
      </w:pPr>
    </w:p>
    <w:p>
      <w:pPr>
        <w:jc w:val="both"/>
        <w:ind w:left="660" w:hanging="4"/>
        <w:spacing w:after="0" w:line="250" w:lineRule="auto"/>
        <w:tabs>
          <w:tab w:leader="none" w:pos="1183"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The sale, conveyance, transfer, assignment and delivery of the India Business shall take place on the Deferred India Closing Date at a closing (the </w:t>
      </w:r>
      <w:r>
        <w:rPr>
          <w:rFonts w:ascii="Arial" w:cs="Arial" w:eastAsia="Arial" w:hAnsi="Arial"/>
          <w:sz w:val="22"/>
          <w:szCs w:val="22"/>
          <w:b w:val="1"/>
          <w:bCs w:val="1"/>
          <w:i w:val="1"/>
          <w:iCs w:val="1"/>
          <w:color w:val="auto"/>
        </w:rPr>
        <w:t>Deferred India Closing</w:t>
      </w:r>
      <w:r>
        <w:rPr>
          <w:rFonts w:ascii="Arial" w:cs="Arial" w:eastAsia="Arial" w:hAnsi="Arial"/>
          <w:sz w:val="22"/>
          <w:szCs w:val="22"/>
          <w:color w:val="auto"/>
        </w:rPr>
        <w:t>) at the offices of Freshfields Bruckhaus Deringer US LLP, 601 Lexington Avenue, 31st Floor, New York, NY 10022, at 10:00 a.m., in New York City, New York, or at such other time and at such other location as is agreed between the Parties.</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9</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7" w:name="page118"/>
    <w:bookmarkEnd w:id="117"/>
    <w:p>
      <w:pPr>
        <w:ind w:left="1100" w:hanging="444"/>
        <w:spacing w:after="0"/>
        <w:tabs>
          <w:tab w:leader="none" w:pos="1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At the Deferred India Closing:</w:t>
      </w:r>
    </w:p>
    <w:p>
      <w:pPr>
        <w:spacing w:after="0" w:line="219" w:lineRule="exact"/>
        <w:rPr>
          <w:rFonts w:ascii="Arial" w:cs="Arial" w:eastAsia="Arial" w:hAnsi="Arial"/>
          <w:sz w:val="22"/>
          <w:szCs w:val="22"/>
          <w:color w:val="auto"/>
        </w:rPr>
      </w:pPr>
    </w:p>
    <w:p>
      <w:pPr>
        <w:jc w:val="both"/>
        <w:ind w:left="1300" w:firstLine="5"/>
        <w:spacing w:after="0" w:line="271" w:lineRule="auto"/>
        <w:tabs>
          <w:tab w:leader="none" w:pos="1896"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the Parties shall, and shall cause their respective Affiliates to, execute and deliver such documents and instruments as may be reasonably necessary to evidence the transfer of the India Business, including those required to be delivered by them pursuant to </w:t>
      </w:r>
      <w:r>
        <w:rPr>
          <w:rFonts w:ascii="Arial" w:cs="Arial" w:eastAsia="Arial" w:hAnsi="Arial"/>
          <w:sz w:val="21"/>
          <w:szCs w:val="21"/>
          <w:u w:val="single" w:color="auto"/>
          <w:color w:val="auto"/>
        </w:rPr>
        <w:t>Sections 2.01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2.05</w:t>
      </w:r>
      <w:r>
        <w:rPr>
          <w:rFonts w:ascii="Arial" w:cs="Arial" w:eastAsia="Arial" w:hAnsi="Arial"/>
          <w:sz w:val="21"/>
          <w:szCs w:val="21"/>
          <w:color w:val="auto"/>
        </w:rPr>
        <w:t xml:space="preserve"> of this Agreement;</w:t>
      </w:r>
    </w:p>
    <w:p>
      <w:pPr>
        <w:spacing w:after="0" w:line="167" w:lineRule="exact"/>
        <w:rPr>
          <w:rFonts w:ascii="Arial" w:cs="Arial" w:eastAsia="Arial" w:hAnsi="Arial"/>
          <w:sz w:val="21"/>
          <w:szCs w:val="21"/>
          <w:color w:val="auto"/>
        </w:rPr>
      </w:pPr>
    </w:p>
    <w:p>
      <w:pPr>
        <w:jc w:val="both"/>
        <w:ind w:left="1300" w:firstLine="5"/>
        <w:spacing w:after="0" w:line="253" w:lineRule="auto"/>
        <w:tabs>
          <w:tab w:leader="none" w:pos="1844"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the Purchaser (or its designated Affiliate) shall pay 866,800,000 Indian Rupees, in cash, by means of a wire transfer of immediately available funds to such account or accounts as designated by the Seller in </w:t>
      </w:r>
      <w:r>
        <w:rPr>
          <w:rFonts w:ascii="Arial" w:cs="Arial" w:eastAsia="Arial" w:hAnsi="Arial"/>
          <w:sz w:val="22"/>
          <w:szCs w:val="22"/>
          <w:u w:val="single" w:color="auto"/>
          <w:color w:val="auto"/>
        </w:rPr>
        <w:t>Annex 2.05(c)</w:t>
      </w:r>
      <w:r>
        <w:rPr>
          <w:rFonts w:ascii="Arial" w:cs="Arial" w:eastAsia="Arial" w:hAnsi="Arial"/>
          <w:sz w:val="22"/>
          <w:szCs w:val="22"/>
          <w:color w:val="auto"/>
        </w:rPr>
        <w:t xml:space="preserve"> hereto as the “India Purchase Price Wire Details”; and</w:t>
      </w:r>
    </w:p>
    <w:p>
      <w:pPr>
        <w:spacing w:after="0" w:line="185" w:lineRule="exact"/>
        <w:rPr>
          <w:rFonts w:ascii="Arial" w:cs="Arial" w:eastAsia="Arial" w:hAnsi="Arial"/>
          <w:sz w:val="22"/>
          <w:szCs w:val="22"/>
          <w:color w:val="auto"/>
        </w:rPr>
      </w:pPr>
    </w:p>
    <w:p>
      <w:pPr>
        <w:jc w:val="both"/>
        <w:ind w:left="1300" w:firstLine="5"/>
        <w:spacing w:after="0" w:line="250" w:lineRule="auto"/>
        <w:tabs>
          <w:tab w:leader="none" w:pos="1903"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concurrently with </w:t>
      </w:r>
      <w:r>
        <w:rPr>
          <w:rFonts w:ascii="Arial" w:cs="Arial" w:eastAsia="Arial" w:hAnsi="Arial"/>
          <w:sz w:val="22"/>
          <w:szCs w:val="22"/>
          <w:u w:val="single" w:color="auto"/>
          <w:color w:val="auto"/>
        </w:rPr>
        <w:t>Section 2.12(c)(ii)</w:t>
      </w:r>
      <w:r>
        <w:rPr>
          <w:rFonts w:ascii="Arial" w:cs="Arial" w:eastAsia="Arial" w:hAnsi="Arial"/>
          <w:sz w:val="22"/>
          <w:szCs w:val="22"/>
          <w:color w:val="auto"/>
        </w:rPr>
        <w:t xml:space="preserve"> above, the Seller shall refund to the Purchaser an amount equal to the India Purchase Price Payment, denominated in U.S. Dollars, actually paid to the Seller at the Closing in respect of the India Business, in cash, by means of a wire transfer of immediately available funds to such account or accounts as designated by the Purchaser.</w:t>
      </w:r>
    </w:p>
    <w:p>
      <w:pPr>
        <w:spacing w:after="0" w:line="188" w:lineRule="exact"/>
        <w:rPr>
          <w:rFonts w:ascii="Arial" w:cs="Arial" w:eastAsia="Arial" w:hAnsi="Arial"/>
          <w:sz w:val="22"/>
          <w:szCs w:val="22"/>
          <w:color w:val="auto"/>
        </w:rPr>
      </w:pPr>
    </w:p>
    <w:p>
      <w:pPr>
        <w:jc w:val="both"/>
        <w:ind w:left="660" w:hanging="4"/>
        <w:spacing w:after="0" w:line="290" w:lineRule="auto"/>
        <w:tabs>
          <w:tab w:leader="none" w:pos="1173"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the Deferred India Closing is later than the Closing, during the period between the Closing and the Deferred India Closing (i) the benefits and burdens of the India Business shall be for the account of the Purchaser; (ii) no Leakage with respect to the India Business shall occur; (iii) all income, proceeds or other monies generated by the India Business, or received by the Seller or any member of the Seller’s Group (other than the India Business) for, or on behalf of the India Business, shall be held in trust for the account of, and the net profits (if any) paid to, the Purchaser or its Affiliates, as designated by the Purchaser, notwithstanding any other provision in the SAPA to the contrary, on the Deferred India Closing Date; and (iv) the Parties shall and shall cause their respective Affiliates to, use their respective best efforts to cooperate with each other to take such actions (including delivery of notice) that may be required to obtain the FIPB Approval.</w:t>
      </w:r>
    </w:p>
    <w:p>
      <w:pPr>
        <w:spacing w:after="0" w:line="156" w:lineRule="exact"/>
        <w:rPr>
          <w:rFonts w:ascii="Arial" w:cs="Arial" w:eastAsia="Arial" w:hAnsi="Arial"/>
          <w:sz w:val="19"/>
          <w:szCs w:val="19"/>
          <w:color w:val="auto"/>
        </w:rPr>
      </w:pPr>
    </w:p>
    <w:p>
      <w:pPr>
        <w:jc w:val="both"/>
        <w:ind w:left="660" w:hanging="4"/>
        <w:spacing w:after="0" w:line="288" w:lineRule="auto"/>
        <w:tabs>
          <w:tab w:leader="none" w:pos="1124"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Seller shall be liable to pay, and shall pay, to the Purchaser, or its designee, an amount equal to any Leakage that occurred with respect to the India Business in India, on a dollar-for-dollar basis without any deductions, within five (5) Business Days of a written request for payment from the Purchaser on or before (i) the date upon which the Proposed Closing Statement is deemed the Final Closing Statement pursuant 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if the Deferred India Closing Date occurs prior to the delivery by the Seller of the Proposed Closing Statement; or (ii) the fourteen (14) month anniversary of the Deferred India Closing Date, if the Deferred India Closing Date occurs after the delivery by the Seller of the Proposed Closing Statement. In the event of any dispute regarding the calculation of Leakage with respect to the India Business, the Parties shall resolve the same in accordance with the dispute resolution provisions set forth in </w:t>
      </w:r>
      <w:r>
        <w:rPr>
          <w:rFonts w:ascii="Arial" w:cs="Arial" w:eastAsia="Arial" w:hAnsi="Arial"/>
          <w:sz w:val="19"/>
          <w:szCs w:val="19"/>
          <w:u w:val="single" w:color="auto"/>
          <w:color w:val="auto"/>
        </w:rPr>
        <w:t>Sections 2.07(b)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2.07(c)</w:t>
      </w:r>
      <w:r>
        <w:rPr>
          <w:rFonts w:ascii="Arial" w:cs="Arial" w:eastAsia="Arial" w:hAnsi="Arial"/>
          <w:sz w:val="19"/>
          <w:szCs w:val="19"/>
          <w:color w:val="auto"/>
        </w:rPr>
        <w:t xml:space="preserve">, which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and any payment of the India Settlement shall be paid to the Purchaser, or its designee, within five (5) Business Days of the finalization of the amount due to the Purchaser pursuant to such resolution mechanics.</w:t>
      </w:r>
    </w:p>
    <w:p>
      <w:pPr>
        <w:spacing w:after="0" w:line="393"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10</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8" w:name="page119"/>
    <w:bookmarkEnd w:id="118"/>
    <w:p>
      <w:pPr>
        <w:jc w:val="both"/>
        <w:ind w:left="660" w:hanging="4"/>
        <w:spacing w:after="0" w:line="261" w:lineRule="auto"/>
        <w:tabs>
          <w:tab w:leader="none" w:pos="1087" w:val="left"/>
        </w:tabs>
        <w:numPr>
          <w:ilvl w:val="0"/>
          <w:numId w:val="76"/>
        </w:numPr>
        <w:rPr>
          <w:rFonts w:ascii="Arial" w:cs="Arial" w:eastAsia="Arial" w:hAnsi="Arial"/>
          <w:sz w:val="20"/>
          <w:szCs w:val="20"/>
          <w:color w:val="auto"/>
        </w:rPr>
      </w:pPr>
      <w:r>
        <w:rPr>
          <w:rFonts w:ascii="Arial" w:cs="Arial" w:eastAsia="Arial" w:hAnsi="Arial"/>
          <w:sz w:val="21"/>
          <w:szCs w:val="21"/>
          <w:color w:val="auto"/>
        </w:rPr>
        <w:t xml:space="preserve">From the Closing Date to the Deferred India Closing Date, unless the context clearly requires otherwise, all references in this Agreement to the “Closing” or the “Closing Date” shall, with respect to the transfer of the India Business, be deemed to refer to the Deferred India Closing and the Deferred India Closing Date, as applicable, and the Parties shall continue to comply with all covenants and agreements contained in this Agreement that are required by their terms to be performed prior to the Closing in respect of the India Business to the extent applicable to the India Business (other than those set forth in </w:t>
      </w:r>
      <w:r>
        <w:rPr>
          <w:rFonts w:ascii="Arial" w:cs="Arial" w:eastAsia="Arial" w:hAnsi="Arial"/>
          <w:sz w:val="21"/>
          <w:szCs w:val="21"/>
          <w:u w:val="single" w:color="auto"/>
          <w:color w:val="auto"/>
        </w:rPr>
        <w:t>Sections 6.04</w:t>
      </w:r>
      <w:r>
        <w:rPr>
          <w:rFonts w:ascii="Arial" w:cs="Arial" w:eastAsia="Arial" w:hAnsi="Arial"/>
          <w:sz w:val="21"/>
          <w:szCs w:val="21"/>
          <w:color w:val="auto"/>
        </w:rPr>
        <w:t xml:space="preserve">, </w:t>
      </w:r>
      <w:r>
        <w:rPr>
          <w:rFonts w:ascii="Arial" w:cs="Arial" w:eastAsia="Arial" w:hAnsi="Arial"/>
          <w:sz w:val="21"/>
          <w:szCs w:val="21"/>
          <w:u w:val="single" w:color="auto"/>
          <w:color w:val="auto"/>
        </w:rPr>
        <w:t>6.07(b)</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6.07(e)</w:t>
      </w:r>
      <w:r>
        <w:rPr>
          <w:rFonts w:ascii="Arial" w:cs="Arial" w:eastAsia="Arial" w:hAnsi="Arial"/>
          <w:sz w:val="21"/>
          <w:szCs w:val="21"/>
          <w:color w:val="auto"/>
        </w:rPr>
        <w:t xml:space="preserve">, </w:t>
      </w:r>
      <w:r>
        <w:rPr>
          <w:rFonts w:ascii="Arial" w:cs="Arial" w:eastAsia="Arial" w:hAnsi="Arial"/>
          <w:sz w:val="21"/>
          <w:szCs w:val="21"/>
          <w:u w:val="single" w:color="auto"/>
          <w:color w:val="auto"/>
        </w:rPr>
        <w:t>6.10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6.12</w:t>
      </w:r>
      <w:r>
        <w:rPr>
          <w:rFonts w:ascii="Arial" w:cs="Arial" w:eastAsia="Arial" w:hAnsi="Arial"/>
          <w:sz w:val="21"/>
          <w:szCs w:val="21"/>
          <w:color w:val="auto"/>
        </w:rPr>
        <w:t>).</w:t>
      </w:r>
    </w:p>
    <w:p>
      <w:pPr>
        <w:spacing w:after="0" w:line="180" w:lineRule="exact"/>
        <w:rPr>
          <w:rFonts w:ascii="Arial" w:cs="Arial" w:eastAsia="Arial" w:hAnsi="Arial"/>
          <w:sz w:val="20"/>
          <w:szCs w:val="20"/>
          <w:color w:val="auto"/>
        </w:rPr>
      </w:pPr>
    </w:p>
    <w:p>
      <w:pPr>
        <w:jc w:val="both"/>
        <w:ind w:left="660" w:hanging="4"/>
        <w:spacing w:after="0" w:line="253" w:lineRule="auto"/>
        <w:tabs>
          <w:tab w:leader="none" w:pos="1128"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India Unconditional Date has not occurred on or before the eighteen (18) month anniversary of the Closing Date, the Parties shall, and shall cause their Affiliates to, negotiate in good faith alternative arrangements to effectuate the intent of this Agreement.</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19"/>
          <w:szCs w:val="19"/>
          <w:b w:val="1"/>
          <w:bCs w:val="1"/>
          <w:color w:val="auto"/>
        </w:rPr>
        <w:t>Deferred Switzerland Closing</w:t>
      </w:r>
    </w:p>
    <w:p>
      <w:pPr>
        <w:spacing w:after="0" w:line="226" w:lineRule="exact"/>
        <w:rPr>
          <w:sz w:val="20"/>
          <w:szCs w:val="20"/>
          <w:color w:val="auto"/>
        </w:rPr>
      </w:pPr>
    </w:p>
    <w:p>
      <w:pPr>
        <w:jc w:val="both"/>
        <w:ind w:left="660" w:hanging="4"/>
        <w:spacing w:after="0" w:line="302" w:lineRule="auto"/>
        <w:tabs>
          <w:tab w:leader="none" w:pos="1125"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sale, conveyance, transfer, assignment and delivery of the Shares of Novartis Centre de Recherche Santé Animale SA (the </w:t>
      </w:r>
      <w:r>
        <w:rPr>
          <w:rFonts w:ascii="Arial" w:cs="Arial" w:eastAsia="Arial" w:hAnsi="Arial"/>
          <w:sz w:val="19"/>
          <w:szCs w:val="19"/>
          <w:b w:val="1"/>
          <w:bCs w:val="1"/>
          <w:i w:val="1"/>
          <w:iCs w:val="1"/>
          <w:color w:val="auto"/>
        </w:rPr>
        <w:t>Deferred Switzerland Entity</w:t>
      </w:r>
      <w:r>
        <w:rPr>
          <w:rFonts w:ascii="Arial" w:cs="Arial" w:eastAsia="Arial" w:hAnsi="Arial"/>
          <w:sz w:val="19"/>
          <w:szCs w:val="19"/>
          <w:color w:val="auto"/>
        </w:rPr>
        <w:t xml:space="preserve">) to the Purchaser, or any Affiliate designated by Purchaser, shall occur on the later of (i) the Closing and (ii) on the last Business Day of the month in which all of the conditions set forth on </w:t>
      </w:r>
      <w:r>
        <w:rPr>
          <w:rFonts w:ascii="Arial" w:cs="Arial" w:eastAsia="Arial" w:hAnsi="Arial"/>
          <w:sz w:val="19"/>
          <w:szCs w:val="19"/>
          <w:u w:val="single" w:color="auto"/>
          <w:color w:val="auto"/>
        </w:rPr>
        <w:t>Annex 2.13</w:t>
      </w:r>
      <w:r>
        <w:rPr>
          <w:rFonts w:ascii="Arial" w:cs="Arial" w:eastAsia="Arial" w:hAnsi="Arial"/>
          <w:sz w:val="19"/>
          <w:szCs w:val="19"/>
          <w:color w:val="auto"/>
        </w:rPr>
        <w:t xml:space="preserve"> are satisfied (the </w:t>
      </w:r>
      <w:r>
        <w:rPr>
          <w:rFonts w:ascii="Arial" w:cs="Arial" w:eastAsia="Arial" w:hAnsi="Arial"/>
          <w:sz w:val="19"/>
          <w:szCs w:val="19"/>
          <w:b w:val="1"/>
          <w:bCs w:val="1"/>
          <w:i w:val="1"/>
          <w:iCs w:val="1"/>
          <w:color w:val="auto"/>
        </w:rPr>
        <w:t>Deferred Switzerland Closing Date</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left="660" w:hanging="4"/>
        <w:spacing w:after="0" w:line="302" w:lineRule="auto"/>
        <w:tabs>
          <w:tab w:leader="none" w:pos="12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sale, conveyance, transfer, assignment and delivery of the Shares of the Deferred Switzerland Entity shall take place on the Deferred Switzerland Closing Date at a closing (the </w:t>
      </w:r>
      <w:r>
        <w:rPr>
          <w:rFonts w:ascii="Arial" w:cs="Arial" w:eastAsia="Arial" w:hAnsi="Arial"/>
          <w:sz w:val="19"/>
          <w:szCs w:val="19"/>
          <w:b w:val="1"/>
          <w:bCs w:val="1"/>
          <w:i w:val="1"/>
          <w:iCs w:val="1"/>
          <w:color w:val="auto"/>
        </w:rPr>
        <w:t>Deferred Switzerland Closing</w:t>
      </w:r>
      <w:r>
        <w:rPr>
          <w:rFonts w:ascii="Arial" w:cs="Arial" w:eastAsia="Arial" w:hAnsi="Arial"/>
          <w:sz w:val="19"/>
          <w:szCs w:val="19"/>
          <w:color w:val="auto"/>
        </w:rPr>
        <w:t>) at the offices of Freshfields Bruckhaus Deringer US LLP, 601 Lexington Avenue, 31st Floor, New York, NY 10022, at 10:00 a.m., in New York City, New York, or at such other time and at such other location as is agreed between the Parties.</w:t>
      </w:r>
    </w:p>
    <w:p>
      <w:pPr>
        <w:spacing w:after="0" w:line="142" w:lineRule="exact"/>
        <w:rPr>
          <w:rFonts w:ascii="Arial" w:cs="Arial" w:eastAsia="Arial" w:hAnsi="Arial"/>
          <w:sz w:val="19"/>
          <w:szCs w:val="19"/>
          <w:color w:val="auto"/>
        </w:rPr>
      </w:pPr>
    </w:p>
    <w:p>
      <w:pPr>
        <w:jc w:val="both"/>
        <w:ind w:left="660" w:hanging="4"/>
        <w:spacing w:after="0" w:line="250" w:lineRule="auto"/>
        <w:tabs>
          <w:tab w:leader="none" w:pos="1236"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At the Deferred Switzerland Closing, the Parties shall, and shall cause their respective Affiliates to, deliver, and execute and deliver such documents and instruments as may be reasonably necessary to evidence the transfer of, the Shares of the Deferred Switzerland Entity, including those required to be delivered by them pursuant to </w:t>
      </w:r>
      <w:r>
        <w:rPr>
          <w:rFonts w:ascii="Arial" w:cs="Arial" w:eastAsia="Arial" w:hAnsi="Arial"/>
          <w:sz w:val="22"/>
          <w:szCs w:val="22"/>
          <w:u w:val="single" w:color="auto"/>
          <w:color w:val="auto"/>
        </w:rPr>
        <w:t>Sections 2.01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2.05</w:t>
      </w:r>
      <w:r>
        <w:rPr>
          <w:rFonts w:ascii="Arial" w:cs="Arial" w:eastAsia="Arial" w:hAnsi="Arial"/>
          <w:sz w:val="22"/>
          <w:szCs w:val="22"/>
          <w:color w:val="auto"/>
        </w:rPr>
        <w:t xml:space="preserve"> of this Agreement.</w:t>
      </w:r>
    </w:p>
    <w:p>
      <w:pPr>
        <w:spacing w:after="0" w:line="188" w:lineRule="exact"/>
        <w:rPr>
          <w:rFonts w:ascii="Arial" w:cs="Arial" w:eastAsia="Arial" w:hAnsi="Arial"/>
          <w:sz w:val="22"/>
          <w:szCs w:val="22"/>
          <w:color w:val="auto"/>
        </w:rPr>
      </w:pPr>
    </w:p>
    <w:p>
      <w:pPr>
        <w:jc w:val="both"/>
        <w:ind w:left="660" w:hanging="4"/>
        <w:spacing w:after="0" w:line="259" w:lineRule="auto"/>
        <w:tabs>
          <w:tab w:leader="none" w:pos="1168" w:val="left"/>
        </w:tabs>
        <w:numPr>
          <w:ilvl w:val="0"/>
          <w:numId w:val="77"/>
        </w:numPr>
        <w:rPr>
          <w:rFonts w:ascii="Arial" w:cs="Arial" w:eastAsia="Arial" w:hAnsi="Arial"/>
          <w:sz w:val="21"/>
          <w:szCs w:val="21"/>
          <w:color w:val="auto"/>
        </w:rPr>
      </w:pPr>
      <w:r>
        <w:rPr>
          <w:rFonts w:ascii="Arial" w:cs="Arial" w:eastAsia="Arial" w:hAnsi="Arial"/>
          <w:sz w:val="21"/>
          <w:szCs w:val="21"/>
          <w:color w:val="auto"/>
        </w:rPr>
        <w:t>If the Deferred Switzerland Closing is to occur later than the Closing, during the period between the Closing and the Deferred Switzerland Closing: (i) the benefits and burdens of the Deferred Switzerland Entity shall be for the account of Purchaser; (ii) no Leakage with respect to the Deferred Switzerland Entity shall occur; (iii) all income, proceeds or other monies received by the Seller or any member of the Seller’s Group (other than the Deferred Switzerland Entity) for and on behalf of the Deferred Switzerland Entity, and all profits and losses generated by the Deferred Switzerland Entity, shall be held in trust for, and the net profits paid to the Purchaser or its Affiliates, as designated by the Purchaser, notwithstanding any other provision in the SAPA to the contrary, on the Deferred Switzerland Closing Date; and (iv) the Parties shall, and shall cause their respective Affiliates to, use their respective reasonable best efforts to cooperate with each other to take such actions</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11</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19" w:name="page120"/>
    <w:bookmarkEnd w:id="119"/>
    <w:p>
      <w:pPr>
        <w:ind w:left="660"/>
        <w:spacing w:after="0"/>
        <w:rPr>
          <w:sz w:val="20"/>
          <w:szCs w:val="20"/>
          <w:color w:val="auto"/>
        </w:rPr>
      </w:pPr>
      <w:r>
        <w:rPr>
          <w:rFonts w:ascii="Arial" w:cs="Arial" w:eastAsia="Arial" w:hAnsi="Arial"/>
          <w:sz w:val="22"/>
          <w:szCs w:val="22"/>
          <w:color w:val="auto"/>
        </w:rPr>
        <w:t xml:space="preserve">(including delivery of notice) that may be required to satisfy the conditions set forth on </w:t>
      </w:r>
      <w:r>
        <w:rPr>
          <w:rFonts w:ascii="Arial" w:cs="Arial" w:eastAsia="Arial" w:hAnsi="Arial"/>
          <w:sz w:val="22"/>
          <w:szCs w:val="22"/>
          <w:u w:val="single" w:color="auto"/>
          <w:color w:val="auto"/>
        </w:rPr>
        <w:t>Annex 2.13</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46" w:lineRule="auto"/>
        <w:tabs>
          <w:tab w:leader="none" w:pos="1191" w:val="left"/>
        </w:tabs>
        <w:numPr>
          <w:ilvl w:val="0"/>
          <w:numId w:val="78"/>
        </w:numPr>
        <w:rPr>
          <w:rFonts w:ascii="Arial" w:cs="Arial" w:eastAsia="Arial" w:hAnsi="Arial"/>
          <w:sz w:val="21"/>
          <w:szCs w:val="21"/>
          <w:color w:val="auto"/>
        </w:rPr>
      </w:pPr>
      <w:r>
        <w:rPr>
          <w:rFonts w:ascii="Arial" w:cs="Arial" w:eastAsia="Arial" w:hAnsi="Arial"/>
          <w:sz w:val="22"/>
          <w:szCs w:val="22"/>
          <w:color w:val="auto"/>
        </w:rPr>
        <w:t xml:space="preserve">The Seller shall be liable to pay to the Purchaser an amount equal to any Leakage that occurs with respect to the Deferred Switzerland Entity, on a dollar-for-dollar basis without any deductions, within five (5) Business Days of a written request for payment from the Purchaser on or before (i) the date upon which the Proposed Closing Statement is deemed the Final Closing Statement pursuant to </w:t>
      </w:r>
      <w:r>
        <w:rPr>
          <w:rFonts w:ascii="Arial" w:cs="Arial" w:eastAsia="Arial" w:hAnsi="Arial"/>
          <w:sz w:val="22"/>
          <w:szCs w:val="22"/>
          <w:u w:val="single" w:color="auto"/>
          <w:color w:val="auto"/>
        </w:rPr>
        <w:t>Section 2.07</w:t>
      </w:r>
      <w:r>
        <w:rPr>
          <w:rFonts w:ascii="Arial" w:cs="Arial" w:eastAsia="Arial" w:hAnsi="Arial"/>
          <w:sz w:val="22"/>
          <w:szCs w:val="22"/>
          <w:color w:val="auto"/>
        </w:rPr>
        <w:t>, if the Deferred Switzerland Closing Date occurs prior to the delivery by the Seller of the Proposed Closing Statement; or (ii) the fourteen (14) month anniversary of the Deferred Switzerland Closing Date, if the Deferred Switzerland Closing Date occurs after the delivery by the Seller of the Proposed Closing Statement.</w:t>
      </w:r>
    </w:p>
    <w:p>
      <w:pPr>
        <w:spacing w:after="0" w:line="197" w:lineRule="exact"/>
        <w:rPr>
          <w:sz w:val="20"/>
          <w:szCs w:val="20"/>
          <w:color w:val="auto"/>
        </w:rPr>
      </w:pPr>
    </w:p>
    <w:p>
      <w:pPr>
        <w:jc w:val="both"/>
        <w:ind w:left="660" w:hanging="4"/>
        <w:spacing w:after="0" w:line="294" w:lineRule="auto"/>
        <w:tabs>
          <w:tab w:leader="none" w:pos="118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From the Closing Date to the Deferred Switzerland Closing Date, unless the context clearly requires otherwise, all references in this Agreement to the “Closing” or the “Closing Date” shall, with respect to the transfer of the Shares of the Deferred Switzerland Entity, be deemed to refer to the Deferred Switzerland Closing and the Deferred Switzerland Closing Date, as applicable, and the Parties shall continue to comply with all covenants and agreements contained in this Agreement that are required by their terms to be performed prior to the Closing to the extent applicable to the Deferred Switzerland Entity (other than those set forth in </w:t>
      </w:r>
      <w:r>
        <w:rPr>
          <w:rFonts w:ascii="Arial" w:cs="Arial" w:eastAsia="Arial" w:hAnsi="Arial"/>
          <w:sz w:val="19"/>
          <w:szCs w:val="19"/>
          <w:u w:val="single" w:color="auto"/>
          <w:color w:val="auto"/>
        </w:rPr>
        <w:t>Sections 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6.07(b)</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6.07(e)</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6.12</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left="660" w:hanging="4"/>
        <w:spacing w:after="0" w:line="260" w:lineRule="auto"/>
        <w:tabs>
          <w:tab w:leader="none" w:pos="1171"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If the Deferred Switzerland Closing is to occur later than the Closing, the Seller shall, or shall cause its Affiliates to, appoint the Purchaser and/or one or more of its Affiliates selected by the Purchaser (the </w:t>
      </w:r>
      <w:r>
        <w:rPr>
          <w:rFonts w:ascii="Arial" w:cs="Arial" w:eastAsia="Arial" w:hAnsi="Arial"/>
          <w:sz w:val="21"/>
          <w:szCs w:val="21"/>
          <w:b w:val="1"/>
          <w:bCs w:val="1"/>
          <w:i w:val="1"/>
          <w:iCs w:val="1"/>
          <w:color w:val="auto"/>
        </w:rPr>
        <w:t>Switzerland Manager</w:t>
      </w:r>
      <w:r>
        <w:rPr>
          <w:rFonts w:ascii="Arial" w:cs="Arial" w:eastAsia="Arial" w:hAnsi="Arial"/>
          <w:sz w:val="21"/>
          <w:szCs w:val="21"/>
          <w:color w:val="auto"/>
        </w:rPr>
        <w:t>) to direct the ongoing operations for the Deferred Switzerland Entity beginning on the Closing Date and until the Deferred Switzerland Closing Date. To the extent permitted by Applicable Law, the Seller shall, and shall cause its applicable Affiliates to, follow such direction of the Switzerland Manager with respect to the operations of the Deferred Switzerland Entity. The Switzerland Manager and/or any of its Affiliates may make loans to the Deferred Switzerland Entity to provide funding for such entity in the ordinary course.</w:t>
      </w:r>
    </w:p>
    <w:p>
      <w:pPr>
        <w:spacing w:after="0" w:line="181" w:lineRule="exact"/>
        <w:rPr>
          <w:sz w:val="20"/>
          <w:szCs w:val="20"/>
          <w:color w:val="auto"/>
        </w:rPr>
      </w:pPr>
    </w:p>
    <w:p>
      <w:pPr>
        <w:jc w:val="both"/>
        <w:ind w:left="660" w:hanging="4"/>
        <w:spacing w:after="0" w:line="253" w:lineRule="auto"/>
        <w:tabs>
          <w:tab w:leader="none" w:pos="9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the Deferred Switzerland Closing Date has not occurred on or before the eighteen (18) month anniversary of the Closing Date, the Parties shall, and shall cause their Affiliates to, negotiate in good faith alternative arrangements to effectuate the intent of this Agreement.</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Amendment to Section 4.07(f)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4.07(f) of the SAPA is hereby deleted and replaced in its entirety by the following provision:</w:t>
      </w:r>
    </w:p>
    <w:p>
      <w:pPr>
        <w:spacing w:after="0" w:line="220"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 xml:space="preserve">“Excluding the Excluded Assets identified on </w:t>
      </w:r>
      <w:r>
        <w:rPr>
          <w:rFonts w:ascii="Arial" w:cs="Arial" w:eastAsia="Arial" w:hAnsi="Arial"/>
          <w:sz w:val="22"/>
          <w:szCs w:val="22"/>
          <w:u w:val="single" w:color="auto"/>
          <w:color w:val="auto"/>
        </w:rPr>
        <w:t>Annex 2.01(c)(i)</w:t>
      </w:r>
      <w:r>
        <w:rPr>
          <w:rFonts w:ascii="Arial" w:cs="Arial" w:eastAsia="Arial" w:hAnsi="Arial"/>
          <w:sz w:val="22"/>
          <w:szCs w:val="22"/>
          <w:color w:val="auto"/>
        </w:rPr>
        <w:t>, the Owned Intellectual Property Rights, the Transferred Intellectual Property Contracts, and the Intellectual Property Rights licensed (i) pursuant to the Transitional Trademark License Agreement, the Ancillary License Agreement - Amoksiklav, the Ancillary License Agreement - Xiclav and the Technology License Agreement and (ii) on a perpetual basis pursuant to the Transition Services Agreement and Manufacturing and Supply Agreements constitute all the</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12</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0" w:name="page121"/>
    <w:bookmarkEnd w:id="120"/>
    <w:p>
      <w:pPr>
        <w:jc w:val="both"/>
        <w:ind w:left="660"/>
        <w:spacing w:after="0" w:line="248" w:lineRule="auto"/>
        <w:rPr>
          <w:sz w:val="20"/>
          <w:szCs w:val="20"/>
          <w:color w:val="auto"/>
        </w:rPr>
      </w:pPr>
      <w:r>
        <w:rPr>
          <w:rFonts w:ascii="Arial" w:cs="Arial" w:eastAsia="Arial" w:hAnsi="Arial"/>
          <w:sz w:val="22"/>
          <w:szCs w:val="22"/>
          <w:color w:val="auto"/>
        </w:rPr>
        <w:t xml:space="preserve">Intellectual Property Rights necessary and sufficient for the Purchaser to conduct the Business from and after the Closing Date as conducted and proposed to be conducted by the Seller and its Affiliates, in each case, based on the current applicable stage of development, provided however, that the foregoing is not a representation of non-infringement, non-misappropriation, or any other non-violation of Intellectual Property Rights of any third party, which representation is solely set forth in </w:t>
      </w:r>
      <w:r>
        <w:rPr>
          <w:rFonts w:ascii="Arial" w:cs="Arial" w:eastAsia="Arial" w:hAnsi="Arial"/>
          <w:sz w:val="22"/>
          <w:szCs w:val="22"/>
          <w:u w:val="single" w:color="auto"/>
          <w:color w:val="auto"/>
        </w:rPr>
        <w:t>Section 4.07(e)</w:t>
      </w:r>
      <w:r>
        <w:rPr>
          <w:rFonts w:ascii="Arial" w:cs="Arial" w:eastAsia="Arial" w:hAnsi="Arial"/>
          <w:sz w:val="22"/>
          <w:szCs w:val="22"/>
          <w:color w:val="auto"/>
        </w:rPr>
        <w:t xml:space="preserve"> above.”</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b w:val="1"/>
          <w:bCs w:val="1"/>
          <w:color w:val="auto"/>
        </w:rPr>
        <w:t>Amendment to Section 6.08 of the SAPA</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following new Section 6.08(n) shall be added to the SAPA:</w:t>
      </w:r>
    </w:p>
    <w:p>
      <w:pPr>
        <w:spacing w:after="0" w:line="214"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Delayed Transfer Employees</w:t>
      </w:r>
      <w:r>
        <w:rPr>
          <w:rFonts w:ascii="Arial" w:cs="Arial" w:eastAsia="Arial" w:hAnsi="Arial"/>
          <w:sz w:val="19"/>
          <w:szCs w:val="19"/>
          <w:color w:val="auto"/>
        </w:rPr>
        <w:t xml:space="preserve">. The Parties intend that the Delayed Transfer Employees will remain as employees of the Seller’s Group for the duration of the Secondment Period, and will become employees of the Purchaser or any of its Affiliates immediately following termination or expiration of the Secondment Period as part of the transactions contemplated by this Agreement. Accordingly, in this </w:t>
      </w:r>
      <w:r>
        <w:rPr>
          <w:rFonts w:ascii="Arial" w:cs="Arial" w:eastAsia="Arial" w:hAnsi="Arial"/>
          <w:sz w:val="19"/>
          <w:szCs w:val="19"/>
          <w:u w:val="single" w:color="auto"/>
          <w:color w:val="auto"/>
        </w:rPr>
        <w:t>Section 6.08</w:t>
      </w:r>
      <w:r>
        <w:rPr>
          <w:rFonts w:ascii="Arial" w:cs="Arial" w:eastAsia="Arial" w:hAnsi="Arial"/>
          <w:sz w:val="19"/>
          <w:szCs w:val="19"/>
          <w:color w:val="auto"/>
        </w:rPr>
        <w:t>, in respect of the Delayed Transfer Employees only, any reference to “Closing”, “the Closing Date” or, in respect of the Delayed Transfer Employees in India, “the Deferred India Closing” or “the Deferred India Closing Date” shall be treated as a reference to the end of the Secondment Period (except for, for the avoidance of doubt, the references to “the Closing Date” and “the Deferred India Closing Date” in the definitions of “Secondment Period” and “Delayed Transfer Employee”, which shall be treated as references to the Closing Date and the Deferred India Closing Date respectively as defined in Annex A).”</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following new Section 6.08(o) shall be added to the SAPA:</w:t>
      </w:r>
    </w:p>
    <w:p>
      <w:pPr>
        <w:spacing w:after="0" w:line="214"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Employees in Russia.</w:t>
      </w:r>
      <w:r>
        <w:rPr>
          <w:rFonts w:ascii="Arial" w:cs="Arial" w:eastAsia="Arial" w:hAnsi="Arial"/>
          <w:sz w:val="19"/>
          <w:szCs w:val="19"/>
          <w:color w:val="auto"/>
        </w:rPr>
        <w:t xml:space="preserve"> If the Closing Date occurs on a day which is not a Russian Working Day, the Parties intend that the Business Employees employed in Russia by Novartis Consumer Health LLC (the </w:t>
      </w:r>
      <w:r>
        <w:rPr>
          <w:rFonts w:ascii="Arial" w:cs="Arial" w:eastAsia="Arial" w:hAnsi="Arial"/>
          <w:sz w:val="19"/>
          <w:szCs w:val="19"/>
          <w:b w:val="1"/>
          <w:bCs w:val="1"/>
          <w:i w:val="1"/>
          <w:iCs w:val="1"/>
          <w:color w:val="auto"/>
        </w:rPr>
        <w:t>Russian Business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Employees</w:t>
      </w:r>
      <w:r>
        <w:rPr>
          <w:rFonts w:ascii="Arial" w:cs="Arial" w:eastAsia="Arial" w:hAnsi="Arial"/>
          <w:sz w:val="19"/>
          <w:szCs w:val="19"/>
          <w:color w:val="auto"/>
        </w:rPr>
        <w:t>) shall remain employees of Novartis Consumer Health LLC until 11:59 p.m. on the first Russian Working Day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following the Closing Date (the </w:t>
      </w:r>
      <w:r>
        <w:rPr>
          <w:rFonts w:ascii="Arial" w:cs="Arial" w:eastAsia="Arial" w:hAnsi="Arial"/>
          <w:sz w:val="19"/>
          <w:szCs w:val="19"/>
          <w:b w:val="1"/>
          <w:bCs w:val="1"/>
          <w:i w:val="1"/>
          <w:iCs w:val="1"/>
          <w:color w:val="auto"/>
        </w:rPr>
        <w:t>Russian Employee Termination Date</w:t>
      </w:r>
      <w:r>
        <w:rPr>
          <w:rFonts w:ascii="Arial" w:cs="Arial" w:eastAsia="Arial" w:hAnsi="Arial"/>
          <w:sz w:val="19"/>
          <w:szCs w:val="19"/>
          <w:color w:val="auto"/>
        </w:rPr>
        <w:t>). The transfer of employment of the Russian Business Employees to the Purchaser or one of its Affiliates shall take effect on and from the day following the Russian Employee Termination Date. The Purchaser or its Affiliate acknowledges that it will be responsible for the total amount actually paid by the Seller or its Affiliate for compensation and benefits, including any withholding taxes and payroll taxes paid by the Seller’s Group, to or in respect of the Russian Business Employees in relation to their ordinary course of employment for the period from the Closing Date to the Russian Employee Termination Date (inclusive).”</w:t>
      </w:r>
    </w:p>
    <w:p>
      <w:pPr>
        <w:spacing w:after="0" w:line="19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following new Section 6.08(p) shall be added to the SAPA:</w:t>
      </w:r>
    </w:p>
    <w:p>
      <w:pPr>
        <w:spacing w:after="0" w:line="254" w:lineRule="exact"/>
        <w:rPr>
          <w:sz w:val="20"/>
          <w:szCs w:val="20"/>
          <w:color w:val="auto"/>
        </w:rPr>
      </w:pPr>
    </w:p>
    <w:p>
      <w:pPr>
        <w:jc w:val="both"/>
        <w:ind w:left="620" w:firstLine="1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Employees in Ukraine.</w:t>
      </w:r>
      <w:r>
        <w:rPr>
          <w:rFonts w:ascii="Arial" w:cs="Arial" w:eastAsia="Arial" w:hAnsi="Arial"/>
          <w:sz w:val="21"/>
          <w:szCs w:val="21"/>
          <w:color w:val="auto"/>
        </w:rPr>
        <w:t xml:space="preserve"> If the Closing Date occurs on a day which is not a Ukrainian Working Day, the Parties intend that the Business Employees employed in Ukraine by Novartis Consumer Health S.A. (the </w:t>
      </w:r>
      <w:r>
        <w:rPr>
          <w:rFonts w:ascii="Arial" w:cs="Arial" w:eastAsia="Arial" w:hAnsi="Arial"/>
          <w:sz w:val="21"/>
          <w:szCs w:val="21"/>
          <w:b w:val="1"/>
          <w:bCs w:val="1"/>
          <w:i w:val="1"/>
          <w:iCs w:val="1"/>
          <w:color w:val="auto"/>
        </w:rPr>
        <w:t>Ukrainian Business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Employees</w:t>
      </w:r>
      <w:r>
        <w:rPr>
          <w:rFonts w:ascii="Arial" w:cs="Arial" w:eastAsia="Arial" w:hAnsi="Arial"/>
          <w:sz w:val="21"/>
          <w:szCs w:val="21"/>
          <w:color w:val="auto"/>
        </w:rPr>
        <w:t>) shall remain employees of Novartis Consumer Health S.A. until 11:59 p.m. on the first Ukrainian Working Day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following the Closing Date (the </w:t>
      </w:r>
      <w:r>
        <w:rPr>
          <w:rFonts w:ascii="Arial" w:cs="Arial" w:eastAsia="Arial" w:hAnsi="Arial"/>
          <w:sz w:val="21"/>
          <w:szCs w:val="21"/>
          <w:b w:val="1"/>
          <w:bCs w:val="1"/>
          <w:i w:val="1"/>
          <w:iCs w:val="1"/>
          <w:color w:val="auto"/>
        </w:rPr>
        <w:t>Ukrainian Employee Termination Date</w:t>
      </w:r>
      <w:r>
        <w:rPr>
          <w:rFonts w:ascii="Arial" w:cs="Arial" w:eastAsia="Arial" w:hAnsi="Arial"/>
          <w:sz w:val="21"/>
          <w:szCs w:val="21"/>
          <w:color w:val="auto"/>
        </w:rPr>
        <w:t>). The transfer</w:t>
      </w:r>
    </w:p>
    <w:p>
      <w:pPr>
        <w:spacing w:after="0" w:line="190"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13</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1" w:name="page122"/>
    <w:bookmarkEnd w:id="121"/>
    <w:p>
      <w:pPr>
        <w:jc w:val="both"/>
        <w:ind w:left="620"/>
        <w:spacing w:after="0" w:line="247" w:lineRule="auto"/>
        <w:rPr>
          <w:sz w:val="20"/>
          <w:szCs w:val="20"/>
          <w:color w:val="auto"/>
        </w:rPr>
      </w:pPr>
      <w:r>
        <w:rPr>
          <w:rFonts w:ascii="Arial" w:cs="Arial" w:eastAsia="Arial" w:hAnsi="Arial"/>
          <w:sz w:val="22"/>
          <w:szCs w:val="22"/>
          <w:color w:val="auto"/>
        </w:rPr>
        <w:t>of employment of the Ukrainian Business Employees to the Purchaser or one of its Affiliates shall take effect on and from the day following the Ukrainian Employee Termination Date. The Purchaser or its Affiliate acknowledges that it will be responsible for the total amount actually paid by the Seller or its Affiliate for compensation and benefits, including any withholding taxes and payroll taxes paid by the Seller’s Group, to or in respect of the Ukraine Business Employees in relation to their ordinary course of employment for the period from the Closing Date to the Ukraine Employee Termination Date (inclusive).”</w:t>
      </w:r>
    </w:p>
    <w:p>
      <w:pPr>
        <w:spacing w:after="0" w:line="234"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The following new Section 6.08(q) shall be added to the SAPA:</w:t>
      </w:r>
    </w:p>
    <w:p>
      <w:pPr>
        <w:spacing w:after="0" w:line="254" w:lineRule="exact"/>
        <w:rPr>
          <w:sz w:val="20"/>
          <w:szCs w:val="20"/>
          <w:color w:val="auto"/>
        </w:rPr>
      </w:pPr>
    </w:p>
    <w:p>
      <w:pPr>
        <w:jc w:val="both"/>
        <w:ind w:left="620" w:firstLine="1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Transition Services Employees.</w:t>
      </w:r>
      <w:r>
        <w:rPr>
          <w:rFonts w:ascii="Arial" w:cs="Arial" w:eastAsia="Arial" w:hAnsi="Arial"/>
          <w:sz w:val="19"/>
          <w:szCs w:val="19"/>
          <w:color w:val="auto"/>
        </w:rPr>
        <w:t xml:space="preserve"> Notwithstanding anything in this Agreement to the contrary, the Seller or its Affiliates will continue to employ the Business Employees listed in </w:t>
      </w:r>
      <w:r>
        <w:rPr>
          <w:rFonts w:ascii="Arial" w:cs="Arial" w:eastAsia="Arial" w:hAnsi="Arial"/>
          <w:sz w:val="19"/>
          <w:szCs w:val="19"/>
          <w:u w:val="single" w:color="auto"/>
          <w:color w:val="auto"/>
        </w:rPr>
        <w:t>Annex 6.08(q)</w:t>
      </w:r>
      <w:r>
        <w:rPr>
          <w:rFonts w:ascii="Arial" w:cs="Arial" w:eastAsia="Arial" w:hAnsi="Arial"/>
          <w:sz w:val="19"/>
          <w:szCs w:val="19"/>
          <w:color w:val="auto"/>
        </w:rPr>
        <w:t xml:space="preserve"> following the Closing and shall retain and be fully liable for any Liability (and shall indemnify and hold harmless the Purchaser and its Affiliates from any such Liabilities) related to their employment, provision of services, or termination of employment or services;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that the Purchaser will reimburse the Seller for the actual severance costs incurred, if any, by the Seller for such Business Employees listed in </w:t>
      </w:r>
      <w:r>
        <w:rPr>
          <w:rFonts w:ascii="Arial" w:cs="Arial" w:eastAsia="Arial" w:hAnsi="Arial"/>
          <w:sz w:val="19"/>
          <w:szCs w:val="19"/>
          <w:u w:val="single" w:color="auto"/>
          <w:color w:val="auto"/>
        </w:rPr>
        <w:t>Annex 6.08(q)</w:t>
      </w:r>
      <w:r>
        <w:rPr>
          <w:rFonts w:ascii="Arial" w:cs="Arial" w:eastAsia="Arial" w:hAnsi="Arial"/>
          <w:sz w:val="19"/>
          <w:szCs w:val="19"/>
          <w:color w:val="auto"/>
        </w:rPr>
        <w:t xml:space="preserve"> who are terminated by Seller or its Affiliates without cause within the two (2) month period immediately following the end of their services to the Purchaser under the Transition Services Agreement between the parties in such individual's jurisdiction (or legally required notice period not to exceed four (4) months following such termination of the Transition Services Agreement) to the extent required by the terms of the applicable Seller severance policy as of the date of the Agreement or as otherwise required by Applicable Law. The parties agree to cooperate, as reasonably practicable, to minimize any such payments. Notwithstanding anything in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of this Agreement to the contrary, the Business Employees listed in </w:t>
      </w:r>
      <w:r>
        <w:rPr>
          <w:rFonts w:ascii="Arial" w:cs="Arial" w:eastAsia="Arial" w:hAnsi="Arial"/>
          <w:sz w:val="19"/>
          <w:szCs w:val="19"/>
          <w:u w:val="single" w:color="auto"/>
          <w:color w:val="auto"/>
        </w:rPr>
        <w:t>Annex 6.08(q)</w:t>
      </w:r>
      <w:r>
        <w:rPr>
          <w:rFonts w:ascii="Arial" w:cs="Arial" w:eastAsia="Arial" w:hAnsi="Arial"/>
          <w:sz w:val="19"/>
          <w:szCs w:val="19"/>
          <w:color w:val="auto"/>
        </w:rPr>
        <w:t xml:space="preserve"> shall not be the subject of any the Purchaser obligation under this Agreement other than pursuant to the prior sentence.”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b w:val="1"/>
          <w:bCs w:val="1"/>
          <w:color w:val="auto"/>
        </w:rPr>
        <w:t>Amendments to Annex 6.08(k) of the SAPA</w:t>
      </w:r>
    </w:p>
    <w:p>
      <w:pPr>
        <w:spacing w:after="0" w:line="239"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Switzerland</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In paragraph 2 of Annex 6.08(k) of the SAPA, sub-paragraph 2.2 shall be deleted and replaced with the following:</w:t>
      </w:r>
    </w:p>
    <w:p>
      <w:pPr>
        <w:spacing w:after="0" w:line="231" w:lineRule="exact"/>
        <w:rPr>
          <w:rFonts w:ascii="Arial" w:cs="Arial" w:eastAsia="Arial" w:hAnsi="Arial"/>
          <w:sz w:val="22"/>
          <w:szCs w:val="22"/>
          <w:color w:val="auto"/>
        </w:rPr>
      </w:pPr>
    </w:p>
    <w:p>
      <w:pPr>
        <w:jc w:val="both"/>
        <w:ind w:left="660"/>
        <w:spacing w:after="0" w:line="265" w:lineRule="auto"/>
        <w:rPr>
          <w:rFonts w:ascii="Arial" w:cs="Arial" w:eastAsia="Arial" w:hAnsi="Arial"/>
          <w:sz w:val="22"/>
          <w:szCs w:val="22"/>
          <w:color w:val="auto"/>
        </w:rPr>
      </w:pPr>
      <w:r>
        <w:rPr>
          <w:rFonts w:ascii="Arial" w:cs="Arial" w:eastAsia="Arial" w:hAnsi="Arial"/>
          <w:sz w:val="21"/>
          <w:szCs w:val="21"/>
          <w:color w:val="auto"/>
        </w:rPr>
        <w:t>“2.2 Subject to the below, in accordance with the Annex 6.08(k) of the SAPA regarding Group Retirement Benefit Arrangements, the Seller and the Purchaser agree that the pension fund entitlements in respect of the Transferring Swiss Employees who are members of the Swiss Pension Providers immediately before the Closing Date will be transferred with effect from the Closing Date to a retirement benefit arrangement set up by the Purchaser.</w:t>
      </w:r>
    </w:p>
    <w:p>
      <w:pPr>
        <w:spacing w:after="0" w:line="175"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However, if the Seller and the Purchaser agree on a Transitional Service Agreement (a “</w:t>
      </w:r>
      <w:r>
        <w:rPr>
          <w:rFonts w:ascii="Arial" w:cs="Arial" w:eastAsia="Arial" w:hAnsi="Arial"/>
          <w:sz w:val="22"/>
          <w:szCs w:val="22"/>
          <w:b w:val="1"/>
          <w:bCs w:val="1"/>
          <w:i w:val="1"/>
          <w:iCs w:val="1"/>
          <w:color w:val="auto"/>
        </w:rPr>
        <w:t>TSA</w:t>
      </w:r>
      <w:r>
        <w:rPr>
          <w:rFonts w:ascii="Arial" w:cs="Arial" w:eastAsia="Arial" w:hAnsi="Arial"/>
          <w:sz w:val="22"/>
          <w:szCs w:val="22"/>
          <w:color w:val="auto"/>
        </w:rPr>
        <w:t>”) for a limited period of time after Closing, then:</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14</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2" w:name="page123"/>
    <w:bookmarkEnd w:id="122"/>
    <w:p>
      <w:pPr>
        <w:jc w:val="both"/>
        <w:ind w:left="1300" w:hanging="644"/>
        <w:spacing w:after="0" w:line="303" w:lineRule="auto"/>
        <w:tabs>
          <w:tab w:leader="none" w:pos="1300"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accession of Novartis Tiergesundheit AG and Novartis Centre de Recherche Santé Animale SA to the Swiss Pension Providers may, instead of being terminated with effect from the Closing Date, be continued for the duration of said TSA, based on a temporary affiliation of the Purchaser to the Seller’s Swiss Pension Providers, including pension plan administration services and management of the underlying assets but excluding any liability for the investment performance achieved under the TSA-based mandate; and</w:t>
      </w:r>
    </w:p>
    <w:p>
      <w:pPr>
        <w:spacing w:after="0" w:line="123" w:lineRule="exact"/>
        <w:rPr>
          <w:sz w:val="20"/>
          <w:szCs w:val="20"/>
          <w:color w:val="auto"/>
        </w:rPr>
      </w:pPr>
    </w:p>
    <w:p>
      <w:pPr>
        <w:jc w:val="both"/>
        <w:ind w:left="1300" w:hanging="644"/>
        <w:spacing w:after="0" w:line="288" w:lineRule="auto"/>
        <w:tabs>
          <w:tab w:leader="none" w:pos="13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without prejudice to the valuation of such amounts as part of the Pension Benefit Net Liability Amount under Annex 6.08(l), the transfer of pension fund entitlements under Annex 6.08(k) para 2.2, and the provision of “grandfathered” entitlements under Annex 6.08(k) para 2.4, shall occur respectively on and from the end of the TSA period instead of the Closing Date.”</w:t>
      </w:r>
    </w:p>
    <w:p>
      <w:pPr>
        <w:spacing w:after="0" w:line="122" w:lineRule="exact"/>
        <w:rPr>
          <w:rFonts w:ascii="Arial" w:cs="Arial" w:eastAsia="Arial" w:hAnsi="Arial"/>
          <w:sz w:val="22"/>
          <w:szCs w:val="22"/>
          <w:color w:val="auto"/>
        </w:rPr>
      </w:pPr>
    </w:p>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United Kingdom</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amendments shall be made to paragraph 4 of Annex 6.08(k) of the SAPA:</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In sub-sub-paragraph 4.1(a), the words:</w:t>
      </w:r>
    </w:p>
    <w:p>
      <w:pPr>
        <w:spacing w:after="0" w:line="219" w:lineRule="exact"/>
        <w:rPr>
          <w:rFonts w:ascii="Arial" w:cs="Arial" w:eastAsia="Arial" w:hAnsi="Arial"/>
          <w:sz w:val="22"/>
          <w:szCs w:val="22"/>
          <w:color w:val="auto"/>
        </w:rPr>
      </w:pPr>
    </w:p>
    <w:p>
      <w:pPr>
        <w:ind w:left="1300" w:right="1000"/>
        <w:spacing w:after="0" w:line="448" w:lineRule="auto"/>
        <w:rPr>
          <w:rFonts w:ascii="Arial" w:cs="Arial" w:eastAsia="Arial" w:hAnsi="Arial"/>
          <w:sz w:val="22"/>
          <w:szCs w:val="22"/>
          <w:color w:val="auto"/>
        </w:rPr>
      </w:pPr>
      <w:r>
        <w:rPr>
          <w:rFonts w:ascii="Arial" w:cs="Arial" w:eastAsia="Arial" w:hAnsi="Arial"/>
          <w:sz w:val="22"/>
          <w:szCs w:val="22"/>
          <w:color w:val="auto"/>
        </w:rPr>
        <w:t>“whose only period of pensionable service in the DB Sections was with the UK Participating Employers” shall be deleted and replaced with:</w:t>
      </w:r>
    </w:p>
    <w:p>
      <w:pPr>
        <w:spacing w:after="0" w:line="1"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“who are recorded by the administrators of the Seller’s UK Pension Scheme as having one of the UK Participating Employers as their last employer”</w:t>
      </w:r>
    </w:p>
    <w:p>
      <w:pPr>
        <w:spacing w:after="0" w:line="175" w:lineRule="exact"/>
        <w:rPr>
          <w:sz w:val="20"/>
          <w:szCs w:val="20"/>
          <w:color w:val="auto"/>
        </w:rPr>
      </w:pPr>
    </w:p>
    <w:p>
      <w:pPr>
        <w:ind w:left="1300" w:hanging="644"/>
        <w:spacing w:after="0" w:line="287" w:lineRule="auto"/>
        <w:tabs>
          <w:tab w:leader="none" w:pos="13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In sub-sub-paragraph 4.1(d), the words “plus a proportionate share of the value of any “orphan liabilities” under the Seller’s UK Pension Scheme attributable to the UK Participating Employers” shall be deleted.</w:t>
      </w:r>
    </w:p>
    <w:p>
      <w:pPr>
        <w:spacing w:after="0" w:line="151"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At the end of sub-sub-paragraph 4.1(g), there shall inserted be the words “or, if an alternative structure (including a statutory apportionment arrangement) is agreed under an applicable Local Agreement in order to produce an appropriate calculation of the debt that would otherwise be due under Section 75, under such alternative methodology”.</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new sub-sub-paragraph 4.1(j) shall be inserted as follows:</w:t>
      </w:r>
    </w:p>
    <w:p>
      <w:pPr>
        <w:spacing w:after="0" w:line="214" w:lineRule="exact"/>
        <w:rPr>
          <w:sz w:val="20"/>
          <w:szCs w:val="20"/>
          <w:color w:val="auto"/>
        </w:rPr>
      </w:pPr>
    </w:p>
    <w:p>
      <w:pPr>
        <w:ind w:left="1300" w:right="20"/>
        <w:spacing w:after="0" w:line="269" w:lineRule="auto"/>
        <w:rPr>
          <w:sz w:val="20"/>
          <w:szCs w:val="20"/>
          <w:color w:val="auto"/>
        </w:rPr>
      </w:pPr>
      <w:r>
        <w:rPr>
          <w:rFonts w:ascii="Arial" w:cs="Arial" w:eastAsia="Arial" w:hAnsi="Arial"/>
          <w:sz w:val="22"/>
          <w:szCs w:val="22"/>
          <w:color w:val="auto"/>
        </w:rPr>
        <w:t>“(j) “</w:t>
      </w:r>
      <w:r>
        <w:rPr>
          <w:rFonts w:ascii="Arial" w:cs="Arial" w:eastAsia="Arial" w:hAnsi="Arial"/>
          <w:sz w:val="22"/>
          <w:szCs w:val="22"/>
          <w:b w:val="1"/>
          <w:bCs w:val="1"/>
          <w:color w:val="auto"/>
        </w:rPr>
        <w:t>Cessation Date</w:t>
      </w:r>
      <w:r>
        <w:rPr>
          <w:rFonts w:ascii="Arial" w:cs="Arial" w:eastAsia="Arial" w:hAnsi="Arial"/>
          <w:sz w:val="22"/>
          <w:szCs w:val="22"/>
          <w:color w:val="auto"/>
        </w:rPr>
        <w:t>” means the date on which the UK Participating Employers cease to participate in the Seller’s UK Pension Scheme, which may be after the Closing Date.”</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15</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61" w:right="239" w:bottom="1440" w:gutter="0" w:footer="0" w:header="0"/>
        </w:sectPr>
      </w:pPr>
    </w:p>
    <w:bookmarkStart w:id="123" w:name="page124"/>
    <w:bookmarkEnd w:id="123"/>
    <w:p>
      <w:pPr>
        <w:ind w:left="1300" w:hanging="644"/>
        <w:spacing w:after="0"/>
        <w:tabs>
          <w:tab w:leader="none" w:pos="1300" w:val="left"/>
        </w:tabs>
        <w:numPr>
          <w:ilvl w:val="1"/>
          <w:numId w:val="86"/>
        </w:numPr>
        <w:rPr>
          <w:rFonts w:ascii="Arial" w:cs="Arial" w:eastAsia="Arial" w:hAnsi="Arial"/>
          <w:sz w:val="21"/>
          <w:szCs w:val="21"/>
          <w:color w:val="auto"/>
        </w:rPr>
      </w:pPr>
      <w:r>
        <w:rPr>
          <w:rFonts w:ascii="Arial" w:cs="Arial" w:eastAsia="Arial" w:hAnsi="Arial"/>
          <w:sz w:val="21"/>
          <w:szCs w:val="21"/>
          <w:color w:val="auto"/>
        </w:rPr>
        <w:t>At the beginning of sub-sub-paragraph 4.2(e), there shall be inserted the words “Subject to Annex 6.08(l),”.</w:t>
      </w:r>
    </w:p>
    <w:p>
      <w:pPr>
        <w:spacing w:after="0" w:line="231" w:lineRule="exact"/>
        <w:rPr>
          <w:rFonts w:ascii="Arial" w:cs="Arial" w:eastAsia="Arial" w:hAnsi="Arial"/>
          <w:sz w:val="21"/>
          <w:szCs w:val="21"/>
          <w:color w:val="auto"/>
        </w:rPr>
      </w:pPr>
    </w:p>
    <w:p>
      <w:pPr>
        <w:ind w:left="1300" w:hanging="644"/>
        <w:spacing w:after="0"/>
        <w:tabs>
          <w:tab w:leader="none" w:pos="13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sub-paragraph 4.3:</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the words “on or before the Closing Date” shall be deleted and replaced with “on and from the Cessation Date”;</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the words “on and from the Closing Date” shall be deleted and replaced with “on and from the Cessation Date”; and</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after the words “If Closing occurs, and a Section 75 Debt is triggered on any of the UK Participating Employers”, there shall be inserted the words “(including on the Cessation Date)”.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At the beginning of sub-paragraph 4.4, there shall be inserted the words “Subject to any alternative structure agreed under an applicable Local Agreement as contemplated in paragraph 4.1(g),”.</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 sub-paragraph 4.4, the words “Closing Date” shall be deleted and replaced with “Cessation Date”.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 sub-paragraph 4.8, each reference to the “Closing Date” shall be deleted and replaced with “Cessation Date”.</w:t>
      </w:r>
    </w:p>
    <w:p>
      <w:pPr>
        <w:spacing w:after="0" w:line="254" w:lineRule="exact"/>
        <w:rPr>
          <w:rFonts w:ascii="Arial" w:cs="Arial" w:eastAsia="Arial" w:hAnsi="Arial"/>
          <w:sz w:val="19"/>
          <w:szCs w:val="19"/>
          <w:color w:val="auto"/>
        </w:rPr>
      </w:pPr>
    </w:p>
    <w:p>
      <w:pPr>
        <w:ind w:left="660" w:hanging="652"/>
        <w:spacing w:after="0"/>
        <w:tabs>
          <w:tab w:leader="none" w:pos="660" w:val="left"/>
        </w:tabs>
        <w:numPr>
          <w:ilvl w:val="0"/>
          <w:numId w:val="87"/>
        </w:numPr>
        <w:rPr>
          <w:rFonts w:ascii="Arial" w:cs="Arial" w:eastAsia="Arial" w:hAnsi="Arial"/>
          <w:sz w:val="22"/>
          <w:szCs w:val="22"/>
          <w:i w:val="1"/>
          <w:iCs w:val="1"/>
          <w:color w:val="auto"/>
        </w:rPr>
      </w:pPr>
      <w:r>
        <w:rPr>
          <w:rFonts w:ascii="Arial" w:cs="Arial" w:eastAsia="Arial" w:hAnsi="Arial"/>
          <w:sz w:val="22"/>
          <w:szCs w:val="22"/>
          <w:i w:val="1"/>
          <w:iCs w:val="1"/>
          <w:color w:val="auto"/>
        </w:rPr>
        <w:t>India</w:t>
      </w:r>
    </w:p>
    <w:p>
      <w:pPr>
        <w:spacing w:after="0" w:line="219" w:lineRule="exact"/>
        <w:rPr>
          <w:rFonts w:ascii="Arial" w:cs="Arial" w:eastAsia="Arial" w:hAnsi="Arial"/>
          <w:sz w:val="22"/>
          <w:szCs w:val="22"/>
          <w:i w:val="1"/>
          <w:iCs w:val="1"/>
          <w:color w:val="auto"/>
        </w:rPr>
      </w:pPr>
    </w:p>
    <w:p>
      <w:pPr>
        <w:ind w:left="660"/>
        <w:spacing w:after="0"/>
        <w:rPr>
          <w:rFonts w:ascii="Arial" w:cs="Arial" w:eastAsia="Arial" w:hAnsi="Arial"/>
          <w:sz w:val="22"/>
          <w:szCs w:val="22"/>
          <w:i w:val="1"/>
          <w:iCs w:val="1"/>
          <w:color w:val="auto"/>
        </w:rPr>
      </w:pPr>
      <w:r>
        <w:rPr>
          <w:rFonts w:ascii="Arial" w:cs="Arial" w:eastAsia="Arial" w:hAnsi="Arial"/>
          <w:sz w:val="22"/>
          <w:szCs w:val="22"/>
          <w:color w:val="auto"/>
        </w:rPr>
        <w:t>The following amendments shall be made to paragraph 5 of Annex 6.08(k) of the SAPA:</w:t>
      </w:r>
    </w:p>
    <w:p>
      <w:pPr>
        <w:spacing w:after="0" w:line="219" w:lineRule="exact"/>
        <w:rPr>
          <w:rFonts w:ascii="Arial" w:cs="Arial" w:eastAsia="Arial" w:hAnsi="Arial"/>
          <w:sz w:val="22"/>
          <w:szCs w:val="22"/>
          <w:i w:val="1"/>
          <w:iCs w:val="1"/>
          <w:color w:val="auto"/>
        </w:rPr>
      </w:pPr>
    </w:p>
    <w:p>
      <w:pPr>
        <w:ind w:left="1300" w:hanging="644"/>
        <w:spacing w:after="0"/>
        <w:tabs>
          <w:tab w:leader="none" w:pos="13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In sub-paragraph 5.1, sub-sub-paragraphs (a) to (d) shall be deleted and replaced with the following:</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75"/>
        </w:trPr>
        <w:tc>
          <w:tcPr>
            <w:tcW w:w="500" w:type="dxa"/>
            <w:vAlign w:val="bottom"/>
          </w:tcPr>
          <w:p>
            <w:pPr>
              <w:spacing w:after="0"/>
              <w:rPr>
                <w:sz w:val="20"/>
                <w:szCs w:val="20"/>
                <w:color w:val="auto"/>
              </w:rPr>
            </w:pPr>
            <w:r>
              <w:rPr>
                <w:rFonts w:ascii="Arial" w:cs="Arial" w:eastAsia="Arial" w:hAnsi="Arial"/>
                <w:sz w:val="22"/>
                <w:szCs w:val="22"/>
                <w:color w:val="auto"/>
              </w:rPr>
              <w:t>“(a)</w:t>
            </w:r>
          </w:p>
        </w:tc>
        <w:tc>
          <w:tcPr>
            <w:tcW w:w="7200" w:type="dxa"/>
            <w:vAlign w:val="bottom"/>
            <w:gridSpan w:val="2"/>
          </w:tcPr>
          <w:p>
            <w:pPr>
              <w:ind w:left="160"/>
              <w:spacing w:after="0"/>
              <w:rPr>
                <w:sz w:val="20"/>
                <w:szCs w:val="20"/>
                <w:color w:val="auto"/>
              </w:rPr>
            </w:pPr>
            <w:r>
              <w:rPr>
                <w:rFonts w:ascii="Arial" w:cs="Arial" w:eastAsia="Arial" w:hAnsi="Arial"/>
                <w:sz w:val="22"/>
                <w:szCs w:val="22"/>
                <w:color w:val="auto"/>
              </w:rPr>
              <w:t>In relation to Novartis India Limited:</w:t>
            </w:r>
          </w:p>
        </w:tc>
      </w:tr>
      <w:tr>
        <w:trPr>
          <w:trHeight w:val="392"/>
        </w:trPr>
        <w:tc>
          <w:tcPr>
            <w:tcW w:w="5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22"/>
                <w:szCs w:val="22"/>
                <w:color w:val="auto"/>
              </w:rPr>
              <w:t>“(i)</w:t>
            </w:r>
          </w:p>
        </w:tc>
        <w:tc>
          <w:tcPr>
            <w:tcW w:w="6520" w:type="dxa"/>
            <w:vAlign w:val="bottom"/>
          </w:tcPr>
          <w:p>
            <w:pPr>
              <w:ind w:left="120"/>
              <w:spacing w:after="0"/>
              <w:rPr>
                <w:sz w:val="20"/>
                <w:szCs w:val="20"/>
                <w:color w:val="auto"/>
              </w:rPr>
            </w:pPr>
            <w:r>
              <w:rPr>
                <w:rFonts w:ascii="Arial" w:cs="Arial" w:eastAsia="Arial" w:hAnsi="Arial"/>
                <w:sz w:val="22"/>
                <w:szCs w:val="22"/>
                <w:color w:val="auto"/>
                <w:w w:val="94"/>
              </w:rPr>
              <w:t>Novartis India Limited Employees’ Group Gratuity Scheme (LIC fund);</w:t>
            </w:r>
          </w:p>
        </w:tc>
      </w:tr>
      <w:tr>
        <w:trPr>
          <w:trHeight w:val="392"/>
        </w:trPr>
        <w:tc>
          <w:tcPr>
            <w:tcW w:w="5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22"/>
                <w:szCs w:val="22"/>
                <w:color w:val="auto"/>
              </w:rPr>
              <w:t>“(ii)</w:t>
            </w:r>
          </w:p>
        </w:tc>
        <w:tc>
          <w:tcPr>
            <w:tcW w:w="6520" w:type="dxa"/>
            <w:vAlign w:val="bottom"/>
          </w:tcPr>
          <w:p>
            <w:pPr>
              <w:ind w:left="120"/>
              <w:spacing w:after="0"/>
              <w:rPr>
                <w:sz w:val="20"/>
                <w:szCs w:val="20"/>
                <w:color w:val="auto"/>
              </w:rPr>
            </w:pPr>
            <w:r>
              <w:rPr>
                <w:rFonts w:ascii="Arial" w:cs="Arial" w:eastAsia="Arial" w:hAnsi="Arial"/>
                <w:sz w:val="22"/>
                <w:szCs w:val="22"/>
                <w:color w:val="auto"/>
                <w:w w:val="93"/>
              </w:rPr>
              <w:t>Novartis India Limited Employees’ Group Gratuity Scheme (In-house);</w:t>
            </w:r>
          </w:p>
        </w:tc>
      </w:tr>
      <w:tr>
        <w:trPr>
          <w:trHeight w:val="392"/>
        </w:trPr>
        <w:tc>
          <w:tcPr>
            <w:tcW w:w="5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22"/>
                <w:szCs w:val="22"/>
                <w:color w:val="auto"/>
              </w:rPr>
              <w:t>“(iii)</w:t>
            </w:r>
          </w:p>
        </w:tc>
        <w:tc>
          <w:tcPr>
            <w:tcW w:w="6520" w:type="dxa"/>
            <w:vAlign w:val="bottom"/>
          </w:tcPr>
          <w:p>
            <w:pPr>
              <w:ind w:left="120"/>
              <w:spacing w:after="0"/>
              <w:rPr>
                <w:sz w:val="20"/>
                <w:szCs w:val="20"/>
                <w:color w:val="auto"/>
              </w:rPr>
            </w:pPr>
            <w:r>
              <w:rPr>
                <w:rFonts w:ascii="Arial" w:cs="Arial" w:eastAsia="Arial" w:hAnsi="Arial"/>
                <w:sz w:val="22"/>
                <w:szCs w:val="22"/>
                <w:color w:val="auto"/>
              </w:rPr>
              <w:t>Novartis India Limited Leave Benefit Scheme;</w:t>
            </w:r>
          </w:p>
        </w:tc>
      </w:tr>
      <w:tr>
        <w:trPr>
          <w:trHeight w:val="392"/>
        </w:trPr>
        <w:tc>
          <w:tcPr>
            <w:tcW w:w="5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22"/>
                <w:szCs w:val="22"/>
                <w:color w:val="auto"/>
              </w:rPr>
              <w:t>“(iv)</w:t>
            </w:r>
          </w:p>
        </w:tc>
        <w:tc>
          <w:tcPr>
            <w:tcW w:w="6520" w:type="dxa"/>
            <w:vAlign w:val="bottom"/>
          </w:tcPr>
          <w:p>
            <w:pPr>
              <w:ind w:left="120"/>
              <w:spacing w:after="0"/>
              <w:rPr>
                <w:sz w:val="20"/>
                <w:szCs w:val="20"/>
                <w:color w:val="auto"/>
              </w:rPr>
            </w:pPr>
            <w:r>
              <w:rPr>
                <w:rFonts w:ascii="Arial" w:cs="Arial" w:eastAsia="Arial" w:hAnsi="Arial"/>
                <w:sz w:val="22"/>
                <w:szCs w:val="22"/>
                <w:color w:val="auto"/>
              </w:rPr>
              <w:t>Novartis India Limited Employees’ Provident Fund;</w:t>
            </w:r>
          </w:p>
        </w:tc>
      </w:tr>
      <w:tr>
        <w:trPr>
          <w:trHeight w:val="392"/>
        </w:trPr>
        <w:tc>
          <w:tcPr>
            <w:tcW w:w="5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22"/>
                <w:szCs w:val="22"/>
                <w:color w:val="auto"/>
              </w:rPr>
              <w:t>“(v)</w:t>
            </w:r>
          </w:p>
        </w:tc>
        <w:tc>
          <w:tcPr>
            <w:tcW w:w="6520" w:type="dxa"/>
            <w:vAlign w:val="bottom"/>
          </w:tcPr>
          <w:p>
            <w:pPr>
              <w:ind w:left="120"/>
              <w:spacing w:after="0"/>
              <w:rPr>
                <w:sz w:val="20"/>
                <w:szCs w:val="20"/>
                <w:color w:val="auto"/>
              </w:rPr>
            </w:pPr>
            <w:r>
              <w:rPr>
                <w:rFonts w:ascii="Arial" w:cs="Arial" w:eastAsia="Arial" w:hAnsi="Arial"/>
                <w:sz w:val="22"/>
                <w:szCs w:val="22"/>
                <w:color w:val="auto"/>
              </w:rPr>
              <w:t>Novartis India Limited Post-Retirement Medical Benefit; and</w:t>
            </w:r>
          </w:p>
        </w:tc>
      </w:tr>
      <w:tr>
        <w:trPr>
          <w:trHeight w:val="392"/>
        </w:trPr>
        <w:tc>
          <w:tcPr>
            <w:tcW w:w="500" w:type="dxa"/>
            <w:vAlign w:val="bottom"/>
          </w:tcPr>
          <w:p>
            <w:pPr>
              <w:spacing w:after="0"/>
              <w:rPr>
                <w:sz w:val="20"/>
                <w:szCs w:val="20"/>
                <w:color w:val="auto"/>
              </w:rPr>
            </w:pPr>
            <w:r>
              <w:rPr>
                <w:rFonts w:ascii="Arial" w:cs="Arial" w:eastAsia="Arial" w:hAnsi="Arial"/>
                <w:sz w:val="22"/>
                <w:szCs w:val="22"/>
                <w:color w:val="auto"/>
              </w:rPr>
              <w:t>“(b)</w:t>
            </w:r>
          </w:p>
        </w:tc>
        <w:tc>
          <w:tcPr>
            <w:tcW w:w="7200" w:type="dxa"/>
            <w:vAlign w:val="bottom"/>
            <w:gridSpan w:val="2"/>
          </w:tcPr>
          <w:p>
            <w:pPr>
              <w:ind w:left="160"/>
              <w:spacing w:after="0"/>
              <w:rPr>
                <w:sz w:val="20"/>
                <w:szCs w:val="20"/>
                <w:color w:val="auto"/>
              </w:rPr>
            </w:pPr>
            <w:r>
              <w:rPr>
                <w:rFonts w:ascii="Arial" w:cs="Arial" w:eastAsia="Arial" w:hAnsi="Arial"/>
                <w:sz w:val="22"/>
                <w:szCs w:val="22"/>
                <w:color w:val="auto"/>
              </w:rPr>
              <w:t>in relation to Novartis Healthcare Private Limited:</w:t>
            </w:r>
          </w:p>
        </w:tc>
      </w:tr>
      <w:tr>
        <w:trPr>
          <w:trHeight w:val="392"/>
        </w:trPr>
        <w:tc>
          <w:tcPr>
            <w:tcW w:w="5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22"/>
                <w:szCs w:val="22"/>
                <w:color w:val="auto"/>
              </w:rPr>
              <w:t>“(i)</w:t>
            </w:r>
          </w:p>
        </w:tc>
        <w:tc>
          <w:tcPr>
            <w:tcW w:w="6520" w:type="dxa"/>
            <w:vAlign w:val="bottom"/>
          </w:tcPr>
          <w:p>
            <w:pPr>
              <w:ind w:left="120"/>
              <w:spacing w:after="0"/>
              <w:rPr>
                <w:sz w:val="20"/>
                <w:szCs w:val="20"/>
                <w:color w:val="auto"/>
              </w:rPr>
            </w:pPr>
            <w:r>
              <w:rPr>
                <w:rFonts w:ascii="Arial" w:cs="Arial" w:eastAsia="Arial" w:hAnsi="Arial"/>
                <w:sz w:val="22"/>
                <w:szCs w:val="22"/>
                <w:color w:val="auto"/>
                <w:w w:val="90"/>
              </w:rPr>
              <w:t>Novartis Healthcare Private Limited Employees’ Group Gratuity Scheme;</w:t>
            </w:r>
          </w:p>
        </w:tc>
      </w:tr>
      <w:tr>
        <w:trPr>
          <w:trHeight w:val="524"/>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ind w:left="1740"/>
              <w:spacing w:after="0"/>
              <w:rPr>
                <w:sz w:val="20"/>
                <w:szCs w:val="20"/>
                <w:color w:val="auto"/>
              </w:rPr>
            </w:pPr>
            <w:r>
              <w:rPr>
                <w:rFonts w:ascii="Arial" w:cs="Arial" w:eastAsia="Arial" w:hAnsi="Arial"/>
                <w:sz w:val="14"/>
                <w:szCs w:val="14"/>
                <w:color w:val="auto"/>
              </w:rPr>
              <w:t>16</w:t>
            </w:r>
          </w:p>
        </w:tc>
      </w:tr>
    </w:tbl>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4" w:name="page125"/>
    <w:bookmarkEnd w:id="124"/>
    <w:p>
      <w:pPr>
        <w:ind w:left="19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Novartis Healthcare Private Limited Leave Benefit Scheme;</w:t>
      </w:r>
    </w:p>
    <w:p>
      <w:pPr>
        <w:spacing w:after="0" w:line="173" w:lineRule="exact"/>
        <w:rPr>
          <w:sz w:val="20"/>
          <w:szCs w:val="20"/>
          <w:color w:val="auto"/>
        </w:rPr>
      </w:pPr>
    </w:p>
    <w:p>
      <w:pPr>
        <w:sectPr>
          <w:pgSz w:w="11900" w:h="16838" w:orient="portrait"/>
          <w:cols w:equalWidth="0" w:num="2">
            <w:col w:w="2320" w:space="280"/>
            <w:col w:w="8820"/>
          </w:cols>
          <w:pgMar w:left="240" w:top="847" w:right="239" w:bottom="1440" w:gutter="0" w:footer="0" w:header="0"/>
        </w:sectPr>
      </w:pPr>
    </w:p>
    <w:p>
      <w:pPr>
        <w:ind w:left="19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Novartis Healthcare Private Limited Employees’ Provident Fund; and</w:t>
      </w:r>
    </w:p>
    <w:p>
      <w:pPr>
        <w:spacing w:after="0" w:line="173" w:lineRule="exact"/>
        <w:rPr>
          <w:sz w:val="20"/>
          <w:szCs w:val="20"/>
          <w:color w:val="auto"/>
        </w:rPr>
      </w:pPr>
    </w:p>
    <w:p>
      <w:pPr>
        <w:sectPr>
          <w:pgSz w:w="11900" w:h="16838" w:orient="portrait"/>
          <w:cols w:equalWidth="0" w:num="2">
            <w:col w:w="2380" w:space="220"/>
            <w:col w:w="8820"/>
          </w:cols>
          <w:pgMar w:left="240" w:top="847" w:right="239" w:bottom="1440" w:gutter="0" w:footer="0" w:header="0"/>
          <w:type w:val="continuous"/>
        </w:sectPr>
      </w:pPr>
    </w:p>
    <w:p>
      <w:pPr>
        <w:ind w:left="196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Novartis Healthcare Private Limited Post-Retirement Medical Benefit.</w:t>
      </w:r>
    </w:p>
    <w:p>
      <w:pPr>
        <w:spacing w:after="0" w:line="173" w:lineRule="exact"/>
        <w:rPr>
          <w:sz w:val="20"/>
          <w:szCs w:val="20"/>
          <w:color w:val="auto"/>
        </w:rPr>
      </w:pPr>
    </w:p>
    <w:p>
      <w:pPr>
        <w:sectPr>
          <w:pgSz w:w="11900" w:h="16838" w:orient="portrait"/>
          <w:cols w:equalWidth="0" w:num="2">
            <w:col w:w="2360" w:space="240"/>
            <w:col w:w="8820"/>
          </w:cols>
          <w:pgMar w:left="240" w:top="847" w:right="239" w:bottom="1440" w:gutter="0" w:footer="0" w:header="0"/>
          <w:type w:val="continuous"/>
        </w:sectPr>
      </w:pPr>
    </w:p>
    <w:p>
      <w:pPr>
        <w:ind w:left="1300" w:hanging="644"/>
        <w:spacing w:after="0"/>
        <w:tabs>
          <w:tab w:leader="none" w:pos="1300" w:val="left"/>
        </w:tabs>
        <w:numPr>
          <w:ilvl w:val="1"/>
          <w:numId w:val="88"/>
        </w:numPr>
        <w:rPr>
          <w:rFonts w:ascii="Arial" w:cs="Arial" w:eastAsia="Arial" w:hAnsi="Arial"/>
          <w:sz w:val="22"/>
          <w:szCs w:val="22"/>
          <w:color w:val="auto"/>
        </w:rPr>
      </w:pPr>
      <w:r>
        <w:rPr>
          <w:rFonts w:ascii="Arial" w:cs="Arial" w:eastAsia="Arial" w:hAnsi="Arial"/>
          <w:sz w:val="22"/>
          <w:szCs w:val="22"/>
          <w:color w:val="auto"/>
        </w:rPr>
        <w:t>Sub-paragraph 5.2 shall be deleted and replaced with the following:</w:t>
      </w:r>
    </w:p>
    <w:p>
      <w:pPr>
        <w:spacing w:after="0" w:line="219" w:lineRule="exact"/>
        <w:rPr>
          <w:rFonts w:ascii="Arial" w:cs="Arial" w:eastAsia="Arial" w:hAnsi="Arial"/>
          <w:sz w:val="22"/>
          <w:szCs w:val="22"/>
          <w:color w:val="auto"/>
        </w:rPr>
      </w:pPr>
    </w:p>
    <w:p>
      <w:pPr>
        <w:jc w:val="both"/>
        <w:ind w:left="1300"/>
        <w:spacing w:after="0" w:line="292" w:lineRule="auto"/>
        <w:rPr>
          <w:rFonts w:ascii="Arial" w:cs="Arial" w:eastAsia="Arial" w:hAnsi="Arial"/>
          <w:sz w:val="22"/>
          <w:szCs w:val="22"/>
          <w:color w:val="auto"/>
        </w:rPr>
      </w:pPr>
      <w:r>
        <w:rPr>
          <w:rFonts w:ascii="Arial" w:cs="Arial" w:eastAsia="Arial" w:hAnsi="Arial"/>
          <w:sz w:val="19"/>
          <w:szCs w:val="19"/>
          <w:color w:val="auto"/>
        </w:rPr>
        <w:t>“5.2 There shall be included in the sale of the Business of Novartis Healthcare Private Limited and Novartis India Limited under this Agreement or, where relevant, the Local Agreements, any plan, contract, policy, agreement, obligation or arrangement in respect of the Indian Retirement Benefit Arrangements and any liability (whenever accrued) under the Indian Retirement Benefit Arrangements, so that all liability attributable to the Business in respect of such benefit arrangements shall transfer from the Seller to the Purchaser and the Seller and the Purchaser agree to use all reasonable best efforts to ensure that Novartis Healthcare Private Limited’s and Novartis India Limited’s respective obligations and liability in respect of such benefit arrangements shall be so transferred.”</w:t>
      </w:r>
    </w:p>
    <w:p>
      <w:pPr>
        <w:spacing w:after="0" w:line="151" w:lineRule="exact"/>
        <w:rPr>
          <w:rFonts w:ascii="Arial" w:cs="Arial" w:eastAsia="Arial" w:hAnsi="Arial"/>
          <w:sz w:val="22"/>
          <w:szCs w:val="22"/>
          <w:color w:val="auto"/>
        </w:rPr>
      </w:pPr>
    </w:p>
    <w:p>
      <w:pPr>
        <w:ind w:left="1300" w:hanging="644"/>
        <w:spacing w:after="0"/>
        <w:tabs>
          <w:tab w:leader="none" w:pos="130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following new sub-paragraphs 5.4 and 5.5 shall be added to Annex 6.08(k) of the SAPA:</w:t>
      </w:r>
    </w:p>
    <w:p>
      <w:pPr>
        <w:spacing w:after="0" w:line="219" w:lineRule="exact"/>
        <w:rPr>
          <w:rFonts w:ascii="Arial" w:cs="Arial" w:eastAsia="Arial" w:hAnsi="Arial"/>
          <w:sz w:val="22"/>
          <w:szCs w:val="22"/>
          <w:color w:val="auto"/>
        </w:rPr>
      </w:pPr>
    </w:p>
    <w:p>
      <w:pPr>
        <w:jc w:val="both"/>
        <w:ind w:left="1300"/>
        <w:spacing w:after="0" w:line="271" w:lineRule="auto"/>
        <w:rPr>
          <w:rFonts w:ascii="Arial" w:cs="Arial" w:eastAsia="Arial" w:hAnsi="Arial"/>
          <w:sz w:val="22"/>
          <w:szCs w:val="22"/>
          <w:color w:val="auto"/>
        </w:rPr>
      </w:pPr>
      <w:r>
        <w:rPr>
          <w:rFonts w:ascii="Arial" w:cs="Arial" w:eastAsia="Arial" w:hAnsi="Arial"/>
          <w:sz w:val="21"/>
          <w:szCs w:val="21"/>
          <w:color w:val="auto"/>
        </w:rPr>
        <w:t>“5.4 In respect of the Delayed Transfer Employees in India, the relevant transfer of obligations and liabilities shall occur at the end of the relevant Secondment Period (or, if no such Secondment Agreement exists at Closing, at Closing or such other date as is agreed under an applicable Local Agreement)</w:t>
      </w:r>
    </w:p>
    <w:p>
      <w:pPr>
        <w:spacing w:after="0" w:line="167" w:lineRule="exact"/>
        <w:rPr>
          <w:rFonts w:ascii="Arial" w:cs="Arial" w:eastAsia="Arial" w:hAnsi="Arial"/>
          <w:sz w:val="22"/>
          <w:szCs w:val="22"/>
          <w:color w:val="auto"/>
        </w:rPr>
      </w:pPr>
    </w:p>
    <w:p>
      <w:pPr>
        <w:jc w:val="both"/>
        <w:ind w:left="1300"/>
        <w:spacing w:after="0" w:line="253" w:lineRule="auto"/>
        <w:rPr>
          <w:rFonts w:ascii="Arial" w:cs="Arial" w:eastAsia="Arial" w:hAnsi="Arial"/>
          <w:sz w:val="22"/>
          <w:szCs w:val="22"/>
          <w:color w:val="auto"/>
        </w:rPr>
      </w:pPr>
      <w:r>
        <w:rPr>
          <w:rFonts w:ascii="Arial" w:cs="Arial" w:eastAsia="Arial" w:hAnsi="Arial"/>
          <w:sz w:val="22"/>
          <w:szCs w:val="22"/>
          <w:color w:val="auto"/>
        </w:rPr>
        <w:t>“5.5 For the avoidance of doubt, the applicable transfer date under paragraph 5.4 above shall not affect the valuation of such obligations and liabilities, and any transferred underlying assets related thereto, both of which shall be valued as at Closing in accordance with paragraph 3 of Annex 6.08(l).”</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89"/>
        </w:numPr>
        <w:rPr>
          <w:rFonts w:ascii="Arial" w:cs="Arial" w:eastAsia="Arial" w:hAnsi="Arial"/>
          <w:sz w:val="22"/>
          <w:szCs w:val="22"/>
          <w:i w:val="1"/>
          <w:iCs w:val="1"/>
          <w:color w:val="auto"/>
        </w:rPr>
      </w:pPr>
      <w:r>
        <w:rPr>
          <w:rFonts w:ascii="Arial" w:cs="Arial" w:eastAsia="Arial" w:hAnsi="Arial"/>
          <w:sz w:val="22"/>
          <w:szCs w:val="22"/>
          <w:i w:val="1"/>
          <w:iCs w:val="1"/>
          <w:color w:val="auto"/>
        </w:rPr>
        <w:t>Mexico</w:t>
      </w:r>
    </w:p>
    <w:p>
      <w:pPr>
        <w:spacing w:after="0" w:line="219" w:lineRule="exact"/>
        <w:rPr>
          <w:rFonts w:ascii="Arial" w:cs="Arial" w:eastAsia="Arial" w:hAnsi="Arial"/>
          <w:sz w:val="22"/>
          <w:szCs w:val="22"/>
          <w:i w:val="1"/>
          <w:iCs w:val="1"/>
          <w:color w:val="auto"/>
        </w:rPr>
      </w:pPr>
    </w:p>
    <w:p>
      <w:pPr>
        <w:ind w:left="660" w:right="640"/>
        <w:spacing w:after="0" w:line="448" w:lineRule="auto"/>
        <w:rPr>
          <w:rFonts w:ascii="Arial" w:cs="Arial" w:eastAsia="Arial" w:hAnsi="Arial"/>
          <w:sz w:val="22"/>
          <w:szCs w:val="22"/>
          <w:i w:val="1"/>
          <w:iCs w:val="1"/>
          <w:color w:val="auto"/>
        </w:rPr>
      </w:pPr>
      <w:r>
        <w:rPr>
          <w:rFonts w:ascii="Arial" w:cs="Arial" w:eastAsia="Arial" w:hAnsi="Arial"/>
          <w:sz w:val="22"/>
          <w:szCs w:val="22"/>
          <w:color w:val="auto"/>
        </w:rPr>
        <w:t>The following new paragraph 6A shall be inserted into Annex 6.08(k) of the SAPA, immediately before paragraph 7: “</w:t>
      </w:r>
      <w:r>
        <w:rPr>
          <w:rFonts w:ascii="Arial" w:cs="Arial" w:eastAsia="Arial" w:hAnsi="Arial"/>
          <w:sz w:val="22"/>
          <w:szCs w:val="22"/>
          <w:b w:val="1"/>
          <w:bCs w:val="1"/>
          <w:color w:val="auto"/>
        </w:rPr>
        <w:t>6A. Mexico</w:t>
      </w:r>
    </w:p>
    <w:p>
      <w:pPr>
        <w:jc w:val="both"/>
        <w:ind w:left="660"/>
        <w:spacing w:after="0" w:line="263" w:lineRule="auto"/>
        <w:rPr>
          <w:rFonts w:ascii="Arial" w:cs="Arial" w:eastAsia="Arial" w:hAnsi="Arial"/>
          <w:sz w:val="22"/>
          <w:szCs w:val="22"/>
          <w:i w:val="1"/>
          <w:iCs w:val="1"/>
          <w:color w:val="auto"/>
        </w:rPr>
      </w:pPr>
      <w:r>
        <w:rPr>
          <w:rFonts w:ascii="Arial" w:cs="Arial" w:eastAsia="Arial" w:hAnsi="Arial"/>
          <w:sz w:val="21"/>
          <w:szCs w:val="21"/>
          <w:color w:val="auto"/>
        </w:rPr>
        <w:t>“6A.1 Where, immediately before the sale of the Transferred Assets in Mexico under this Agreement or, where relevant, the Local Agreement, a Transferred Asset participates in, or has liability in respect of, a retirement benefit arrangement, the Seller and the Purchaser agree that there shall be included in the sale of the Transferred Asset under this Agreement or, where relevant, the Local Agreement, any plan, contract, policy, agreement, obligation or arrangement in respect of the retirement benefit arrangement and any liability (whenever</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17</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type w:val="continuous"/>
        </w:sectPr>
      </w:pPr>
    </w:p>
    <w:bookmarkStart w:id="125" w:name="page126"/>
    <w:bookmarkEnd w:id="125"/>
    <w:p>
      <w:pPr>
        <w:jc w:val="both"/>
        <w:ind w:left="660"/>
        <w:spacing w:after="0" w:line="297" w:lineRule="auto"/>
        <w:rPr>
          <w:sz w:val="20"/>
          <w:szCs w:val="20"/>
          <w:color w:val="auto"/>
        </w:rPr>
      </w:pPr>
      <w:r>
        <w:rPr>
          <w:rFonts w:ascii="Arial" w:cs="Arial" w:eastAsia="Arial" w:hAnsi="Arial"/>
          <w:sz w:val="19"/>
          <w:szCs w:val="19"/>
          <w:color w:val="auto"/>
        </w:rPr>
        <w:t>accrued) under the retirement benefit arrangement, so that all liability attributable to the Transferred Asset in respect of the retirement benefit arrangement shall transfer from the Seller to the Purchaser, and the Seller and the Purchaser agree to use reasonable efforts to ensure that the Transferred Asset’s obligations and liability in respect of the retirement benefit arrangement shall be so transferred at the end of the relevant Secondment Period (or, if no applicable Secondment Agreement exists at Closing, at Closing or such other date as is agreed under an applicable Local Agreement).</w:t>
      </w:r>
    </w:p>
    <w:p>
      <w:pPr>
        <w:spacing w:after="0" w:line="147"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“6A.2 For the avoidance of doubt, the applicable transfer date under paragraph 6A.1 above shall not affect the valuation of such obligations and liabilities, and any transferred underlying assets related thereto, both of which shall be valued as at Closing in accordance with paragraph 3 of Annex 6.08(l).</w:t>
      </w:r>
    </w:p>
    <w:p>
      <w:pPr>
        <w:spacing w:after="0" w:line="18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“6A.3 For the avoidance of doubt, for the purpose of any Secondment Agreement, any assessment of amounts actually paid by Novartis to or in respect of secondees shall be taken to include the cost of any pension contributions made in relation to such secondees (including a pro-rated portion of any undifferentiated sum payment to a retirement benefit arrangement). The parties agree to construe (and to procure that their respective Affiliates construe) any Local Agreement and/or Secondment Agreement accordingly.”</w:t>
      </w:r>
    </w:p>
    <w:p>
      <w:pPr>
        <w:spacing w:after="0" w:line="192"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i w:val="1"/>
          <w:iCs w:val="1"/>
          <w:color w:val="auto"/>
        </w:rPr>
      </w:pPr>
      <w:r>
        <w:rPr>
          <w:rFonts w:ascii="Arial" w:cs="Arial" w:eastAsia="Arial" w:hAnsi="Arial"/>
          <w:sz w:val="22"/>
          <w:szCs w:val="22"/>
          <w:i w:val="1"/>
          <w:iCs w:val="1"/>
          <w:color w:val="auto"/>
        </w:rPr>
        <w:t>Rest of world</w:t>
      </w:r>
    </w:p>
    <w:p>
      <w:pPr>
        <w:spacing w:after="0" w:line="219" w:lineRule="exact"/>
        <w:rPr>
          <w:rFonts w:ascii="Arial" w:cs="Arial" w:eastAsia="Arial" w:hAnsi="Arial"/>
          <w:sz w:val="22"/>
          <w:szCs w:val="22"/>
          <w:i w:val="1"/>
          <w:iCs w:val="1"/>
          <w:color w:val="auto"/>
        </w:rPr>
      </w:pPr>
    </w:p>
    <w:p>
      <w:pPr>
        <w:jc w:val="both"/>
        <w:ind w:left="1300" w:hanging="644"/>
        <w:spacing w:after="0" w:line="253" w:lineRule="auto"/>
        <w:tabs>
          <w:tab w:leader="none" w:pos="13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heading of paragraph 7 of Annex 6.08(k) shall be changed to “Other Jurisdictions (other than Switzerland, United States, United Kingdom, India, the Republic of Ireland, Mexico, and, subject to paragraph 6 above, Canada)”.</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In paragraph 7.1 of Annex 6.08(k) of the SAPA, the words:</w:t>
      </w:r>
    </w:p>
    <w:p>
      <w:pPr>
        <w:spacing w:after="0" w:line="219" w:lineRule="exact"/>
        <w:rPr>
          <w:rFonts w:ascii="Arial" w:cs="Arial" w:eastAsia="Arial" w:hAnsi="Arial"/>
          <w:sz w:val="22"/>
          <w:szCs w:val="22"/>
          <w:color w:val="auto"/>
        </w:rPr>
      </w:pPr>
    </w:p>
    <w:p>
      <w:pPr>
        <w:ind w:left="1300" w:right="20"/>
        <w:spacing w:after="0" w:line="263" w:lineRule="auto"/>
        <w:rPr>
          <w:rFonts w:ascii="Arial" w:cs="Arial" w:eastAsia="Arial" w:hAnsi="Arial"/>
          <w:sz w:val="22"/>
          <w:szCs w:val="22"/>
          <w:color w:val="auto"/>
        </w:rPr>
      </w:pPr>
      <w:r>
        <w:rPr>
          <w:rFonts w:ascii="Arial" w:cs="Arial" w:eastAsia="Arial" w:hAnsi="Arial"/>
          <w:sz w:val="22"/>
          <w:szCs w:val="22"/>
          <w:color w:val="auto"/>
        </w:rPr>
        <w:t>“(other than in Switzerland, United States, United Kingdom, India, the Republic of Ireland and, subject to paragraph 6 above, Canada)”</w:t>
      </w:r>
    </w:p>
    <w:p>
      <w:pPr>
        <w:spacing w:after="0" w:line="174"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shall be deleted and replaced with:</w:t>
      </w:r>
    </w:p>
    <w:p>
      <w:pPr>
        <w:spacing w:after="0" w:line="219" w:lineRule="exact"/>
        <w:rPr>
          <w:rFonts w:ascii="Arial" w:cs="Arial" w:eastAsia="Arial" w:hAnsi="Arial"/>
          <w:sz w:val="22"/>
          <w:szCs w:val="22"/>
          <w:color w:val="auto"/>
        </w:rPr>
      </w:pPr>
    </w:p>
    <w:p>
      <w:pPr>
        <w:ind w:left="1300" w:right="20"/>
        <w:spacing w:after="0" w:line="263" w:lineRule="auto"/>
        <w:rPr>
          <w:rFonts w:ascii="Arial" w:cs="Arial" w:eastAsia="Arial" w:hAnsi="Arial"/>
          <w:sz w:val="22"/>
          <w:szCs w:val="22"/>
          <w:color w:val="auto"/>
        </w:rPr>
      </w:pPr>
      <w:r>
        <w:rPr>
          <w:rFonts w:ascii="Arial" w:cs="Arial" w:eastAsia="Arial" w:hAnsi="Arial"/>
          <w:sz w:val="22"/>
          <w:szCs w:val="22"/>
          <w:color w:val="auto"/>
        </w:rPr>
        <w:t>“(other than in Switzerland, United States, United Kingdom, India, the Republic of Ireland, Mexico and, subject to paragraph 6 above, Canada)”</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In paragraph 7.2 of Annex 6.08(k) of the SAPA, the words:</w:t>
      </w:r>
    </w:p>
    <w:p>
      <w:pPr>
        <w:spacing w:after="0" w:line="219" w:lineRule="exact"/>
        <w:rPr>
          <w:rFonts w:ascii="Arial" w:cs="Arial" w:eastAsia="Arial" w:hAnsi="Arial"/>
          <w:sz w:val="22"/>
          <w:szCs w:val="22"/>
          <w:color w:val="auto"/>
        </w:rPr>
      </w:pPr>
    </w:p>
    <w:p>
      <w:pPr>
        <w:ind w:left="1300" w:right="20"/>
        <w:spacing w:after="0" w:line="263" w:lineRule="auto"/>
        <w:rPr>
          <w:rFonts w:ascii="Arial" w:cs="Arial" w:eastAsia="Arial" w:hAnsi="Arial"/>
          <w:sz w:val="22"/>
          <w:szCs w:val="22"/>
          <w:color w:val="auto"/>
        </w:rPr>
      </w:pPr>
      <w:r>
        <w:rPr>
          <w:rFonts w:ascii="Arial" w:cs="Arial" w:eastAsia="Arial" w:hAnsi="Arial"/>
          <w:sz w:val="22"/>
          <w:szCs w:val="22"/>
          <w:color w:val="auto"/>
        </w:rPr>
        <w:t>“(other than in Switzerland, United States, United Kingdom, India, the Republic of Ireland and, subject to paragraph 6 above, Canada)”</w:t>
      </w:r>
    </w:p>
    <w:p>
      <w:pPr>
        <w:spacing w:after="0" w:line="174"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shall be deleted and replaced with:</w:t>
      </w:r>
    </w:p>
    <w:p>
      <w:pPr>
        <w:spacing w:after="0" w:line="219" w:lineRule="exact"/>
        <w:rPr>
          <w:rFonts w:ascii="Arial" w:cs="Arial" w:eastAsia="Arial" w:hAnsi="Arial"/>
          <w:sz w:val="22"/>
          <w:szCs w:val="22"/>
          <w:color w:val="auto"/>
        </w:rPr>
      </w:pPr>
    </w:p>
    <w:p>
      <w:pPr>
        <w:ind w:left="1300" w:right="20"/>
        <w:spacing w:after="0" w:line="263" w:lineRule="auto"/>
        <w:rPr>
          <w:rFonts w:ascii="Arial" w:cs="Arial" w:eastAsia="Arial" w:hAnsi="Arial"/>
          <w:sz w:val="22"/>
          <w:szCs w:val="22"/>
          <w:color w:val="auto"/>
        </w:rPr>
      </w:pPr>
      <w:r>
        <w:rPr>
          <w:rFonts w:ascii="Arial" w:cs="Arial" w:eastAsia="Arial" w:hAnsi="Arial"/>
          <w:sz w:val="22"/>
          <w:szCs w:val="22"/>
          <w:color w:val="auto"/>
        </w:rPr>
        <w:t>“(other than in Switzerland, United States, United Kingdom, India, the Republic of Ireland, Mexico and, subject to paragraph 6 above, Canada)”.</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19"/>
          <w:szCs w:val="19"/>
          <w:b w:val="1"/>
          <w:bCs w:val="1"/>
          <w:color w:val="auto"/>
        </w:rPr>
        <w:t>Amendment to Section 6.12(b) of the SAPA</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18</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Section 6.12(b) of the SAPA is hereby deleted and replaced in its entirety by the following provision:</w:t>
      </w:r>
    </w:p>
    <w:p>
      <w:pPr>
        <w:spacing w:after="0" w:line="220"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 xml:space="preserve">“the Purchaser or its Affiliates will manufacture and supply on behalf of the Seller or such members of the Seller’s Group, and the Seller or its Affiliates will manufacture and supply on behalf the Purchaser or such member of the Purchaser’s Group, in each case as provided therein, certain products pursuant to the manufacturing and supply agreements substantially on the terms set forth in </w:t>
      </w:r>
      <w:r>
        <w:rPr>
          <w:rFonts w:ascii="Arial" w:cs="Arial" w:eastAsia="Arial" w:hAnsi="Arial"/>
          <w:sz w:val="19"/>
          <w:szCs w:val="19"/>
          <w:u w:val="single" w:color="auto"/>
          <w:color w:val="auto"/>
        </w:rPr>
        <w:t>Exhibit 6.12(b)</w:t>
      </w:r>
      <w:r>
        <w:rPr>
          <w:rFonts w:ascii="Arial" w:cs="Arial" w:eastAsia="Arial" w:hAnsi="Arial"/>
          <w:sz w:val="19"/>
          <w:szCs w:val="19"/>
          <w:color w:val="auto"/>
        </w:rPr>
        <w:t xml:space="preserve">, which shall be in form of four (4) separate manufacturing and supply agreements, including (i) a Manufacturing and Supply Agreement by and between Sandoz AG, a company incorporated under the Laws of Switzerland, and the Purchaser (the </w:t>
      </w:r>
      <w:r>
        <w:rPr>
          <w:rFonts w:ascii="Arial" w:cs="Arial" w:eastAsia="Arial" w:hAnsi="Arial"/>
          <w:sz w:val="19"/>
          <w:szCs w:val="19"/>
          <w:b w:val="1"/>
          <w:bCs w:val="1"/>
          <w:i w:val="1"/>
          <w:iCs w:val="1"/>
          <w:color w:val="auto"/>
        </w:rPr>
        <w:t>Sandoz MSA</w:t>
      </w:r>
      <w:r>
        <w:rPr>
          <w:rFonts w:ascii="Arial" w:cs="Arial" w:eastAsia="Arial" w:hAnsi="Arial"/>
          <w:sz w:val="19"/>
          <w:szCs w:val="19"/>
          <w:color w:val="auto"/>
        </w:rPr>
        <w:t xml:space="preserve">), (ii) a Manufacturing and Supply Agreement by and among Alcon Research, Ltd., a company incorporated under the laws of Delaware, Alcon Pharmaceuticals Ltd., a company incorporated under the laws of Switzerland, and the Purchaser (the </w:t>
      </w:r>
      <w:r>
        <w:rPr>
          <w:rFonts w:ascii="Arial" w:cs="Arial" w:eastAsia="Arial" w:hAnsi="Arial"/>
          <w:sz w:val="19"/>
          <w:szCs w:val="19"/>
          <w:b w:val="1"/>
          <w:bCs w:val="1"/>
          <w:i w:val="1"/>
          <w:iCs w:val="1"/>
          <w:color w:val="auto"/>
        </w:rPr>
        <w:t>Alcon MSA</w:t>
      </w:r>
      <w:r>
        <w:rPr>
          <w:rFonts w:ascii="Arial" w:cs="Arial" w:eastAsia="Arial" w:hAnsi="Arial"/>
          <w:sz w:val="19"/>
          <w:szCs w:val="19"/>
          <w:color w:val="auto"/>
        </w:rPr>
        <w:t xml:space="preserve">), (iii) a Manufacturing and Supply Agreement by and between Novartis Pharma AG, a company incorporated under the laws of Switzerland, and the Purchaser (the </w:t>
      </w:r>
      <w:r>
        <w:rPr>
          <w:rFonts w:ascii="Arial" w:cs="Arial" w:eastAsia="Arial" w:hAnsi="Arial"/>
          <w:sz w:val="19"/>
          <w:szCs w:val="19"/>
          <w:b w:val="1"/>
          <w:bCs w:val="1"/>
          <w:i w:val="1"/>
          <w:iCs w:val="1"/>
          <w:color w:val="auto"/>
        </w:rPr>
        <w:t>Pharma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MSA</w:t>
      </w:r>
      <w:r>
        <w:rPr>
          <w:rFonts w:ascii="Arial" w:cs="Arial" w:eastAsia="Arial" w:hAnsi="Arial"/>
          <w:sz w:val="19"/>
          <w:szCs w:val="19"/>
          <w:color w:val="auto"/>
        </w:rPr>
        <w:t>), and (iv) a Manufacturing and Supply Agreement by and among Ex-Lax, Inc., a company incorporated under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laws of Puerto Rico, Novartis Consumer Health, Inc., a company incorporated under the laws of Delaware, and the Purchaser (the </w:t>
      </w:r>
      <w:r>
        <w:rPr>
          <w:rFonts w:ascii="Arial" w:cs="Arial" w:eastAsia="Arial" w:hAnsi="Arial"/>
          <w:sz w:val="19"/>
          <w:szCs w:val="19"/>
          <w:b w:val="1"/>
          <w:bCs w:val="1"/>
          <w:i w:val="1"/>
          <w:iCs w:val="1"/>
          <w:color w:val="auto"/>
        </w:rPr>
        <w:t>OTC MSA</w:t>
      </w:r>
      <w:r>
        <w:rPr>
          <w:rFonts w:ascii="Arial" w:cs="Arial" w:eastAsia="Arial" w:hAnsi="Arial"/>
          <w:sz w:val="19"/>
          <w:szCs w:val="19"/>
          <w:color w:val="auto"/>
        </w:rPr>
        <w:t xml:space="preserve">) (the Sandoz MSA, Alcon MSA, Pharma MSA, and OTC MSAs, collectively, the </w:t>
      </w:r>
      <w:r>
        <w:rPr>
          <w:rFonts w:ascii="Arial" w:cs="Arial" w:eastAsia="Arial" w:hAnsi="Arial"/>
          <w:sz w:val="19"/>
          <w:szCs w:val="19"/>
          <w:b w:val="1"/>
          <w:bCs w:val="1"/>
          <w:i w:val="1"/>
          <w:iCs w:val="1"/>
          <w:color w:val="auto"/>
        </w:rPr>
        <w:t>Manufacturing and Supply Agreements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19"/>
          <w:szCs w:val="19"/>
          <w:b w:val="1"/>
          <w:bCs w:val="1"/>
          <w:color w:val="auto"/>
        </w:rPr>
        <w:t>Amendment to Section 7.01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7.01(a)(vi) of the SAPA is hereby deleted and replaced in its entirety by the following provision:</w:t>
      </w:r>
    </w:p>
    <w:p>
      <w:pPr>
        <w:spacing w:after="0" w:line="220"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“Taxes imposed on any members of any Tax Group of which a Transferred Subsidiary is or was a member prior to the Closing Date (and, with respect to a Seller’s VAT Group (other than the New UK VAT Group), on or after the Closing Date if a Transferred Subsidiary has not been removed from that Seller’s VAT Group as of the Closing Date) payable by or recoverable from any Transferred Subsidiary or in respect of the Transferred Assets (including under U.S. Treasury Regulations Section 1.1502-6 or any analogous or similar state, local or non-U.S. law or regulation;”</w:t>
      </w:r>
    </w:p>
    <w:p>
      <w:pPr>
        <w:spacing w:after="0" w:line="14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19"/>
          <w:szCs w:val="19"/>
          <w:b w:val="1"/>
          <w:bCs w:val="1"/>
          <w:color w:val="auto"/>
        </w:rPr>
        <w:t>Amendment to Section 7.04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Section 7.04 of the SAPA is hereby deleted and replaced in its entirety by the following provision:</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“To the extent permitted by Applicable Law, the Seller shall Terminate any Tax indemnification, allocation or sharing agreement, VAT group arrangement or group payment arrangement in respect of Tax, in each case between any Transferred Subsidiary and Seller, any Affiliate of the Seller or any other Person prior to or as of the Closing Date, </w:t>
      </w:r>
      <w:r>
        <w:rPr>
          <w:rFonts w:ascii="Arial" w:cs="Arial" w:eastAsia="Arial" w:hAnsi="Arial"/>
          <w:sz w:val="22"/>
          <w:szCs w:val="22"/>
          <w:b w:val="1"/>
          <w:bCs w:val="1"/>
          <w:color w:val="auto"/>
        </w:rPr>
        <w:t>provided</w:t>
      </w:r>
      <w:r>
        <w:rPr>
          <w:rFonts w:ascii="Arial" w:cs="Arial" w:eastAsia="Arial" w:hAnsi="Arial"/>
          <w:sz w:val="22"/>
          <w:szCs w:val="22"/>
          <w:color w:val="auto"/>
        </w:rPr>
        <w:t xml:space="preserve"> that the Seller shall not terminate any such VAT group arrangement comprising only Novartis Animal Health UK Limited, Novartis Animal Vaccines Limited and Vericore Limited (the </w:t>
      </w:r>
      <w:r>
        <w:rPr>
          <w:rFonts w:ascii="Arial" w:cs="Arial" w:eastAsia="Arial" w:hAnsi="Arial"/>
          <w:sz w:val="22"/>
          <w:szCs w:val="22"/>
          <w:b w:val="1"/>
          <w:bCs w:val="1"/>
          <w:i w:val="1"/>
          <w:iCs w:val="1"/>
          <w:color w:val="auto"/>
        </w:rPr>
        <w:t>New UK VAT Group</w:t>
      </w:r>
      <w:r>
        <w:rPr>
          <w:rFonts w:ascii="Arial" w:cs="Arial" w:eastAsia="Arial" w:hAnsi="Arial"/>
          <w:sz w:val="22"/>
          <w:szCs w:val="22"/>
          <w:color w:val="auto"/>
        </w:rPr>
        <w:t>).”</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color w:val="auto"/>
        </w:rPr>
        <w:t>Amendment to Section 11.17 of the SAPA</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19</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Section 11.17 of the SAPA is hereby deleted and replaced in its entirety by the following provision:</w:t>
      </w:r>
    </w:p>
    <w:p>
      <w:pPr>
        <w:spacing w:after="0" w:line="220"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“In the event the Parties need to convert currencies under this Agreement, the relevant exchange rate will be determined based on:</w:t>
      </w:r>
    </w:p>
    <w:p>
      <w:pPr>
        <w:spacing w:after="0" w:line="175" w:lineRule="exact"/>
        <w:rPr>
          <w:sz w:val="20"/>
          <w:szCs w:val="20"/>
          <w:color w:val="auto"/>
        </w:rPr>
      </w:pPr>
    </w:p>
    <w:p>
      <w:pPr>
        <w:ind w:left="1220" w:hanging="564"/>
        <w:spacing w:after="0"/>
        <w:tabs>
          <w:tab w:leader="none" w:pos="12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that the January 1 Closing Event, and subsequently the Closing on January 1, 2015, occurs,</w:t>
      </w:r>
    </w:p>
    <w:p>
      <w:pPr>
        <w:spacing w:after="0" w:line="219" w:lineRule="exact"/>
        <w:rPr>
          <w:rFonts w:ascii="Arial" w:cs="Arial" w:eastAsia="Arial" w:hAnsi="Arial"/>
          <w:sz w:val="22"/>
          <w:szCs w:val="22"/>
          <w:color w:val="auto"/>
        </w:rPr>
      </w:pPr>
    </w:p>
    <w:p>
      <w:pPr>
        <w:jc w:val="both"/>
        <w:ind w:left="660" w:firstLine="645"/>
        <w:spacing w:after="0" w:line="248" w:lineRule="auto"/>
        <w:tabs>
          <w:tab w:leader="none" w:pos="18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the Seller’s internal exchange rates (established in accordance with Paragraph 1 of </w:t>
      </w:r>
      <w:r>
        <w:rPr>
          <w:rFonts w:ascii="Arial" w:cs="Arial" w:eastAsia="Arial" w:hAnsi="Arial"/>
          <w:sz w:val="22"/>
          <w:szCs w:val="22"/>
          <w:u w:val="single" w:color="auto"/>
          <w:color w:val="auto"/>
        </w:rPr>
        <w:t>Annex 4.03</w:t>
      </w:r>
      <w:r>
        <w:rPr>
          <w:rFonts w:ascii="Arial" w:cs="Arial" w:eastAsia="Arial" w:hAnsi="Arial"/>
          <w:sz w:val="22"/>
          <w:szCs w:val="22"/>
          <w:color w:val="auto"/>
        </w:rPr>
        <w:t xml:space="preserve">): (A) as of December 10, 2014, with respect to the payment of any portion of the Initial Purchase Price in currency other than U.S. Dollars and any payment made pursuant to </w:t>
      </w:r>
      <w:r>
        <w:rPr>
          <w:rFonts w:ascii="Arial" w:cs="Arial" w:eastAsia="Arial" w:hAnsi="Arial"/>
          <w:sz w:val="22"/>
          <w:szCs w:val="22"/>
          <w:u w:val="single" w:color="auto"/>
          <w:color w:val="auto"/>
        </w:rPr>
        <w:t>Sections 2.06(d)</w:t>
      </w:r>
      <w:r>
        <w:rPr>
          <w:rFonts w:ascii="Arial" w:cs="Arial" w:eastAsia="Arial" w:hAnsi="Arial"/>
          <w:sz w:val="22"/>
          <w:szCs w:val="22"/>
          <w:color w:val="auto"/>
        </w:rPr>
        <w:t xml:space="preserve"> (other than payments made in respect of any adjustments contemplated under that Section) and (B) as of December 31, 2014 for the purposes of any payments for adjustments pursuant to </w:t>
      </w:r>
      <w:r>
        <w:rPr>
          <w:rFonts w:ascii="Arial" w:cs="Arial" w:eastAsia="Arial" w:hAnsi="Arial"/>
          <w:sz w:val="22"/>
          <w:szCs w:val="22"/>
          <w:u w:val="single" w:color="auto"/>
          <w:color w:val="auto"/>
        </w:rPr>
        <w:t>Section 2.06(d)</w:t>
      </w:r>
      <w:r>
        <w:rPr>
          <w:rFonts w:ascii="Arial" w:cs="Arial" w:eastAsia="Arial" w:hAnsi="Arial"/>
          <w:sz w:val="22"/>
          <w:szCs w:val="22"/>
          <w:color w:val="auto"/>
        </w:rPr>
        <w:t xml:space="preserve"> of this Agreement;</w:t>
      </w:r>
    </w:p>
    <w:p>
      <w:pPr>
        <w:spacing w:after="0" w:line="192" w:lineRule="exact"/>
        <w:rPr>
          <w:rFonts w:ascii="Arial" w:cs="Arial" w:eastAsia="Arial" w:hAnsi="Arial"/>
          <w:sz w:val="22"/>
          <w:szCs w:val="22"/>
          <w:color w:val="auto"/>
        </w:rPr>
      </w:pPr>
    </w:p>
    <w:p>
      <w:pPr>
        <w:jc w:val="both"/>
        <w:ind w:left="660" w:firstLine="645"/>
        <w:spacing w:after="0" w:line="271" w:lineRule="auto"/>
        <w:tabs>
          <w:tab w:leader="none" w:pos="1812"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the spot reference rate for a transaction between two currencies in question as quoted by the European Central Bank as of December 31, 2014, for the purposes of any payments for adjustments pursuant to </w:t>
      </w:r>
      <w:r>
        <w:rPr>
          <w:rFonts w:ascii="Arial" w:cs="Arial" w:eastAsia="Arial" w:hAnsi="Arial"/>
          <w:sz w:val="21"/>
          <w:szCs w:val="21"/>
          <w:u w:val="single" w:color="auto"/>
          <w:color w:val="auto"/>
        </w:rPr>
        <w:t>Section 2.07(d)</w:t>
      </w:r>
      <w:r>
        <w:rPr>
          <w:rFonts w:ascii="Arial" w:cs="Arial" w:eastAsia="Arial" w:hAnsi="Arial"/>
          <w:sz w:val="21"/>
          <w:szCs w:val="21"/>
          <w:color w:val="auto"/>
        </w:rPr>
        <w:t xml:space="preserve"> to any portion of the Initial Purchase Price that is paid at the Closing in a currency other than U.S. Dollars;</w:t>
      </w:r>
    </w:p>
    <w:p>
      <w:pPr>
        <w:spacing w:after="0" w:line="167" w:lineRule="exact"/>
        <w:rPr>
          <w:rFonts w:ascii="Arial" w:cs="Arial" w:eastAsia="Arial" w:hAnsi="Arial"/>
          <w:sz w:val="21"/>
          <w:szCs w:val="21"/>
          <w:color w:val="auto"/>
        </w:rPr>
      </w:pPr>
    </w:p>
    <w:p>
      <w:pPr>
        <w:ind w:left="1180" w:hanging="524"/>
        <w:spacing w:after="0"/>
        <w:tabs>
          <w:tab w:leader="none" w:pos="11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the Closing does not occur on January 1, 2015,</w:t>
      </w:r>
    </w:p>
    <w:p>
      <w:pPr>
        <w:spacing w:after="0" w:line="219" w:lineRule="exact"/>
        <w:rPr>
          <w:rFonts w:ascii="Arial" w:cs="Arial" w:eastAsia="Arial" w:hAnsi="Arial"/>
          <w:sz w:val="22"/>
          <w:szCs w:val="22"/>
          <w:color w:val="auto"/>
        </w:rPr>
      </w:pPr>
    </w:p>
    <w:p>
      <w:pPr>
        <w:jc w:val="both"/>
        <w:ind w:left="660" w:firstLine="645"/>
        <w:spacing w:after="0" w:line="297" w:lineRule="auto"/>
        <w:tabs>
          <w:tab w:leader="none" w:pos="1775"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the Seller’s internal exchange rates (established in accordance with Paragraph 1 of Annex 4.03): (A) as of the Business Day immediately prior to the delivery by the Seller of the Initial Closing Statement with respect to the payment of any portion of the Initial Purchase Price in currency other than U.S. Dollars and any payment made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2.06(d)</w:t>
      </w:r>
      <w:r>
        <w:rPr>
          <w:rFonts w:ascii="Arial" w:cs="Arial" w:eastAsia="Arial" w:hAnsi="Arial"/>
          <w:sz w:val="19"/>
          <w:szCs w:val="19"/>
          <w:color w:val="auto"/>
        </w:rPr>
        <w:t xml:space="preserve"> (other than payments made in respect of any adjustments contemplated under that Section) and (B) as of the Closing Date for the purposes of any payments for adjustments pursuant to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of this Agreement;</w:t>
      </w:r>
    </w:p>
    <w:p>
      <w:pPr>
        <w:spacing w:after="0" w:line="147" w:lineRule="exact"/>
        <w:rPr>
          <w:rFonts w:ascii="Arial" w:cs="Arial" w:eastAsia="Arial" w:hAnsi="Arial"/>
          <w:sz w:val="19"/>
          <w:szCs w:val="19"/>
          <w:color w:val="auto"/>
        </w:rPr>
      </w:pPr>
    </w:p>
    <w:p>
      <w:pPr>
        <w:jc w:val="both"/>
        <w:ind w:left="660" w:firstLine="645"/>
        <w:spacing w:after="0" w:line="271" w:lineRule="auto"/>
        <w:tabs>
          <w:tab w:leader="none" w:pos="1812"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the spot reference rate for a transaction between two currencies in question as quoted by the European Central Bank as of the Closing Date, for the purposes of any payments for adjustments pursuant to </w:t>
      </w:r>
      <w:r>
        <w:rPr>
          <w:rFonts w:ascii="Arial" w:cs="Arial" w:eastAsia="Arial" w:hAnsi="Arial"/>
          <w:sz w:val="21"/>
          <w:szCs w:val="21"/>
          <w:u w:val="single" w:color="auto"/>
          <w:color w:val="auto"/>
        </w:rPr>
        <w:t>Section 2.07(d)</w:t>
      </w:r>
      <w:r>
        <w:rPr>
          <w:rFonts w:ascii="Arial" w:cs="Arial" w:eastAsia="Arial" w:hAnsi="Arial"/>
          <w:sz w:val="21"/>
          <w:szCs w:val="21"/>
          <w:color w:val="auto"/>
        </w:rPr>
        <w:t xml:space="preserve"> to any portion of the Initial Purchase Price that is paid at the Closing in a currency other than U.S. Dollars; and</w:t>
      </w:r>
    </w:p>
    <w:p>
      <w:pPr>
        <w:spacing w:after="0" w:line="167" w:lineRule="exact"/>
        <w:rPr>
          <w:rFonts w:ascii="Arial" w:cs="Arial" w:eastAsia="Arial" w:hAnsi="Arial"/>
          <w:sz w:val="21"/>
          <w:szCs w:val="21"/>
          <w:color w:val="auto"/>
        </w:rPr>
      </w:pPr>
    </w:p>
    <w:p>
      <w:pPr>
        <w:jc w:val="both"/>
        <w:ind w:left="660" w:hanging="4"/>
        <w:spacing w:after="0" w:line="253" w:lineRule="auto"/>
        <w:tabs>
          <w:tab w:leader="none" w:pos="1141"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all other instances, the spot reference rate for a transaction between the two currencies in question as quoted by the European Central Bank on the Business Day immediately prior to the relevant date of payment or, if such rate is not quoted on that date, on the preceding date on which such rates are quoted.</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color w:val="auto"/>
        </w:rPr>
        <w:t>Amendment to Annex A to the SAPA</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Annex A to the SAPA is hereby amended by inserting the following definitions into that Annex:</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20</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8" w:name="page129"/>
    <w:bookmarkEnd w:id="128"/>
    <w:p>
      <w:pPr>
        <w:jc w:val="both"/>
        <w:ind w:left="660"/>
        <w:spacing w:after="0" w:line="253" w:lineRule="auto"/>
        <w:rPr>
          <w:sz w:val="20"/>
          <w:szCs w:val="20"/>
          <w:color w:val="auto"/>
        </w:rPr>
      </w:pPr>
      <w:r>
        <w:rPr>
          <w:rFonts w:ascii="Arial" w:cs="Arial" w:eastAsia="Arial" w:hAnsi="Arial"/>
          <w:sz w:val="22"/>
          <w:szCs w:val="22"/>
          <w:b w:val="1"/>
          <w:bCs w:val="1"/>
          <w:i w:val="1"/>
          <w:iCs w:val="1"/>
          <w:color w:val="auto"/>
        </w:rPr>
        <w:t xml:space="preserve">Alcon Cascade Distribution Agreement </w:t>
      </w:r>
      <w:r>
        <w:rPr>
          <w:rFonts w:ascii="Arial" w:cs="Arial" w:eastAsia="Arial" w:hAnsi="Arial"/>
          <w:sz w:val="22"/>
          <w:szCs w:val="22"/>
          <w:color w:val="auto"/>
        </w:rPr>
        <w:t>means that certain Distribution Agreement, to be entered into among the Purchaser,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Alcon Pharma GmbH and Alcon Laboratories (U.K.) Limited on the Closing Date, in a form mutually agreeable to the Parties.</w:t>
      </w:r>
    </w:p>
    <w:p>
      <w:pPr>
        <w:spacing w:after="0" w:line="18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b w:val="1"/>
          <w:bCs w:val="1"/>
          <w:i w:val="1"/>
          <w:iCs w:val="1"/>
          <w:color w:val="auto"/>
        </w:rPr>
        <w:t xml:space="preserve">Alcon Pharmacovigilance Agreement </w:t>
      </w:r>
      <w:r>
        <w:rPr>
          <w:rFonts w:ascii="Arial" w:cs="Arial" w:eastAsia="Arial" w:hAnsi="Arial"/>
          <w:sz w:val="21"/>
          <w:szCs w:val="21"/>
          <w:color w:val="auto"/>
        </w:rPr>
        <w:t>means that certain Pharmacovigilance Agreement, to be entered into between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Purchaser and Alcon Research, Ltd. on the Closing Date, in a form mutually agreeable to the Parties.</w:t>
      </w:r>
    </w:p>
    <w:p>
      <w:pPr>
        <w:spacing w:after="0" w:line="152"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b w:val="1"/>
          <w:bCs w:val="1"/>
          <w:i w:val="1"/>
          <w:iCs w:val="1"/>
          <w:color w:val="auto"/>
        </w:rPr>
        <w:t xml:space="preserve">Ancillary License Agreement - Amoksiklav </w:t>
      </w:r>
      <w:r>
        <w:rPr>
          <w:rFonts w:ascii="Arial" w:cs="Arial" w:eastAsia="Arial" w:hAnsi="Arial"/>
          <w:sz w:val="19"/>
          <w:szCs w:val="19"/>
          <w:color w:val="auto"/>
        </w:rPr>
        <w:t>means that certain Ancillary License Agreement, to be entered into between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Purchaser and Lek Pharmacevtska Družba D.D. on the Closing Date, in a form mutually agreeable to the Parties.</w:t>
      </w:r>
    </w:p>
    <w:p>
      <w:pPr>
        <w:spacing w:after="0" w:line="105"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b w:val="1"/>
          <w:bCs w:val="1"/>
          <w:i w:val="1"/>
          <w:iCs w:val="1"/>
          <w:color w:val="auto"/>
        </w:rPr>
        <w:t xml:space="preserve">Ancillary License Agreement - Xiclav </w:t>
      </w:r>
      <w:r>
        <w:rPr>
          <w:rFonts w:ascii="Arial" w:cs="Arial" w:eastAsia="Arial" w:hAnsi="Arial"/>
          <w:sz w:val="19"/>
          <w:szCs w:val="19"/>
          <w:color w:val="auto"/>
        </w:rPr>
        <w:t>means that certain Ancillary License Agreement, to be entered into among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Purchaser, the Seller and Lek Pharmacevtska Družba D.D. on the Closing Date, in a form mutually agreeable to the Parties.</w:t>
      </w:r>
    </w:p>
    <w:p>
      <w:pPr>
        <w:spacing w:after="0" w:line="105"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b w:val="1"/>
          <w:bCs w:val="1"/>
          <w:i w:val="1"/>
          <w:iCs w:val="1"/>
          <w:color w:val="auto"/>
        </w:rPr>
        <w:t xml:space="preserve">Asset Seller </w:t>
      </w:r>
      <w:r>
        <w:rPr>
          <w:rFonts w:ascii="Arial" w:cs="Arial" w:eastAsia="Arial" w:hAnsi="Arial"/>
          <w:sz w:val="19"/>
          <w:szCs w:val="19"/>
          <w:color w:val="auto"/>
        </w:rPr>
        <w:t>means each of the Seller and any member of the Seller’s Group required to sell, convey, transfer, assign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deliver the Transferred Assets to the Purchaser or one or more of its Affiliates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05"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b w:val="1"/>
          <w:bCs w:val="1"/>
          <w:i w:val="1"/>
          <w:iCs w:val="1"/>
          <w:color w:val="auto"/>
        </w:rPr>
        <w:t xml:space="preserve">Delayed Transfer Employees </w:t>
      </w:r>
      <w:r>
        <w:rPr>
          <w:rFonts w:ascii="Arial" w:cs="Arial" w:eastAsia="Arial" w:hAnsi="Arial"/>
          <w:sz w:val="19"/>
          <w:szCs w:val="19"/>
          <w:color w:val="auto"/>
        </w:rPr>
        <w:t>means those employees of the Seller’s Group employed by Novartis (Bangladesh) Limited,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Novartis (India) Limited, Novartis Healthcare Private Limited, Novartis Corporativo, S.A. de C.V. and Novartis Institute for Functional Genomics, Inc as of the Closing Date or the “Deferred India Closing Date” as applicable (the identities of whom have been agreed between the Parties) who, under the terms of a Secondment Agreement, or such other arrangements as the Parties may make, shall remain employees of the Seller’s Group until the end of the Secondment Period.</w:t>
      </w:r>
    </w:p>
    <w:p>
      <w:pPr>
        <w:spacing w:after="0" w:line="147"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b w:val="1"/>
          <w:bCs w:val="1"/>
          <w:i w:val="1"/>
          <w:iCs w:val="1"/>
          <w:color w:val="auto"/>
        </w:rPr>
        <w:t xml:space="preserve">Global Transitional Distribution Services Agreement </w:t>
      </w:r>
      <w:r>
        <w:rPr>
          <w:rFonts w:ascii="Arial" w:cs="Arial" w:eastAsia="Arial" w:hAnsi="Arial"/>
          <w:sz w:val="22"/>
          <w:szCs w:val="22"/>
          <w:color w:val="auto"/>
        </w:rPr>
        <w:t>means that certain Global Transitional Distribution Services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to be entered into between the Purchaser and the Seller on the Closing Date, in a form mutually agreeable to the Parties.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Leakage </w:t>
      </w:r>
      <w:r>
        <w:rPr>
          <w:rFonts w:ascii="Arial" w:cs="Arial" w:eastAsia="Arial" w:hAnsi="Arial"/>
          <w:sz w:val="19"/>
          <w:szCs w:val="19"/>
          <w:color w:val="auto"/>
        </w:rPr>
        <w:t>means, with respect to any Transferred Subsidiary or any Asset Seller (but only to the extent related to the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Business), without duplication, any of the following that occur or have occurred following the Closing Date:</w:t>
      </w:r>
    </w:p>
    <w:p>
      <w:pPr>
        <w:spacing w:after="0" w:line="202" w:lineRule="exact"/>
        <w:rPr>
          <w:sz w:val="20"/>
          <w:szCs w:val="20"/>
          <w:color w:val="auto"/>
        </w:rPr>
      </w:pPr>
    </w:p>
    <w:p>
      <w:pPr>
        <w:jc w:val="both"/>
        <w:ind w:left="660" w:hanging="4"/>
        <w:spacing w:after="0" w:line="302" w:lineRule="auto"/>
        <w:tabs>
          <w:tab w:leader="none" w:pos="1001"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dividend or distribution, or any payments in lieu of any dividend or distribution paid or made or any share repurchase or redemption, or directors’ fees, return of share capital paid, or repayment or reversal of capital reserves or other reserves, in cash or in kind, by such Transferred Subsidiary, or Asset Seller (out of funds, accounts, reserves or assets of the Business), to or for the benefit of the Seller or any member of the Seller’s Group;</w:t>
      </w:r>
    </w:p>
    <w:p>
      <w:pPr>
        <w:spacing w:after="0" w:line="142" w:lineRule="exact"/>
        <w:rPr>
          <w:rFonts w:ascii="Arial" w:cs="Arial" w:eastAsia="Arial" w:hAnsi="Arial"/>
          <w:sz w:val="19"/>
          <w:szCs w:val="19"/>
          <w:color w:val="auto"/>
        </w:rPr>
      </w:pPr>
    </w:p>
    <w:p>
      <w:pPr>
        <w:jc w:val="both"/>
        <w:ind w:left="660" w:hanging="4"/>
        <w:spacing w:after="0" w:line="253" w:lineRule="auto"/>
        <w:tabs>
          <w:tab w:leader="none" w:pos="9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payments made (including bonuses, commissions, loan repayments, management, monitoring or service payments) or agreed to be made by such Transferred Subsidiary, or Asset Seller (out of funds, accounts, reserves or assets of the Business), to the Seller or any</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21</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29" w:name="page130"/>
    <w:bookmarkEnd w:id="129"/>
    <w:p>
      <w:pPr>
        <w:ind w:left="660" w:right="20"/>
        <w:spacing w:after="0" w:line="263" w:lineRule="auto"/>
        <w:rPr>
          <w:sz w:val="20"/>
          <w:szCs w:val="20"/>
          <w:color w:val="auto"/>
        </w:rPr>
      </w:pPr>
      <w:r>
        <w:rPr>
          <w:rFonts w:ascii="Arial" w:cs="Arial" w:eastAsia="Arial" w:hAnsi="Arial"/>
          <w:sz w:val="22"/>
          <w:szCs w:val="22"/>
          <w:color w:val="auto"/>
        </w:rPr>
        <w:t xml:space="preserve">other member of the Seller’s Group (other than payments pursuant to an Affiliate Contract which is to remain in place following the Closing Date pursuant to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75" w:lineRule="exact"/>
        <w:rPr>
          <w:sz w:val="20"/>
          <w:szCs w:val="20"/>
          <w:color w:val="auto"/>
        </w:rPr>
      </w:pPr>
    </w:p>
    <w:p>
      <w:pPr>
        <w:ind w:left="660" w:hanging="4"/>
        <w:spacing w:after="0" w:line="343" w:lineRule="auto"/>
        <w:tabs>
          <w:tab w:leader="none" w:pos="978"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provision of any loan or the creation, assumption or guarantee of any Liability, including based on cash pooling arrangements, by such Transferred Subsidiary or Asset Seller to the Seller or any member of the Seller’s Group;</w:t>
      </w:r>
    </w:p>
    <w:p>
      <w:pPr>
        <w:spacing w:after="0" w:line="104" w:lineRule="exact"/>
        <w:rPr>
          <w:rFonts w:ascii="Arial" w:cs="Arial" w:eastAsia="Arial" w:hAnsi="Arial"/>
          <w:sz w:val="19"/>
          <w:szCs w:val="19"/>
          <w:color w:val="auto"/>
        </w:rPr>
      </w:pPr>
    </w:p>
    <w:p>
      <w:pPr>
        <w:ind w:left="660" w:hanging="4"/>
        <w:spacing w:after="0" w:line="343" w:lineRule="auto"/>
        <w:tabs>
          <w:tab w:leader="none" w:pos="987"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waiver or agreement to waive (whether conditional or not) by such Transferred Subsidiary or Asset Seller of any amount owed to such Transferred Subsidiary or Asset Seller by any Seller or any member of the Seller’s Group;</w:t>
      </w:r>
    </w:p>
    <w:p>
      <w:pPr>
        <w:spacing w:after="0" w:line="104" w:lineRule="exact"/>
        <w:rPr>
          <w:rFonts w:ascii="Arial" w:cs="Arial" w:eastAsia="Arial" w:hAnsi="Arial"/>
          <w:sz w:val="19"/>
          <w:szCs w:val="19"/>
          <w:color w:val="auto"/>
        </w:rPr>
      </w:pPr>
    </w:p>
    <w:p>
      <w:pPr>
        <w:jc w:val="both"/>
        <w:ind w:left="660" w:hanging="4"/>
        <w:spacing w:after="0" w:line="253" w:lineRule="auto"/>
        <w:tabs>
          <w:tab w:leader="none" w:pos="9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purchase of goods or services not on arms’-length terms or the purchase of goods and services not required by such Transferred Subsidiary or the Business of the Asset Seller, in each case, from the Seller or any member of the Seller’s Group but only to the extent payments are greater than arm’s-length terms;</w:t>
      </w:r>
    </w:p>
    <w:p>
      <w:pPr>
        <w:spacing w:after="0" w:line="185" w:lineRule="exact"/>
        <w:rPr>
          <w:rFonts w:ascii="Arial" w:cs="Arial" w:eastAsia="Arial" w:hAnsi="Arial"/>
          <w:sz w:val="22"/>
          <w:szCs w:val="22"/>
          <w:color w:val="auto"/>
        </w:rPr>
      </w:pPr>
    </w:p>
    <w:p>
      <w:pPr>
        <w:ind w:left="660" w:hanging="4"/>
        <w:spacing w:after="0" w:line="343" w:lineRule="auto"/>
        <w:tabs>
          <w:tab w:leader="none" w:pos="994"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waiver, deferral, indemnification, exemption or remission of Liabilities and amending of terms of existing agreements with the Seller or any member of the Seller’s Group (unless expressly contemplated by this Agreement);</w:t>
      </w:r>
    </w:p>
    <w:p>
      <w:pPr>
        <w:spacing w:after="0" w:line="104" w:lineRule="exact"/>
        <w:rPr>
          <w:rFonts w:ascii="Arial" w:cs="Arial" w:eastAsia="Arial" w:hAnsi="Arial"/>
          <w:sz w:val="19"/>
          <w:szCs w:val="19"/>
          <w:color w:val="auto"/>
        </w:rPr>
      </w:pPr>
    </w:p>
    <w:p>
      <w:pPr>
        <w:ind w:left="660" w:hanging="4"/>
        <w:spacing w:after="0" w:line="263" w:lineRule="auto"/>
        <w:tabs>
          <w:tab w:leader="none" w:pos="966"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transfer or obligation to transfer assets by such Transferred Subsidiary or Asset Seller to the Seller or any member of the Seller’s Group (unless expressly contemplated by this Agreement);</w:t>
      </w:r>
    </w:p>
    <w:p>
      <w:pPr>
        <w:spacing w:after="0" w:line="174" w:lineRule="exact"/>
        <w:rPr>
          <w:rFonts w:ascii="Arial" w:cs="Arial" w:eastAsia="Arial" w:hAnsi="Arial"/>
          <w:sz w:val="22"/>
          <w:szCs w:val="22"/>
          <w:color w:val="auto"/>
        </w:rPr>
      </w:pPr>
    </w:p>
    <w:p>
      <w:pPr>
        <w:ind w:left="960" w:hanging="304"/>
        <w:spacing w:after="0"/>
        <w:tabs>
          <w:tab w:leader="none" w:pos="9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fees or expenses resulting from any of the matters set forth in (a) to (g) above;</w:t>
      </w:r>
    </w:p>
    <w:p>
      <w:pPr>
        <w:spacing w:after="0" w:line="219" w:lineRule="exact"/>
        <w:rPr>
          <w:rFonts w:ascii="Arial" w:cs="Arial" w:eastAsia="Arial" w:hAnsi="Arial"/>
          <w:sz w:val="22"/>
          <w:szCs w:val="22"/>
          <w:color w:val="auto"/>
        </w:rPr>
      </w:pPr>
    </w:p>
    <w:p>
      <w:pPr>
        <w:jc w:val="both"/>
        <w:ind w:left="660" w:hanging="4"/>
        <w:spacing w:after="0" w:line="253" w:lineRule="auto"/>
        <w:tabs>
          <w:tab w:leader="none" w:pos="926"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Tax (including the employer portion of any payroll Taxes) incurred, paid or payable by such Transferred Subsidiary or Asset Seller in respect of any of the matters set out in (a) to (h) above; the agreement or undertaking by the Business to do any of the matters set out in (a) to (h).</w:t>
      </w:r>
    </w:p>
    <w:p>
      <w:pPr>
        <w:spacing w:after="0" w:line="18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For purposes of determining Leakage hereunder, the Seller’s Group shall not include any Asset Seller but only to the extent related to the Business.</w:t>
      </w:r>
    </w:p>
    <w:p>
      <w:pPr>
        <w:spacing w:after="0" w:line="175" w:lineRule="exact"/>
        <w:rPr>
          <w:sz w:val="20"/>
          <w:szCs w:val="20"/>
          <w:color w:val="auto"/>
        </w:rPr>
      </w:pPr>
    </w:p>
    <w:p>
      <w:pPr>
        <w:ind w:left="660" w:right="360"/>
        <w:spacing w:after="0" w:line="343" w:lineRule="auto"/>
        <w:rPr>
          <w:sz w:val="20"/>
          <w:szCs w:val="20"/>
          <w:color w:val="auto"/>
        </w:rPr>
      </w:pPr>
      <w:r>
        <w:rPr>
          <w:rFonts w:ascii="Arial" w:cs="Arial" w:eastAsia="Arial" w:hAnsi="Arial"/>
          <w:sz w:val="19"/>
          <w:szCs w:val="19"/>
          <w:b w:val="1"/>
          <w:bCs w:val="1"/>
          <w:i w:val="1"/>
          <w:iCs w:val="1"/>
          <w:color w:val="auto"/>
        </w:rPr>
        <w:t xml:space="preserve">Lincoln Quality Agreement </w:t>
      </w:r>
      <w:r>
        <w:rPr>
          <w:rFonts w:ascii="Arial" w:cs="Arial" w:eastAsia="Arial" w:hAnsi="Arial"/>
          <w:sz w:val="19"/>
          <w:szCs w:val="19"/>
          <w:color w:val="auto"/>
        </w:rPr>
        <w:t>means that certain Quality Services Agreement, to be entered into among the Purchaser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relevant Affiliate of the Seller on the Closing Date, in a form mutually agreeable to the Parties.</w:t>
      </w:r>
    </w:p>
    <w:p>
      <w:pPr>
        <w:spacing w:after="0" w:line="361"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b w:val="1"/>
          <w:bCs w:val="1"/>
          <w:i w:val="1"/>
          <w:iCs w:val="1"/>
          <w:color w:val="auto"/>
        </w:rPr>
        <w:t xml:space="preserve">OTC Pharmacovigilance Agreement </w:t>
      </w:r>
      <w:r>
        <w:rPr>
          <w:rFonts w:ascii="Arial" w:cs="Arial" w:eastAsia="Arial" w:hAnsi="Arial"/>
          <w:sz w:val="19"/>
          <w:szCs w:val="19"/>
          <w:color w:val="auto"/>
        </w:rPr>
        <w:t>means that certain Pharmacovigilance Agreement, to be entered into between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Purchaser and Novartis Consumer Health, Inc. on the Closing Date, in a form mutually agreeable to the Parties.</w:t>
      </w:r>
    </w:p>
    <w:p>
      <w:pPr>
        <w:spacing w:after="0" w:line="105"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b w:val="1"/>
          <w:bCs w:val="1"/>
          <w:i w:val="1"/>
          <w:iCs w:val="1"/>
          <w:color w:val="auto"/>
        </w:rPr>
        <w:t xml:space="preserve">Pharmacovigilance Agreements </w:t>
      </w:r>
      <w:r>
        <w:rPr>
          <w:rFonts w:ascii="Arial" w:cs="Arial" w:eastAsia="Arial" w:hAnsi="Arial"/>
          <w:sz w:val="21"/>
          <w:szCs w:val="21"/>
          <w:color w:val="auto"/>
        </w:rPr>
        <w:t>means the Alcon Pharmacovigilance Agreement, the OTC Pharmacovigilance Agreement,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Pharma Pharmacovigilance Agreement and the Sandoz Pharmacovigilance Agreement.</w:t>
      </w:r>
    </w:p>
    <w:p>
      <w:pPr>
        <w:spacing w:after="0" w:line="38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22</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30" w:name="page131"/>
    <w:bookmarkEnd w:id="130"/>
    <w:p>
      <w:pPr>
        <w:jc w:val="both"/>
        <w:ind w:left="660"/>
        <w:spacing w:after="0" w:line="287" w:lineRule="auto"/>
        <w:rPr>
          <w:sz w:val="20"/>
          <w:szCs w:val="20"/>
          <w:color w:val="auto"/>
        </w:rPr>
      </w:pPr>
      <w:r>
        <w:rPr>
          <w:rFonts w:ascii="Arial" w:cs="Arial" w:eastAsia="Arial" w:hAnsi="Arial"/>
          <w:sz w:val="21"/>
          <w:szCs w:val="21"/>
          <w:b w:val="1"/>
          <w:bCs w:val="1"/>
          <w:i w:val="1"/>
          <w:iCs w:val="1"/>
          <w:color w:val="auto"/>
        </w:rPr>
        <w:t xml:space="preserve">Pharma Pharmacovigilance Agreement </w:t>
      </w:r>
      <w:r>
        <w:rPr>
          <w:rFonts w:ascii="Arial" w:cs="Arial" w:eastAsia="Arial" w:hAnsi="Arial"/>
          <w:sz w:val="21"/>
          <w:szCs w:val="21"/>
          <w:color w:val="auto"/>
        </w:rPr>
        <w:t>means that certain Pharmacovigilance Agreement, to be entered into between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Purchaser and Novartis Pharma AG on the Closing Date, in a form mutually agreeable to the Parties.</w:t>
      </w:r>
    </w:p>
    <w:p>
      <w:pPr>
        <w:spacing w:after="0" w:line="152" w:lineRule="exact"/>
        <w:rPr>
          <w:sz w:val="20"/>
          <w:szCs w:val="20"/>
          <w:color w:val="auto"/>
        </w:rPr>
      </w:pPr>
    </w:p>
    <w:p>
      <w:pPr>
        <w:ind w:left="660" w:right="120"/>
        <w:spacing w:after="0" w:line="251" w:lineRule="auto"/>
        <w:rPr>
          <w:sz w:val="20"/>
          <w:szCs w:val="20"/>
          <w:color w:val="auto"/>
        </w:rPr>
      </w:pPr>
      <w:r>
        <w:rPr>
          <w:rFonts w:ascii="Arial" w:cs="Arial" w:eastAsia="Arial" w:hAnsi="Arial"/>
          <w:sz w:val="22"/>
          <w:szCs w:val="22"/>
          <w:b w:val="1"/>
          <w:bCs w:val="1"/>
          <w:i w:val="1"/>
          <w:iCs w:val="1"/>
          <w:color w:val="auto"/>
        </w:rPr>
        <w:t xml:space="preserve">Quality Agreements </w:t>
      </w:r>
      <w:r>
        <w:rPr>
          <w:rFonts w:ascii="Arial" w:cs="Arial" w:eastAsia="Arial" w:hAnsi="Arial"/>
          <w:sz w:val="22"/>
          <w:szCs w:val="22"/>
          <w:color w:val="auto"/>
        </w:rPr>
        <w:t>means the Lincoln Quality Agreement, Vacaville Quality Agreement and the Turkey/Slovenia Quality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Russian Business Employees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6.08(o)</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Russian Employee Termination Date </w:t>
      </w:r>
      <w:r>
        <w:rPr>
          <w:rFonts w:ascii="Arial" w:cs="Arial" w:eastAsia="Arial" w:hAnsi="Arial"/>
          <w:sz w:val="22"/>
          <w:szCs w:val="22"/>
          <w:color w:val="auto"/>
        </w:rPr>
        <w:t>has the meaning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6.08(o)</w:t>
      </w:r>
      <w:r>
        <w:rPr>
          <w:rFonts w:ascii="Arial" w:cs="Arial" w:eastAsia="Arial" w:hAnsi="Arial"/>
          <w:sz w:val="22"/>
          <w:szCs w:val="22"/>
          <w:color w:val="auto"/>
        </w:rPr>
        <w:t>.</w:t>
      </w:r>
    </w:p>
    <w:p>
      <w:pPr>
        <w:spacing w:after="0" w:line="220" w:lineRule="exact"/>
        <w:rPr>
          <w:sz w:val="20"/>
          <w:szCs w:val="20"/>
          <w:color w:val="auto"/>
        </w:rPr>
      </w:pPr>
    </w:p>
    <w:p>
      <w:pPr>
        <w:jc w:val="both"/>
        <w:ind w:left="660" w:right="20"/>
        <w:spacing w:after="0" w:line="343" w:lineRule="auto"/>
        <w:rPr>
          <w:sz w:val="20"/>
          <w:szCs w:val="20"/>
          <w:color w:val="auto"/>
        </w:rPr>
      </w:pPr>
      <w:r>
        <w:rPr>
          <w:rFonts w:ascii="Arial" w:cs="Arial" w:eastAsia="Arial" w:hAnsi="Arial"/>
          <w:sz w:val="19"/>
          <w:szCs w:val="19"/>
          <w:b w:val="1"/>
          <w:bCs w:val="1"/>
          <w:i w:val="1"/>
          <w:iCs w:val="1"/>
          <w:color w:val="auto"/>
        </w:rPr>
        <w:t xml:space="preserve">Russian Working Day </w:t>
      </w:r>
      <w:r>
        <w:rPr>
          <w:rFonts w:ascii="Arial" w:cs="Arial" w:eastAsia="Arial" w:hAnsi="Arial"/>
          <w:sz w:val="19"/>
          <w:szCs w:val="19"/>
          <w:color w:val="auto"/>
        </w:rPr>
        <w:t>means a day when the Russian Business Employees would, in the ordinary course of business,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expected to work (excluding Business Employees with a shift pattern that means they do not have to work on that day).</w:t>
      </w:r>
    </w:p>
    <w:p>
      <w:pPr>
        <w:spacing w:after="0" w:line="105"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b w:val="1"/>
          <w:bCs w:val="1"/>
          <w:i w:val="1"/>
          <w:iCs w:val="1"/>
          <w:color w:val="auto"/>
        </w:rPr>
        <w:t xml:space="preserve">Sandoz Pharmacovigilance Agreement </w:t>
      </w:r>
      <w:r>
        <w:rPr>
          <w:rFonts w:ascii="Arial" w:cs="Arial" w:eastAsia="Arial" w:hAnsi="Arial"/>
          <w:sz w:val="19"/>
          <w:szCs w:val="19"/>
          <w:color w:val="auto"/>
        </w:rPr>
        <w:t>means that certain Pharmacovigilance Agreement, to be entered into between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Purchaser and Sandoz International GmbH on the Closing Date, in a form mutually agreeable to the Parties.</w:t>
      </w:r>
    </w:p>
    <w:p>
      <w:pPr>
        <w:spacing w:after="0" w:line="10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b w:val="1"/>
          <w:bCs w:val="1"/>
          <w:i w:val="1"/>
          <w:iCs w:val="1"/>
          <w:color w:val="auto"/>
        </w:rPr>
        <w:t xml:space="preserve">Secondment Agreement </w:t>
      </w:r>
      <w:r>
        <w:rPr>
          <w:rFonts w:ascii="Arial" w:cs="Arial" w:eastAsia="Arial" w:hAnsi="Arial"/>
          <w:sz w:val="22"/>
          <w:szCs w:val="22"/>
          <w:color w:val="auto"/>
        </w:rPr>
        <w:t>means any agreement between the Seller or any of its Affiliates and the Purchaser or any of 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Affiliates under which employees of the Seller’s Group shall be seconded to the Purchaser’s Group for the Secondment Period.</w:t>
      </w:r>
    </w:p>
    <w:p>
      <w:pPr>
        <w:spacing w:after="0" w:line="18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b w:val="1"/>
          <w:bCs w:val="1"/>
          <w:i w:val="1"/>
          <w:iCs w:val="1"/>
          <w:color w:val="auto"/>
        </w:rPr>
        <w:t xml:space="preserve">Secondment Period </w:t>
      </w:r>
      <w:r>
        <w:rPr>
          <w:rFonts w:ascii="Arial" w:cs="Arial" w:eastAsia="Arial" w:hAnsi="Arial"/>
          <w:sz w:val="22"/>
          <w:szCs w:val="22"/>
          <w:color w:val="auto"/>
        </w:rPr>
        <w:t>means, for each Delayed Transfer Employee, the period from the Closing Date or the Deferred India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Closing Date (as applicable) until the termination of:</w:t>
      </w:r>
    </w:p>
    <w:p>
      <w:pPr>
        <w:spacing w:after="0" w:line="175" w:lineRule="exact"/>
        <w:rPr>
          <w:sz w:val="20"/>
          <w:szCs w:val="20"/>
          <w:color w:val="auto"/>
        </w:rPr>
      </w:pPr>
    </w:p>
    <w:p>
      <w:pPr>
        <w:ind w:left="1440" w:hanging="460"/>
        <w:spacing w:after="0"/>
        <w:tabs>
          <w:tab w:leader="none" w:pos="14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Secondment Agreement applicable to that Delayed Transfer Employee; or</w:t>
      </w:r>
    </w:p>
    <w:p>
      <w:pPr>
        <w:spacing w:after="0" w:line="219" w:lineRule="exact"/>
        <w:rPr>
          <w:rFonts w:ascii="Arial" w:cs="Arial" w:eastAsia="Arial" w:hAnsi="Arial"/>
          <w:sz w:val="22"/>
          <w:szCs w:val="22"/>
          <w:color w:val="auto"/>
        </w:rPr>
      </w:pPr>
    </w:p>
    <w:p>
      <w:pPr>
        <w:ind w:left="980"/>
        <w:spacing w:after="0" w:line="263" w:lineRule="auto"/>
        <w:tabs>
          <w:tab w:leader="none" w:pos="1453" w:val="left"/>
        </w:tabs>
        <w:numPr>
          <w:ilvl w:val="0"/>
          <w:numId w:val="94"/>
        </w:numPr>
        <w:rPr>
          <w:rFonts w:ascii="Arial" w:cs="Arial" w:eastAsia="Arial" w:hAnsi="Arial"/>
          <w:sz w:val="22"/>
          <w:szCs w:val="22"/>
          <w:color w:val="auto"/>
        </w:rPr>
      </w:pPr>
      <w:r>
        <w:rPr>
          <w:rFonts w:ascii="Arial" w:cs="Arial" w:eastAsia="Arial" w:hAnsi="Arial"/>
          <w:sz w:val="22"/>
          <w:szCs w:val="22"/>
          <w:color w:val="auto"/>
        </w:rPr>
        <w:t>such other arrangement as the Parties may have made in relation to that Delayed Transfer Employee to regulate the employment of that employee by the Seller’s Group from the Closing Date.</w:t>
      </w:r>
    </w:p>
    <w:p>
      <w:pPr>
        <w:spacing w:after="0" w:line="175"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b w:val="1"/>
          <w:bCs w:val="1"/>
          <w:i w:val="1"/>
          <w:iCs w:val="1"/>
          <w:color w:val="auto"/>
        </w:rPr>
        <w:t xml:space="preserve">Support Agreement </w:t>
      </w:r>
      <w:r>
        <w:rPr>
          <w:rFonts w:ascii="Arial" w:cs="Arial" w:eastAsia="Arial" w:hAnsi="Arial"/>
          <w:sz w:val="22"/>
          <w:szCs w:val="22"/>
          <w:color w:val="auto"/>
        </w:rPr>
        <w:t>means that certain letter agreement to be entered into between the Seller and the Purchaser substantially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in the form attached hereto as </w:t>
      </w:r>
      <w:r>
        <w:rPr>
          <w:rFonts w:ascii="Arial" w:cs="Arial" w:eastAsia="Arial" w:hAnsi="Arial"/>
          <w:sz w:val="22"/>
          <w:szCs w:val="22"/>
          <w:u w:val="single" w:color="auto"/>
          <w:color w:val="auto"/>
        </w:rPr>
        <w:t>Exhibit 2.05(a)(vii)</w:t>
      </w:r>
      <w:r>
        <w:rPr>
          <w:rFonts w:ascii="Arial" w:cs="Arial" w:eastAsia="Arial" w:hAnsi="Arial"/>
          <w:sz w:val="22"/>
          <w:szCs w:val="22"/>
          <w:color w:val="auto"/>
        </w:rPr>
        <w: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b w:val="1"/>
          <w:bCs w:val="1"/>
          <w:i w:val="1"/>
          <w:iCs w:val="1"/>
          <w:color w:val="auto"/>
        </w:rPr>
        <w:t xml:space="preserve">Turkey/Slovenia Quality Agreement </w:t>
      </w:r>
      <w:r>
        <w:rPr>
          <w:rFonts w:ascii="Arial" w:cs="Arial" w:eastAsia="Arial" w:hAnsi="Arial"/>
          <w:sz w:val="22"/>
          <w:szCs w:val="22"/>
          <w:color w:val="auto"/>
        </w:rPr>
        <w:t>means that certain Quality Agreement for Storage and Testing, to be entered into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among the Purchaser and each relevant Affiliate of the Seller on the Closing Date, in a form mutually agreeable to the Parties.</w:t>
      </w:r>
    </w:p>
    <w:p>
      <w:pPr>
        <w:spacing w:after="0" w:line="186" w:lineRule="exact"/>
        <w:rPr>
          <w:sz w:val="20"/>
          <w:szCs w:val="20"/>
          <w:color w:val="auto"/>
        </w:rPr>
      </w:pPr>
    </w:p>
    <w:p>
      <w:pPr>
        <w:ind w:left="660" w:right="3380"/>
        <w:spacing w:after="0" w:line="519" w:lineRule="auto"/>
        <w:rPr>
          <w:sz w:val="20"/>
          <w:szCs w:val="20"/>
          <w:color w:val="auto"/>
        </w:rPr>
      </w:pPr>
      <w:r>
        <w:rPr>
          <w:rFonts w:ascii="Arial" w:cs="Arial" w:eastAsia="Arial" w:hAnsi="Arial"/>
          <w:sz w:val="19"/>
          <w:szCs w:val="19"/>
          <w:b w:val="1"/>
          <w:bCs w:val="1"/>
          <w:i w:val="1"/>
          <w:iCs w:val="1"/>
          <w:color w:val="auto"/>
        </w:rPr>
        <w:t xml:space="preserve">Ukrainian Business Employees </w:t>
      </w:r>
      <w:r>
        <w:rPr>
          <w:rFonts w:ascii="Arial" w:cs="Arial" w:eastAsia="Arial" w:hAnsi="Arial"/>
          <w:sz w:val="19"/>
          <w:szCs w:val="19"/>
          <w:color w:val="auto"/>
        </w:rPr>
        <w:t>has the meaning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6.08(p)</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Ukrainian Employee Termination Date </w:t>
      </w:r>
      <w:r>
        <w:rPr>
          <w:rFonts w:ascii="Arial" w:cs="Arial" w:eastAsia="Arial" w:hAnsi="Arial"/>
          <w:sz w:val="19"/>
          <w:szCs w:val="19"/>
          <w:color w:val="auto"/>
        </w:rPr>
        <w:t>has the meaning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6.08(p)</w:t>
      </w:r>
      <w:r>
        <w:rPr>
          <w:rFonts w:ascii="Arial" w:cs="Arial" w:eastAsia="Arial" w:hAnsi="Arial"/>
          <w:sz w:val="19"/>
          <w:szCs w:val="19"/>
          <w:color w:val="auto"/>
        </w:rPr>
        <w:t>;</w:t>
      </w:r>
    </w:p>
    <w:p>
      <w:pPr>
        <w:jc w:val="both"/>
        <w:ind w:left="660"/>
        <w:spacing w:after="0" w:line="343" w:lineRule="auto"/>
        <w:rPr>
          <w:sz w:val="20"/>
          <w:szCs w:val="20"/>
          <w:color w:val="auto"/>
        </w:rPr>
      </w:pPr>
      <w:r>
        <w:rPr>
          <w:rFonts w:ascii="Arial" w:cs="Arial" w:eastAsia="Arial" w:hAnsi="Arial"/>
          <w:sz w:val="19"/>
          <w:szCs w:val="19"/>
          <w:b w:val="1"/>
          <w:bCs w:val="1"/>
          <w:i w:val="1"/>
          <w:iCs w:val="1"/>
          <w:color w:val="auto"/>
        </w:rPr>
        <w:t xml:space="preserve">Ukrainian Working Day </w:t>
      </w:r>
      <w:r>
        <w:rPr>
          <w:rFonts w:ascii="Arial" w:cs="Arial" w:eastAsia="Arial" w:hAnsi="Arial"/>
          <w:sz w:val="19"/>
          <w:szCs w:val="19"/>
          <w:color w:val="auto"/>
        </w:rPr>
        <w:t>means a day when the Ukrainian Business Employees would, in the ordinary course of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expected to work (excluding Business Employees with a shift pattern that means they do not have to work on that day).</w:t>
      </w:r>
    </w:p>
    <w:p>
      <w:pPr>
        <w:spacing w:after="0" w:line="33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23</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31" w:name="page132"/>
    <w:bookmarkEnd w:id="131"/>
    <w:p>
      <w:pPr>
        <w:ind w:left="660"/>
        <w:spacing w:after="0" w:line="343" w:lineRule="auto"/>
        <w:rPr>
          <w:sz w:val="20"/>
          <w:szCs w:val="20"/>
          <w:color w:val="auto"/>
        </w:rPr>
      </w:pPr>
      <w:r>
        <w:rPr>
          <w:rFonts w:ascii="Arial" w:cs="Arial" w:eastAsia="Arial" w:hAnsi="Arial"/>
          <w:sz w:val="19"/>
          <w:szCs w:val="19"/>
          <w:b w:val="1"/>
          <w:bCs w:val="1"/>
          <w:i w:val="1"/>
          <w:iCs w:val="1"/>
          <w:color w:val="auto"/>
        </w:rPr>
        <w:t xml:space="preserve">Vacaville Quality Agreement </w:t>
      </w:r>
      <w:r>
        <w:rPr>
          <w:rFonts w:ascii="Arial" w:cs="Arial" w:eastAsia="Arial" w:hAnsi="Arial"/>
          <w:sz w:val="19"/>
          <w:szCs w:val="19"/>
          <w:color w:val="auto"/>
        </w:rPr>
        <w:t>means that certain Quality Agreement for Storage and Testing, to be entered into between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Purchaser and each relevant Affiliate of the Seller on the Closing Date, in a form mutually agreeable to the Parties.</w:t>
      </w:r>
    </w:p>
    <w:p>
      <w:pPr>
        <w:spacing w:after="0" w:line="105" w:lineRule="exact"/>
        <w:rPr>
          <w:sz w:val="20"/>
          <w:szCs w:val="20"/>
          <w:color w:val="auto"/>
        </w:rPr>
      </w:pPr>
    </w:p>
    <w:p>
      <w:pPr>
        <w:ind w:left="660" w:hanging="4"/>
        <w:spacing w:after="0" w:line="263" w:lineRule="auto"/>
        <w:tabs>
          <w:tab w:leader="none" w:pos="1145"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definition of “Transferred Books and Records” is hereby deleted and replaced in its entirety with the following definition:</w:t>
      </w:r>
    </w:p>
    <w:p>
      <w:pPr>
        <w:spacing w:after="0" w:line="175"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Transferred Books and Records</w:t>
      </w:r>
      <w:r>
        <w:rPr>
          <w:rFonts w:ascii="Arial" w:cs="Arial" w:eastAsia="Arial" w:hAnsi="Arial"/>
          <w:sz w:val="22"/>
          <w:szCs w:val="22"/>
          <w:color w:val="auto"/>
        </w:rPr>
        <w:t xml:space="preserve"> means all books, ledgers, files, databases, documents, reports, plans, records, manuals and other materials (in any form or medium) that are Exclusively Related to the Business, but excluding (i) any such items to the extent (A) they are related to any Excluded Assets or Excluded Liabilities, (B) they are related to any corporate, tax, human resources or stockholder matters of Seller or its Affiliates (other than the Transferred Subsidiaries) or (C) any Applicable Law prohibits their transfer.”</w:t>
      </w:r>
    </w:p>
    <w:p>
      <w:pPr>
        <w:spacing w:after="0" w:line="19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definition of “Ancillary Agreements” is hereby deleted and replaced in its entirety with the following definition:</w:t>
      </w:r>
    </w:p>
    <w:p>
      <w:pPr>
        <w:spacing w:after="0" w:line="220"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Ancillary Agreements</w:t>
      </w:r>
      <w:r>
        <w:rPr>
          <w:rFonts w:ascii="Arial" w:cs="Arial" w:eastAsia="Arial" w:hAnsi="Arial"/>
          <w:sz w:val="22"/>
          <w:szCs w:val="22"/>
          <w:color w:val="auto"/>
        </w:rPr>
        <w:t xml:space="preserve"> means the Transition Services Agreement, the France Offer Letter, the France SAPA, the Manufacturing and Supply Agreements, the Technology License Agreement, the Assignment and Assumption Agreement, the IP Assignment Agreement, Local Agreements, the Transitional Trademark License Agreement, the Ancillary License Agreement – Amoksiklav, the Ancillary License Agreement – Xiclav, the Global Transitional Distribution Services Agreement, the Support Agreement, the Quality Agreements, the Pharmacovigilance Agreements and the Alcon Cascade Distribution Agreement.”</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b w:val="1"/>
          <w:bCs w:val="1"/>
          <w:color w:val="auto"/>
        </w:rPr>
        <w:t>Addition of Annex 2.01(b) – Retained IT Assets to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shall be added as </w:t>
      </w:r>
      <w:r>
        <w:rPr>
          <w:rFonts w:ascii="Arial" w:cs="Arial" w:eastAsia="Arial" w:hAnsi="Arial"/>
          <w:sz w:val="22"/>
          <w:szCs w:val="22"/>
          <w:u w:val="single" w:color="auto"/>
          <w:color w:val="auto"/>
        </w:rPr>
        <w:t>Annex 2.01(b) – Retained IT Assets</w:t>
      </w:r>
      <w:r>
        <w:rPr>
          <w:rFonts w:ascii="Arial" w:cs="Arial" w:eastAsia="Arial" w:hAnsi="Arial"/>
          <w:sz w:val="22"/>
          <w:szCs w:val="22"/>
          <w:color w:val="auto"/>
        </w:rPr>
        <w:t xml:space="preserve"> to the SAPA.</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b w:val="1"/>
          <w:bCs w:val="1"/>
          <w:color w:val="auto"/>
        </w:rPr>
        <w:t>Amendments to Annex 2.01(c)(i) of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Annex 2.01(c)(i) of the SAPA is replaced in its entirety by the revised Annex 2.01(c)(i)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2.25</w:t>
      </w:r>
      <w:r>
        <w:rPr>
          <w:sz w:val="20"/>
          <w:szCs w:val="20"/>
          <w:color w:val="auto"/>
        </w:rPr>
        <w:tab/>
      </w:r>
      <w:r>
        <w:rPr>
          <w:rFonts w:ascii="Arial" w:cs="Arial" w:eastAsia="Arial" w:hAnsi="Arial"/>
          <w:sz w:val="19"/>
          <w:szCs w:val="19"/>
          <w:b w:val="1"/>
          <w:bCs w:val="1"/>
          <w:color w:val="auto"/>
        </w:rPr>
        <w:t>Amendments to Annex 2.01(d) of the SAPA</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chart in Annex 2.01(d) of the SAPA is hereby amended by removing all rows except for the rows relating to Spain, Italy, Mexico, Slovenia and the UK.</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2.26</w:t>
      </w:r>
      <w:r>
        <w:rPr>
          <w:sz w:val="20"/>
          <w:szCs w:val="20"/>
          <w:color w:val="auto"/>
        </w:rPr>
        <w:tab/>
      </w:r>
      <w:r>
        <w:rPr>
          <w:rFonts w:ascii="Arial" w:cs="Arial" w:eastAsia="Arial" w:hAnsi="Arial"/>
          <w:sz w:val="19"/>
          <w:szCs w:val="19"/>
          <w:b w:val="1"/>
          <w:bCs w:val="1"/>
          <w:color w:val="auto"/>
        </w:rPr>
        <w:t>Insertion of Annex 2.06(a) to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 is hereby inserted as Annex 2.06(a) to the SAPA.</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2.27</w:t>
      </w:r>
      <w:r>
        <w:rPr>
          <w:sz w:val="20"/>
          <w:szCs w:val="20"/>
          <w:color w:val="auto"/>
        </w:rPr>
        <w:tab/>
      </w:r>
      <w:r>
        <w:rPr>
          <w:rFonts w:ascii="Arial" w:cs="Arial" w:eastAsia="Arial" w:hAnsi="Arial"/>
          <w:sz w:val="19"/>
          <w:szCs w:val="19"/>
          <w:b w:val="1"/>
          <w:bCs w:val="1"/>
          <w:color w:val="auto"/>
        </w:rPr>
        <w:t>Amendment to Annex 4.14 to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shall be added to the list of Excluded Employees at Annex 4.14:</w:t>
      </w: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24</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b w:val="1"/>
          <w:bCs w:val="1"/>
          <w:color w:val="auto"/>
        </w:rPr>
        <w:t>Amendment to Annex 6.05 to the SAPA</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Paragraph (h) of Annex 6.05 to the SAPA is hereby amended by replacing “two (2) years after the Closing Date (which may be extended by a further one (1) year Purchaser [</w:t>
      </w:r>
      <w:r>
        <w:rPr>
          <w:rFonts w:ascii="Arial" w:cs="Arial" w:eastAsia="Arial" w:hAnsi="Arial"/>
          <w:sz w:val="22"/>
          <w:szCs w:val="22"/>
          <w:i w:val="1"/>
          <w:iCs w:val="1"/>
          <w:color w:val="auto"/>
        </w:rPr>
        <w:t>sic</w:t>
      </w:r>
      <w:r>
        <w:rPr>
          <w:rFonts w:ascii="Arial" w:cs="Arial" w:eastAsia="Arial" w:hAnsi="Arial"/>
          <w:sz w:val="22"/>
          <w:szCs w:val="22"/>
          <w:color w:val="auto"/>
        </w:rPr>
        <w:t>] provided that the Purchaser has used reasonable best efforts to transfer such Product Approvals)” with “four (4) years after the Closing Date”.</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2.29</w:t>
      </w:r>
      <w:r>
        <w:rPr>
          <w:sz w:val="20"/>
          <w:szCs w:val="20"/>
          <w:color w:val="auto"/>
        </w:rPr>
        <w:tab/>
      </w:r>
      <w:r>
        <w:rPr>
          <w:rFonts w:ascii="Arial" w:cs="Arial" w:eastAsia="Arial" w:hAnsi="Arial"/>
          <w:sz w:val="19"/>
          <w:szCs w:val="19"/>
          <w:b w:val="1"/>
          <w:bCs w:val="1"/>
          <w:color w:val="auto"/>
        </w:rPr>
        <w:t>Amendment to Annex 6.06 to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Paragraph 13 of Annex 6.06 to the SAPA is hereby deleted and replaced in its entirety by the following provision:</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“On Closing all Transferred Real Property held or leased by a Transferred Subsidiary are intended to transfer to the Purchaser pursuant to the share sale. As at the date of this Agreement it is anticipated that at Closing the Transferred Real Properties located in the following countries will transfer pursuant to the provisions of this </w:t>
      </w:r>
      <w:r>
        <w:rPr>
          <w:rFonts w:ascii="Arial" w:cs="Arial" w:eastAsia="Arial" w:hAnsi="Arial"/>
          <w:sz w:val="22"/>
          <w:szCs w:val="22"/>
          <w:u w:val="single" w:color="auto"/>
          <w:color w:val="auto"/>
        </w:rPr>
        <w:t>Annex 6.06</w:t>
      </w:r>
      <w:r>
        <w:rPr>
          <w:rFonts w:ascii="Arial" w:cs="Arial" w:eastAsia="Arial" w:hAnsi="Arial"/>
          <w:sz w:val="22"/>
          <w:szCs w:val="22"/>
          <w:color w:val="auto"/>
        </w:rPr>
        <w:t>: Chile, Norway, Taiwan, Colombia and Thailand.”</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2.30</w:t>
      </w:r>
      <w:r>
        <w:rPr>
          <w:sz w:val="20"/>
          <w:szCs w:val="20"/>
          <w:color w:val="auto"/>
        </w:rPr>
        <w:tab/>
      </w:r>
      <w:r>
        <w:rPr>
          <w:rFonts w:ascii="Arial" w:cs="Arial" w:eastAsia="Arial" w:hAnsi="Arial"/>
          <w:sz w:val="19"/>
          <w:szCs w:val="19"/>
          <w:b w:val="1"/>
          <w:bCs w:val="1"/>
          <w:color w:val="auto"/>
        </w:rPr>
        <w:t>Amendment to Annex 6.08</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following list of names shall replace the list of International Assignees at Annex 6.08:</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4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b w:val="1"/>
          <w:bCs w:val="1"/>
          <w:color w:val="auto"/>
        </w:rPr>
        <w:t>Amendment to Annex 6.10 to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Annex 6.10 to the SAPA is hereby amendment by inserting as item 3 thereof:</w:t>
      </w:r>
    </w:p>
    <w:p>
      <w:pPr>
        <w:spacing w:after="0" w:line="220" w:lineRule="exact"/>
        <w:rPr>
          <w:sz w:val="20"/>
          <w:szCs w:val="20"/>
          <w:color w:val="auto"/>
        </w:rPr>
      </w:pPr>
    </w:p>
    <w:p>
      <w:pPr>
        <w:ind w:right="3540"/>
        <w:spacing w:after="0" w:line="454" w:lineRule="auto"/>
        <w:rPr>
          <w:sz w:val="20"/>
          <w:szCs w:val="20"/>
          <w:color w:val="auto"/>
        </w:rPr>
      </w:pPr>
      <w:r>
        <w:rPr>
          <w:rFonts w:ascii="Arial" w:cs="Arial" w:eastAsia="Arial" w:hAnsi="Arial"/>
          <w:sz w:val="22"/>
          <w:szCs w:val="22"/>
          <w:color w:val="auto"/>
        </w:rPr>
        <w:t xml:space="preserve">“3. The Affiliate Contracts governing the Outstanding Intra-Group Non-Trade Payables.” </w:t>
      </w:r>
      <w:r>
        <w:rPr>
          <w:rFonts w:ascii="Arial" w:cs="Arial" w:eastAsia="Arial" w:hAnsi="Arial"/>
          <w:sz w:val="22"/>
          <w:szCs w:val="22"/>
          <w:b w:val="1"/>
          <w:bCs w:val="1"/>
          <w:color w:val="auto"/>
        </w:rPr>
        <w:t>2.32 Insertion of Annex 2.13 to the SAPA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attached hereto is hereby inserted as Annex 2.13 to the SAPA.</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19"/>
          <w:szCs w:val="19"/>
          <w:b w:val="1"/>
          <w:bCs w:val="1"/>
          <w:color w:val="auto"/>
        </w:rPr>
        <w:t>Amendment to Section 4.01(b) of the Disclosure Schedule</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Selling Affiliates &amp; Jurisdictions listed in </w:t>
      </w:r>
      <w:r>
        <w:rPr>
          <w:rFonts w:ascii="Arial" w:cs="Arial" w:eastAsia="Arial" w:hAnsi="Arial"/>
          <w:sz w:val="22"/>
          <w:szCs w:val="22"/>
          <w:u w:val="single" w:color="auto"/>
          <w:color w:val="auto"/>
        </w:rPr>
        <w:t>Section 4.01(b)</w:t>
      </w:r>
      <w:r>
        <w:rPr>
          <w:rFonts w:ascii="Arial" w:cs="Arial" w:eastAsia="Arial" w:hAnsi="Arial"/>
          <w:sz w:val="22"/>
          <w:szCs w:val="22"/>
          <w:color w:val="auto"/>
        </w:rPr>
        <w:t xml:space="preserve"> of the Disclosure Schedule to the SAPA is hereby deleted and replaced in its entirety by the revised section 4.01(b)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2.34</w:t>
      </w:r>
      <w:r>
        <w:rPr>
          <w:sz w:val="20"/>
          <w:szCs w:val="20"/>
          <w:color w:val="auto"/>
        </w:rPr>
        <w:tab/>
      </w:r>
      <w:r>
        <w:rPr>
          <w:rFonts w:ascii="Arial" w:cs="Arial" w:eastAsia="Arial" w:hAnsi="Arial"/>
          <w:sz w:val="19"/>
          <w:szCs w:val="19"/>
          <w:b w:val="1"/>
          <w:bCs w:val="1"/>
          <w:color w:val="auto"/>
        </w:rPr>
        <w:t>Amendment to Section 4.06(a)(i) of the Disclosure Schedule</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25</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22"/>
          <w:szCs w:val="22"/>
          <w:u w:val="single" w:color="auto"/>
          <w:color w:val="auto"/>
        </w:rPr>
        <w:t>Section 4.06(a)(i)</w:t>
      </w:r>
      <w:r>
        <w:rPr>
          <w:rFonts w:ascii="Arial" w:cs="Arial" w:eastAsia="Arial" w:hAnsi="Arial"/>
          <w:sz w:val="22"/>
          <w:szCs w:val="22"/>
          <w:color w:val="auto"/>
        </w:rPr>
        <w:t xml:space="preserve"> of the Disclosure Schedule to the SAPA is hereby deleted and replaced in its entirety by the revised section 4.06(a)(i)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2.35</w:t>
      </w:r>
      <w:r>
        <w:rPr>
          <w:sz w:val="20"/>
          <w:szCs w:val="20"/>
          <w:color w:val="auto"/>
        </w:rPr>
        <w:tab/>
      </w:r>
      <w:r>
        <w:rPr>
          <w:rFonts w:ascii="Arial" w:cs="Arial" w:eastAsia="Arial" w:hAnsi="Arial"/>
          <w:sz w:val="19"/>
          <w:szCs w:val="19"/>
          <w:b w:val="1"/>
          <w:bCs w:val="1"/>
          <w:color w:val="auto"/>
        </w:rPr>
        <w:t>Amendment to Section 4.06(a)(ii) of the Disclosure Schedule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Section 4.06(a)(ii)</w:t>
      </w:r>
      <w:r>
        <w:rPr>
          <w:rFonts w:ascii="Arial" w:cs="Arial" w:eastAsia="Arial" w:hAnsi="Arial"/>
          <w:sz w:val="22"/>
          <w:szCs w:val="22"/>
          <w:color w:val="auto"/>
        </w:rPr>
        <w:t xml:space="preserve"> of the Disclosure Schedule to the SAPA is hereby deleted and replaced in its entirety by the revised section 4.06(a)(ii) attached hereto as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2.36</w:t>
      </w:r>
      <w:r>
        <w:rPr>
          <w:sz w:val="20"/>
          <w:szCs w:val="20"/>
          <w:color w:val="auto"/>
        </w:rPr>
        <w:tab/>
      </w:r>
      <w:r>
        <w:rPr>
          <w:rFonts w:ascii="Arial" w:cs="Arial" w:eastAsia="Arial" w:hAnsi="Arial"/>
          <w:sz w:val="19"/>
          <w:szCs w:val="19"/>
          <w:b w:val="1"/>
          <w:bCs w:val="1"/>
          <w:color w:val="auto"/>
        </w:rPr>
        <w:t>Amendment to Section 4.06(b) of the Disclosure Schedule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Section 4.06(b)</w:t>
      </w:r>
      <w:r>
        <w:rPr>
          <w:rFonts w:ascii="Arial" w:cs="Arial" w:eastAsia="Arial" w:hAnsi="Arial"/>
          <w:sz w:val="22"/>
          <w:szCs w:val="22"/>
          <w:color w:val="auto"/>
        </w:rPr>
        <w:t xml:space="preserve"> of the Disclosure Schedule to the SAPA is hereby deleted and replaced in its entirety by the revised section 4.06(b) attached hereto as </w:t>
      </w:r>
      <w:r>
        <w:rPr>
          <w:rFonts w:ascii="Arial" w:cs="Arial" w:eastAsia="Arial" w:hAnsi="Arial"/>
          <w:sz w:val="22"/>
          <w:szCs w:val="22"/>
          <w:u w:val="single" w:color="auto"/>
          <w:color w:val="auto"/>
        </w:rPr>
        <w:t>Exhibit I</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2.37</w:t>
      </w:r>
      <w:r>
        <w:rPr>
          <w:sz w:val="20"/>
          <w:szCs w:val="20"/>
          <w:color w:val="auto"/>
        </w:rPr>
        <w:tab/>
      </w:r>
      <w:r>
        <w:rPr>
          <w:rFonts w:ascii="Arial" w:cs="Arial" w:eastAsia="Arial" w:hAnsi="Arial"/>
          <w:sz w:val="19"/>
          <w:szCs w:val="19"/>
          <w:b w:val="1"/>
          <w:bCs w:val="1"/>
          <w:color w:val="auto"/>
        </w:rPr>
        <w:t>Amendment to Section 4.06(c) of the Disclosure Schedule</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Section 4.06(c)</w:t>
      </w:r>
      <w:r>
        <w:rPr>
          <w:rFonts w:ascii="Arial" w:cs="Arial" w:eastAsia="Arial" w:hAnsi="Arial"/>
          <w:sz w:val="22"/>
          <w:szCs w:val="22"/>
          <w:color w:val="auto"/>
        </w:rPr>
        <w:t xml:space="preserve"> of the Disclosure Schedule to the SAPA is hereby deleted and replaced in its entirety by the revised section 4.06(c) attached hereto as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2.38</w:t>
      </w:r>
      <w:r>
        <w:rPr>
          <w:sz w:val="20"/>
          <w:szCs w:val="20"/>
          <w:color w:val="auto"/>
        </w:rPr>
        <w:tab/>
      </w:r>
      <w:r>
        <w:rPr>
          <w:rFonts w:ascii="Arial" w:cs="Arial" w:eastAsia="Arial" w:hAnsi="Arial"/>
          <w:sz w:val="19"/>
          <w:szCs w:val="19"/>
          <w:b w:val="1"/>
          <w:bCs w:val="1"/>
          <w:color w:val="auto"/>
        </w:rPr>
        <w:t>Amendment to Section 4.06(d)(iii) of the Disclosure Schedule</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Section 4.06(d)(iii)</w:t>
      </w:r>
      <w:r>
        <w:rPr>
          <w:rFonts w:ascii="Arial" w:cs="Arial" w:eastAsia="Arial" w:hAnsi="Arial"/>
          <w:sz w:val="22"/>
          <w:szCs w:val="22"/>
          <w:color w:val="auto"/>
        </w:rPr>
        <w:t xml:space="preserve"> of the Disclosure Schedule to the SAPA is hereby deleted and replaced in its entirety by the revised section attached hereto as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2.39</w:t>
      </w:r>
      <w:r>
        <w:rPr>
          <w:sz w:val="20"/>
          <w:szCs w:val="20"/>
          <w:color w:val="auto"/>
        </w:rPr>
        <w:tab/>
      </w:r>
      <w:r>
        <w:rPr>
          <w:rFonts w:ascii="Arial" w:cs="Arial" w:eastAsia="Arial" w:hAnsi="Arial"/>
          <w:sz w:val="19"/>
          <w:szCs w:val="19"/>
          <w:b w:val="1"/>
          <w:bCs w:val="1"/>
          <w:color w:val="auto"/>
        </w:rPr>
        <w:t>Insertion of Exhibit 2.05(a)(vii)</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L</w:t>
      </w:r>
      <w:r>
        <w:rPr>
          <w:rFonts w:ascii="Arial" w:cs="Arial" w:eastAsia="Arial" w:hAnsi="Arial"/>
          <w:sz w:val="22"/>
          <w:szCs w:val="22"/>
          <w:color w:val="auto"/>
        </w:rPr>
        <w:t xml:space="preserve"> attached hereto is hereby inserted as Exhibit 2.05(a)(vii) to the SAPA.</w:t>
      </w:r>
    </w:p>
    <w:p>
      <w:pPr>
        <w:spacing w:after="0" w:line="21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2.40</w:t>
      </w:r>
      <w:r>
        <w:rPr>
          <w:sz w:val="20"/>
          <w:szCs w:val="20"/>
          <w:color w:val="auto"/>
        </w:rPr>
        <w:tab/>
      </w:r>
      <w:r>
        <w:rPr>
          <w:rFonts w:ascii="Arial" w:cs="Arial" w:eastAsia="Arial" w:hAnsi="Arial"/>
          <w:sz w:val="19"/>
          <w:szCs w:val="19"/>
          <w:b w:val="1"/>
          <w:bCs w:val="1"/>
          <w:color w:val="auto"/>
        </w:rPr>
        <w:t>France Purchase Price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Notwithstanding anything to the contrary in the SAPA, the France Offer Letter or the France Put Option Exercise, the Parties hereby agree and acknowledge that: (a) the Initial Purchase Price shall be increased by U.S. $900,000 in respect of the transfer of parcels # 30, 391 (part of ex 374) and 377 in Huningue, France to Novartis Santé Animale S.A.S. and that such increase in price shall be allocated to the Shares of Novartis Tiergesundheit AG, (b) the purchase price for the France Business is U.S. $18,600,000 and (c) the purchase price for Novartis Tiergesundheit AG is U.S. $1,335,251,000.</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2.41</w:t>
      </w:r>
      <w:r>
        <w:rPr>
          <w:sz w:val="20"/>
          <w:szCs w:val="20"/>
          <w:color w:val="auto"/>
        </w:rPr>
        <w:tab/>
      </w:r>
      <w:r>
        <w:rPr>
          <w:rFonts w:ascii="Arial" w:cs="Arial" w:eastAsia="Arial" w:hAnsi="Arial"/>
          <w:sz w:val="19"/>
          <w:szCs w:val="19"/>
          <w:b w:val="1"/>
          <w:bCs w:val="1"/>
          <w:color w:val="auto"/>
        </w:rPr>
        <w:t>Statement Time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Notwithstanding Section 2.07(a)(i) and (ii) of the SAPA, the Seller and the Purchaser acknowledge and agree that if the January 1 Closing Event occurs, and subsequently the Closing on January 1, 2015, the definition of “Statement Time” as set forth in Section 2.07(a) of the SAPA shall be the close of business in the relevant locations on December 31, 2014.</w:t>
      </w:r>
    </w:p>
    <w:p>
      <w:pPr>
        <w:spacing w:after="0" w:line="200" w:lineRule="exact"/>
        <w:rPr>
          <w:sz w:val="20"/>
          <w:szCs w:val="20"/>
          <w:color w:val="auto"/>
        </w:rPr>
      </w:pP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2.42</w:t>
      </w:r>
      <w:r>
        <w:rPr>
          <w:sz w:val="20"/>
          <w:szCs w:val="20"/>
          <w:color w:val="auto"/>
        </w:rPr>
        <w:tab/>
      </w:r>
      <w:r>
        <w:rPr>
          <w:rFonts w:ascii="Arial" w:cs="Arial" w:eastAsia="Arial" w:hAnsi="Arial"/>
          <w:sz w:val="19"/>
          <w:szCs w:val="19"/>
          <w:b w:val="1"/>
          <w:bCs w:val="1"/>
          <w:color w:val="auto"/>
        </w:rPr>
        <w:t>Amendment to Annex 2.09 of the SAPA</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26</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 xml:space="preserve">Paragraph 1 of </w:t>
      </w:r>
      <w:r>
        <w:rPr>
          <w:rFonts w:ascii="Arial" w:cs="Arial" w:eastAsia="Arial" w:hAnsi="Arial"/>
          <w:sz w:val="22"/>
          <w:szCs w:val="22"/>
          <w:u w:val="single" w:color="auto"/>
          <w:color w:val="auto"/>
        </w:rPr>
        <w:t>Annex 2.09</w:t>
      </w:r>
      <w:r>
        <w:rPr>
          <w:rFonts w:ascii="Arial" w:cs="Arial" w:eastAsia="Arial" w:hAnsi="Arial"/>
          <w:sz w:val="22"/>
          <w:szCs w:val="22"/>
          <w:color w:val="auto"/>
        </w:rPr>
        <w:t xml:space="preserve"> of the SAPA shall be amended and replaced in its entirety as follows: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 The Seller and the Purchaser agree that the Initial Purchase Price (and any adjustments thereto) and the Assumed Liabilities shall be allocated for tax purposes among the Shares and the Transferred Assets in accordance with Section 1060 of the Code and any similar provision of non-US Tax law (the </w:t>
      </w:r>
      <w:r>
        <w:rPr>
          <w:rFonts w:ascii="Arial" w:cs="Arial" w:eastAsia="Arial" w:hAnsi="Arial"/>
          <w:sz w:val="19"/>
          <w:szCs w:val="19"/>
          <w:b w:val="1"/>
          <w:bCs w:val="1"/>
          <w:i w:val="1"/>
          <w:iCs w:val="1"/>
          <w:color w:val="auto"/>
        </w:rPr>
        <w:t>Allocation</w:t>
      </w:r>
      <w:r>
        <w:rPr>
          <w:rFonts w:ascii="Arial" w:cs="Arial" w:eastAsia="Arial" w:hAnsi="Arial"/>
          <w:sz w:val="19"/>
          <w:szCs w:val="19"/>
          <w:color w:val="auto"/>
        </w:rPr>
        <w:t>) provided that, within such Allocation, the following amounts of the Initial Purchase Price (and any adjustments thereto) and the Assumed Liabilities shall be allocated as follows: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Transferred Subsidiaries (Canada, Switzerland, China, Italy, Mexico, UK) held by Seller or (percentage of total purchase price: 29.59%);</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Swiss Affiliates of Seller:</w:t>
      </w:r>
    </w:p>
    <w:p>
      <w:pPr>
        <w:sectPr>
          <w:pgSz w:w="11900" w:h="16838" w:orient="portrait"/>
          <w:cols w:equalWidth="0" w:num="1">
            <w:col w:w="11420"/>
          </w:cols>
          <w:pgMar w:left="240" w:top="847"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Transferred Subsidiary: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Transferred Subsidiaries: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IP held by Novartis AG: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Transferred Assets/Assumed Liabilities of Selling Affiliates: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total purchase price: 40.00%);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total purchase price: 3.34%);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total purchase price: 25.00%);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total purchase price: 2.07%).”</w:t>
      </w:r>
    </w:p>
    <w:p>
      <w:pPr>
        <w:spacing w:after="0" w:line="200" w:lineRule="exact"/>
        <w:rPr>
          <w:sz w:val="20"/>
          <w:szCs w:val="20"/>
          <w:color w:val="auto"/>
        </w:rPr>
      </w:pPr>
    </w:p>
    <w:p>
      <w:pPr>
        <w:sectPr>
          <w:pgSz w:w="11900" w:h="16838" w:orient="portrait"/>
          <w:cols w:equalWidth="0" w:num="2">
            <w:col w:w="5940" w:space="720"/>
            <w:col w:w="4760"/>
          </w:cols>
          <w:pgMar w:left="240" w:top="847" w:right="239" w:bottom="1440" w:gutter="0" w:footer="0" w:header="0"/>
          <w:type w:val="continuous"/>
        </w:sectPr>
      </w:pPr>
    </w:p>
    <w:p>
      <w:pPr>
        <w:spacing w:after="0" w:line="15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2.43</w:t>
      </w:r>
      <w:r>
        <w:rPr>
          <w:sz w:val="20"/>
          <w:szCs w:val="20"/>
          <w:color w:val="auto"/>
        </w:rPr>
        <w:tab/>
      </w:r>
      <w:r>
        <w:rPr>
          <w:rFonts w:ascii="Arial" w:cs="Arial" w:eastAsia="Arial" w:hAnsi="Arial"/>
          <w:sz w:val="19"/>
          <w:szCs w:val="19"/>
          <w:b w:val="1"/>
          <w:bCs w:val="1"/>
          <w:color w:val="auto"/>
        </w:rPr>
        <w:t>Insertion of Annex 6.08(q) to the SAPA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M</w:t>
      </w:r>
      <w:r>
        <w:rPr>
          <w:rFonts w:ascii="Arial" w:cs="Arial" w:eastAsia="Arial" w:hAnsi="Arial"/>
          <w:sz w:val="22"/>
          <w:szCs w:val="22"/>
          <w:color w:val="auto"/>
        </w:rPr>
        <w:t xml:space="preserve"> attached hereto is hereby inserted as Annex 6.08(q) to the SAPA.</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No Further Amendment; Effect of Amendment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Except as expressly amended hereby, the SAPA is in all respects ratified and confirmed and all the terms, conditions, and provisions thereof shall remain in full force and effect. This Amendment Agreement is limited precisely as written and shall not be deemed to be an amendment to any other term or condition of the SAPA or any other document referred to therein. This Amendment Agreement shall form a part of the SAPA for all purposes, and the Parties thereto and hereto shall be bound hereby. This Amendment Agreement shall be deemed to be in full force and effect from and after the execution of this Amendment Agreement by the Parties hereto.</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Entire Agreement</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Amendment Agreement and the SAPA (including the Disclosure Schedule and any schedule or annex hereto and thereto), the Confidentiality Agreement, the Ancillary Agreements, and Annexes to the SAPA (and any schedules or annexes thereto) contain the entire agreement and understanding between the Parties with respect to the subject matter hereof and supersede all prior agreements and understandings (whether oral or written) relating to such subject matter.</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Severability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any provision of this Amendment Agreement (or any portion thereof) or the application of any such provision (or any portion thereof) to any Person or circumstance shall be held invalid, illegal or unenforceable in any respect by a court of competent jurisdiction, such invalidity, illegality or</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27</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type w:val="continuous"/>
        </w:sectPr>
      </w:pPr>
    </w:p>
    <w:bookmarkStart w:id="135" w:name="page136"/>
    <w:bookmarkEnd w:id="135"/>
    <w:p>
      <w:pPr>
        <w:jc w:val="both"/>
        <w:spacing w:after="0" w:line="263" w:lineRule="auto"/>
        <w:rPr>
          <w:sz w:val="20"/>
          <w:szCs w:val="20"/>
          <w:color w:val="auto"/>
        </w:rPr>
      </w:pPr>
      <w:r>
        <w:rPr>
          <w:rFonts w:ascii="Arial" w:cs="Arial" w:eastAsia="Arial" w:hAnsi="Arial"/>
          <w:sz w:val="22"/>
          <w:szCs w:val="22"/>
          <w:color w:val="auto"/>
        </w:rPr>
        <w:t>unenforceability shall not affect any other provision hereof (or the remaining portion thereof) or the application of such provision to any other Persons or circumstances.</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3.04</w:t>
      </w:r>
      <w:r>
        <w:rPr>
          <w:sz w:val="20"/>
          <w:szCs w:val="20"/>
          <w:color w:val="auto"/>
        </w:rPr>
        <w:tab/>
      </w:r>
      <w:r>
        <w:rPr>
          <w:rFonts w:ascii="Arial" w:cs="Arial" w:eastAsia="Arial" w:hAnsi="Arial"/>
          <w:sz w:val="19"/>
          <w:szCs w:val="19"/>
          <w:b w:val="1"/>
          <w:bCs w:val="1"/>
          <w:color w:val="auto"/>
        </w:rPr>
        <w:t>Counterpart Execution and Facsimile Delivery</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Amendment Agreement may be executed and delivered (including by facsimile or portable document format (PDF) transmission) in any number of counterparts, each of which when so executed and delivered will be deemed to be an original copy of this Amendment Agreement and all of which, when taken together, will be deemed to constitute one and the same instrument. Other</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All other interpretive provisions of the SAPA, including, without limitation, the provisions set forth in </w:t>
      </w:r>
      <w:r>
        <w:rPr>
          <w:rFonts w:ascii="Arial" w:cs="Arial" w:eastAsia="Arial" w:hAnsi="Arial"/>
          <w:sz w:val="21"/>
          <w:szCs w:val="21"/>
          <w:u w:val="single" w:color="auto"/>
          <w:color w:val="auto"/>
        </w:rPr>
        <w:t>Sections 11.02</w:t>
      </w:r>
      <w:r>
        <w:rPr>
          <w:rFonts w:ascii="Arial" w:cs="Arial" w:eastAsia="Arial" w:hAnsi="Arial"/>
          <w:sz w:val="21"/>
          <w:szCs w:val="21"/>
          <w:color w:val="auto"/>
        </w:rPr>
        <w:t xml:space="preserve"> (</w:t>
      </w:r>
      <w:r>
        <w:rPr>
          <w:rFonts w:ascii="Arial" w:cs="Arial" w:eastAsia="Arial" w:hAnsi="Arial"/>
          <w:sz w:val="21"/>
          <w:szCs w:val="21"/>
          <w:i w:val="1"/>
          <w:iCs w:val="1"/>
          <w:color w:val="auto"/>
        </w:rPr>
        <w:t>Amendments</w:t>
      </w:r>
      <w:r>
        <w:rPr>
          <w:rFonts w:ascii="Arial" w:cs="Arial" w:eastAsia="Arial" w:hAnsi="Arial"/>
          <w:sz w:val="21"/>
          <w:szCs w:val="21"/>
          <w:color w:val="auto"/>
        </w:rPr>
        <w:t xml:space="preserve"> </w:t>
      </w:r>
      <w:r>
        <w:rPr>
          <w:rFonts w:ascii="Arial" w:cs="Arial" w:eastAsia="Arial" w:hAnsi="Arial"/>
          <w:sz w:val="21"/>
          <w:szCs w:val="21"/>
          <w:i w:val="1"/>
          <w:iCs w:val="1"/>
          <w:color w:val="auto"/>
        </w:rPr>
        <w:t>and Waivers)</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11.03</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Assignment</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11.09</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Conflicts with Local Agreements</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11.14</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Governing Law</w:t>
      </w:r>
      <w:r>
        <w:rPr>
          <w:rFonts w:ascii="Arial" w:cs="Arial" w:eastAsia="Arial" w:hAnsi="Arial"/>
          <w:sz w:val="21"/>
          <w:szCs w:val="21"/>
          <w:color w:val="auto"/>
        </w:rPr>
        <w:t>) 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11.15</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Consent to Jurisdiction</w:t>
      </w:r>
      <w:r>
        <w:rPr>
          <w:rFonts w:ascii="Arial" w:cs="Arial" w:eastAsia="Arial" w:hAnsi="Arial"/>
          <w:sz w:val="21"/>
          <w:szCs w:val="21"/>
          <w:color w:val="auto"/>
        </w:rPr>
        <w:t>) are hereby incorporated into this Amendment Agreement by reference,</w:t>
      </w:r>
      <w:r>
        <w:rPr>
          <w:rFonts w:ascii="Arial" w:cs="Arial" w:eastAsia="Arial" w:hAnsi="Arial"/>
          <w:sz w:val="21"/>
          <w:szCs w:val="21"/>
          <w:i w:val="1"/>
          <w:iCs w:val="1"/>
          <w:color w:val="auto"/>
        </w:rPr>
        <w:t xml:space="preserve"> mutatis mutandis</w:t>
      </w:r>
      <w:r>
        <w:rPr>
          <w:rFonts w:ascii="Arial" w:cs="Arial" w:eastAsia="Arial" w:hAnsi="Arial"/>
          <w:sz w:val="21"/>
          <w:szCs w:val="21"/>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28</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36" w:name="page137"/>
    <w:bookmarkEnd w:id="136"/>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Seller and the Purchaser has duly executed this Amendment Agreement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NOVARTIS AG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Roy Papatheodorou____________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Roy Papatheodorou</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Richard Pulik_________________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Richard Pulik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 LILLY AND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John C. Lechleiter______________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John C. Lechleiter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Chairman of the Board, President and Chief Executive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[Amendment Agreement – Signature Page]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00"/>
          </w:cols>
          <w:pgMar w:left="240" w:top="841" w:right="25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b w:val="1"/>
          <w:bCs w:val="1"/>
          <w:color w:val="auto"/>
        </w:rPr>
        <w:t>TABLE OF SCHEDULES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(The following annexes and exhibits to the agreement identified above have been omitted in reliance upon Rule 601(b)(2) of Regulation S-K. The Registrant hereby undertakes to furnish such annexes and exhibits to the Commission supplementally upon request.)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320"/>
          </w:cols>
          <w:pgMar w:left="240" w:top="1299" w:right="33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304"/>
        </w:trPr>
        <w:tc>
          <w:tcPr>
            <w:tcW w:w="25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Schedule No.</w:t>
            </w:r>
          </w:p>
        </w:tc>
        <w:tc>
          <w:tcPr>
            <w:tcW w:w="53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Schedule Name</w:t>
            </w:r>
          </w:p>
        </w:tc>
      </w:tr>
      <w:tr>
        <w:trPr>
          <w:trHeight w:val="28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Annex I</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Form of UBS Escrow Agreement</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Annex II</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Form of Credit Suisse Escrow Agreement</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84"/>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Annex III</w:t>
            </w:r>
          </w:p>
        </w:tc>
        <w:tc>
          <w:tcPr>
            <w:tcW w:w="5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Local payments wire details</w:t>
            </w:r>
          </w:p>
        </w:tc>
      </w:tr>
      <w:tr>
        <w:trPr>
          <w:trHeight w:val="28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Annex III</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Notarial transferred subsidiaries; notarial asset sellers</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84"/>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A</w:t>
            </w:r>
          </w:p>
        </w:tc>
        <w:tc>
          <w:tcPr>
            <w:tcW w:w="5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Selling Affiliates</w:t>
            </w:r>
          </w:p>
        </w:tc>
      </w:tr>
      <w:tr>
        <w:trPr>
          <w:trHeight w:val="291"/>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B</w:t>
            </w:r>
          </w:p>
        </w:tc>
        <w:tc>
          <w:tcPr>
            <w:tcW w:w="5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Annex 2.01(b) – Retained IT Assets</w:t>
            </w:r>
          </w:p>
        </w:tc>
      </w:tr>
      <w:tr>
        <w:trPr>
          <w:trHeight w:val="291"/>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C</w:t>
            </w:r>
          </w:p>
        </w:tc>
        <w:tc>
          <w:tcPr>
            <w:tcW w:w="5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Annex 2.01(c)(i) – Other Excluded Assets</w:t>
            </w:r>
          </w:p>
        </w:tc>
      </w:tr>
      <w:tr>
        <w:trPr>
          <w:trHeight w:val="280"/>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D</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Certain Intra-Group Non-Trade Payables</w:t>
            </w:r>
          </w:p>
        </w:tc>
      </w:tr>
      <w:tr>
        <w:trPr>
          <w:trHeight w:val="422"/>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Conditions To Deferred Switzerland Closing</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F</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Selling Affiliates &amp; Jurisdictions</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84"/>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G</w:t>
            </w:r>
          </w:p>
        </w:tc>
        <w:tc>
          <w:tcPr>
            <w:tcW w:w="5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Transferred Real Property</w:t>
            </w:r>
          </w:p>
        </w:tc>
      </w:tr>
      <w:tr>
        <w:trPr>
          <w:trHeight w:val="249"/>
        </w:trPr>
        <w:tc>
          <w:tcPr>
            <w:tcW w:w="256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Exhibit H</w:t>
            </w:r>
          </w:p>
        </w:tc>
        <w:tc>
          <w:tcPr>
            <w:tcW w:w="538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Real Property used by the Business which is not Transferred</w:t>
            </w:r>
          </w:p>
        </w:tc>
      </w:tr>
      <w:tr>
        <w:trPr>
          <w:trHeight w:val="275"/>
        </w:trPr>
        <w:tc>
          <w:tcPr>
            <w:tcW w:w="2560" w:type="dxa"/>
            <w:vAlign w:val="bottom"/>
            <w:tcBorders>
              <w:left w:val="single" w:sz="8" w:color="auto"/>
              <w:right w:val="single" w:sz="8" w:color="auto"/>
            </w:tcBorders>
          </w:tcPr>
          <w:p>
            <w:pPr>
              <w:spacing w:after="0"/>
              <w:rPr>
                <w:sz w:val="23"/>
                <w:szCs w:val="23"/>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Real Property</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I</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Right to use Transferred Real Property</w:t>
            </w:r>
          </w:p>
        </w:tc>
      </w:tr>
      <w:tr>
        <w:trPr>
          <w:trHeight w:val="476"/>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J</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Valid legal title to Transferred Owned Real Property</w:t>
            </w:r>
          </w:p>
        </w:tc>
      </w:tr>
      <w:tr>
        <w:trPr>
          <w:trHeight w:val="692"/>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42"/>
        </w:trPr>
        <w:tc>
          <w:tcPr>
            <w:tcW w:w="256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Exhibit K</w:t>
            </w:r>
          </w:p>
        </w:tc>
        <w:tc>
          <w:tcPr>
            <w:tcW w:w="53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w w:val="99"/>
              </w:rPr>
              <w:t>Consents and Approvals Required to Consummate the</w:t>
            </w:r>
          </w:p>
        </w:tc>
      </w:tr>
      <w:tr>
        <w:trPr>
          <w:trHeight w:val="275"/>
        </w:trPr>
        <w:tc>
          <w:tcPr>
            <w:tcW w:w="2560" w:type="dxa"/>
            <w:vAlign w:val="bottom"/>
            <w:tcBorders>
              <w:left w:val="single" w:sz="8" w:color="auto"/>
              <w:right w:val="single" w:sz="8" w:color="auto"/>
            </w:tcBorders>
          </w:tcPr>
          <w:p>
            <w:pPr>
              <w:spacing w:after="0"/>
              <w:rPr>
                <w:sz w:val="23"/>
                <w:szCs w:val="23"/>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Proposed Transactions</w:t>
            </w:r>
          </w:p>
        </w:tc>
      </w:tr>
      <w:tr>
        <w:trPr>
          <w:trHeight w:val="422"/>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L</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Support Agreement</w:t>
            </w:r>
          </w:p>
        </w:tc>
      </w:tr>
      <w:tr>
        <w:trPr>
          <w:trHeight w:val="422"/>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r>
        <w:trPr>
          <w:trHeight w:val="274"/>
        </w:trPr>
        <w:tc>
          <w:tcPr>
            <w:tcW w:w="2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M</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Business Employees</w:t>
            </w:r>
          </w:p>
        </w:tc>
      </w:tr>
      <w:tr>
        <w:trPr>
          <w:trHeight w:val="422"/>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970" w:right="23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WEIL:\95183466\7\59474.0036</w:t>
      </w:r>
    </w:p>
    <w:p>
      <w:pPr>
        <w:sectPr>
          <w:pgSz w:w="11900" w:h="16838" w:orient="portrait"/>
          <w:cols w:equalWidth="0" w:num="1">
            <w:col w:w="11420"/>
          </w:cols>
          <w:pgMar w:left="240" w:top="970" w:right="239" w:bottom="1440" w:gutter="0" w:footer="0" w:header="0"/>
          <w:type w:val="continuous"/>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ANNEX 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2.05A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UBS ESCROW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1440"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ANNEX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2.05B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CREDIT SUISSE ESCROW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1" w:right="239" w:bottom="1440" w:gutter="0" w:footer="0" w:header="0"/>
        </w:sectPr>
      </w:pPr>
    </w:p>
    <w:bookmarkStart w:id="141" w:name="page142"/>
    <w:bookmarkEnd w:id="141"/>
    <w:p>
      <w:pPr>
        <w:ind w:left="5180"/>
        <w:spacing w:after="0"/>
        <w:rPr>
          <w:sz w:val="20"/>
          <w:szCs w:val="20"/>
          <w:color w:val="auto"/>
        </w:rPr>
      </w:pPr>
      <w:r>
        <w:rPr>
          <w:rFonts w:ascii="Arial" w:cs="Arial" w:eastAsia="Arial" w:hAnsi="Arial"/>
          <w:sz w:val="22"/>
          <w:szCs w:val="22"/>
          <w:b w:val="1"/>
          <w:bCs w:val="1"/>
          <w:color w:val="auto"/>
        </w:rPr>
        <w:t>ANNEX III</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ANNEX 2.05(c)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LOCAL PAYMENTS WIRE DETAILS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1" w:right="239" w:bottom="1440" w:gutter="0" w:footer="0" w:header="0"/>
        </w:sectPr>
      </w:pPr>
    </w:p>
    <w:bookmarkStart w:id="142" w:name="page143"/>
    <w:bookmarkEnd w:id="142"/>
    <w:p>
      <w:pPr>
        <w:ind w:left="340"/>
        <w:spacing w:after="0"/>
        <w:rPr>
          <w:sz w:val="20"/>
          <w:szCs w:val="20"/>
          <w:color w:val="auto"/>
        </w:rPr>
      </w:pPr>
      <w:r>
        <w:rPr>
          <w:rFonts w:ascii="Arial" w:cs="Arial" w:eastAsia="Arial" w:hAnsi="Arial"/>
          <w:sz w:val="22"/>
          <w:szCs w:val="22"/>
          <w:color w:val="auto"/>
        </w:rPr>
        <w:t>ANNEX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2.05(d)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NOTARIAL TRANSFERRED SUBSIDIARIES; NOTARIAL ASSET SELLERS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47" w:right="2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Selling Affiliates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color w:val="auto"/>
        </w:rPr>
        <w:t>EXHIBIT B</w:t>
      </w:r>
    </w:p>
    <w:p>
      <w:pPr>
        <w:spacing w:after="0" w:line="341"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Annex 2.01(b) – Retained IT Assets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45" w:name="page146"/>
    <w:bookmarkEnd w:id="145"/>
    <w:p>
      <w:pPr>
        <w:jc w:val="center"/>
        <w:ind w:right="220"/>
        <w:spacing w:after="0"/>
        <w:rPr>
          <w:sz w:val="20"/>
          <w:szCs w:val="20"/>
          <w:color w:val="auto"/>
        </w:rPr>
      </w:pPr>
      <w:r>
        <w:rPr>
          <w:rFonts w:ascii="Arial" w:cs="Arial" w:eastAsia="Arial" w:hAnsi="Arial"/>
          <w:sz w:val="22"/>
          <w:szCs w:val="22"/>
          <w:b w:val="1"/>
          <w:bCs w:val="1"/>
          <w:color w:val="auto"/>
        </w:rPr>
        <w:t>EXHIBIT C</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2.01(c)(i) – Other Excluded Assets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1314" w:right="239" w:bottom="1440" w:gutter="0" w:footer="0" w:header="0"/>
        </w:sectPr>
      </w:pPr>
    </w:p>
    <w:bookmarkStart w:id="146" w:name="page147"/>
    <w:bookmarkEnd w:id="146"/>
    <w:p>
      <w:pPr>
        <w:jc w:val="center"/>
        <w:ind w:right="220"/>
        <w:spacing w:after="0"/>
        <w:rPr>
          <w:sz w:val="20"/>
          <w:szCs w:val="20"/>
          <w:color w:val="auto"/>
        </w:rPr>
      </w:pPr>
      <w:r>
        <w:rPr>
          <w:rFonts w:ascii="Arial" w:cs="Arial" w:eastAsia="Arial" w:hAnsi="Arial"/>
          <w:sz w:val="22"/>
          <w:szCs w:val="22"/>
          <w:b w:val="1"/>
          <w:bCs w:val="1"/>
          <w:color w:val="auto"/>
        </w:rPr>
        <w:t>EXHIBIT 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2.06(a)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Intra-Group Non-Trade Payables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47" w:name="page148"/>
    <w:bookmarkEnd w:id="147"/>
    <w:p>
      <w:pPr>
        <w:jc w:val="center"/>
        <w:ind w:right="220"/>
        <w:spacing w:after="0"/>
        <w:rPr>
          <w:sz w:val="20"/>
          <w:szCs w:val="20"/>
          <w:color w:val="auto"/>
        </w:rPr>
      </w:pPr>
      <w:r>
        <w:rPr>
          <w:rFonts w:ascii="Arial" w:cs="Arial" w:eastAsia="Arial" w:hAnsi="Arial"/>
          <w:sz w:val="22"/>
          <w:szCs w:val="22"/>
          <w:b w:val="1"/>
          <w:bCs w:val="1"/>
          <w:color w:val="auto"/>
        </w:rPr>
        <w:t>EXHIBIT 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2.13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Deferred Switzerland Closing</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48" w:name="page149"/>
    <w:bookmarkEnd w:id="148"/>
    <w:p>
      <w:pPr>
        <w:jc w:val="center"/>
        <w:ind w:right="180"/>
        <w:spacing w:after="0"/>
        <w:rPr>
          <w:sz w:val="20"/>
          <w:szCs w:val="20"/>
          <w:color w:val="auto"/>
        </w:rPr>
      </w:pPr>
      <w:r>
        <w:rPr>
          <w:rFonts w:ascii="Arial" w:cs="Arial" w:eastAsia="Arial" w:hAnsi="Arial"/>
          <w:sz w:val="22"/>
          <w:szCs w:val="22"/>
          <w:b w:val="1"/>
          <w:bCs w:val="1"/>
          <w:color w:val="auto"/>
        </w:rPr>
        <w:t>EXHIBIT F</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EXHIBIT 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4.01(b)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Selling Affiliates &amp; Jurisdictions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49" w:name="page150"/>
    <w:bookmarkEnd w:id="149"/>
    <w:p>
      <w:pPr>
        <w:jc w:val="center"/>
        <w:ind w:right="-1200"/>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SECTION 4.06(a)(i)</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Transferred Real Property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0219"/>
          </w:cols>
          <w:pgMar w:left="240" w:top="841" w:right="1440"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22"/>
          <w:szCs w:val="22"/>
          <w:b w:val="1"/>
          <w:bCs w:val="1"/>
          <w:color w:val="auto"/>
        </w:rPr>
        <w:t>EXHIBIT 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4.06(a)(ii)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Real Property used by the Business which is not Transferred Real Property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51" w:name="page152"/>
    <w:bookmarkEnd w:id="151"/>
    <w:p>
      <w:pPr>
        <w:jc w:val="center"/>
        <w:ind w:right="40"/>
        <w:spacing w:after="0"/>
        <w:rPr>
          <w:sz w:val="20"/>
          <w:szCs w:val="20"/>
          <w:color w:val="auto"/>
        </w:rPr>
      </w:pPr>
      <w:r>
        <w:rPr>
          <w:rFonts w:ascii="Arial" w:cs="Arial" w:eastAsia="Arial" w:hAnsi="Arial"/>
          <w:sz w:val="22"/>
          <w:szCs w:val="22"/>
          <w:b w:val="1"/>
          <w:bCs w:val="1"/>
          <w:color w:val="auto"/>
        </w:rPr>
        <w:t>EXHIBIT 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4.06(b)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to use Transferred Real Property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52" w:name="page153"/>
    <w:bookmarkEnd w:id="152"/>
    <w:p>
      <w:pPr>
        <w:jc w:val="center"/>
        <w:ind w:right="40"/>
        <w:spacing w:after="0"/>
        <w:rPr>
          <w:sz w:val="20"/>
          <w:szCs w:val="20"/>
          <w:color w:val="auto"/>
        </w:rPr>
      </w:pPr>
      <w:r>
        <w:rPr>
          <w:rFonts w:ascii="Arial" w:cs="Arial" w:eastAsia="Arial" w:hAnsi="Arial"/>
          <w:sz w:val="22"/>
          <w:szCs w:val="22"/>
          <w:b w:val="1"/>
          <w:bCs w:val="1"/>
          <w:color w:val="auto"/>
        </w:rPr>
        <w:t>EXHIBIT J</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4.06(c)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Valid legal title to Transferred Owned Real Property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22"/>
          <w:szCs w:val="22"/>
          <w:b w:val="1"/>
          <w:bCs w:val="1"/>
          <w:color w:val="auto"/>
        </w:rPr>
        <w:t>EXHIBIT 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4.06(d)(iii)</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Consents and Approvals Required to Consummate the Proposed Transactions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22"/>
          <w:szCs w:val="22"/>
          <w:b w:val="1"/>
          <w:bCs w:val="1"/>
          <w:color w:val="auto"/>
        </w:rPr>
        <w:t>EXHIBIT 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2.05(a)(vii)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Support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855" w:right="239" w:bottom="1440" w:gutter="0" w:footer="0" w:header="0"/>
        </w:sectPr>
      </w:pPr>
    </w:p>
    <w:bookmarkStart w:id="155" w:name="page156"/>
    <w:bookmarkEnd w:id="155"/>
    <w:p>
      <w:pPr>
        <w:jc w:val="center"/>
        <w:ind w:right="40"/>
        <w:spacing w:after="0"/>
        <w:rPr>
          <w:sz w:val="20"/>
          <w:szCs w:val="20"/>
          <w:color w:val="auto"/>
        </w:rPr>
      </w:pPr>
      <w:r>
        <w:rPr>
          <w:rFonts w:ascii="Arial" w:cs="Arial" w:eastAsia="Arial" w:hAnsi="Arial"/>
          <w:sz w:val="22"/>
          <w:szCs w:val="22"/>
          <w:b w:val="1"/>
          <w:bCs w:val="1"/>
          <w:color w:val="auto"/>
        </w:rPr>
        <w:t>EXHIBIT 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6.08(q)</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Employees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WEIL:\95183466\7\59474.0036</w:t>
      </w:r>
    </w:p>
    <w:p>
      <w:pPr>
        <w:sectPr>
          <w:pgSz w:w="11900" w:h="16838" w:orient="portrait"/>
          <w:cols w:equalWidth="0" w:num="1">
            <w:col w:w="11420"/>
          </w:cols>
          <w:pgMar w:left="240" w:top="1111" w:right="2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43"/>
          <w:szCs w:val="43"/>
          <w:color w:val="auto"/>
        </w:rPr>
        <w:t>Eli Lilly and Company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Performance Award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Performance Award has been granted, for the Award Period of January 1, 2015 through December 31, 2016, by Eli Lilly and Company, an Indiana corporation with its principal offices in Indianapolis, Indiana (“Lilly” or the “Company”), to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641985</wp:posOffset>
            </wp:positionV>
            <wp:extent cx="5814695" cy="2178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14695" cy="217805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157" w:name="page158"/>
    <w:bookmarkEnd w:id="157"/>
    <w:p>
      <w:pPr>
        <w:spacing w:after="0"/>
        <w:rPr>
          <w:sz w:val="20"/>
          <w:szCs w:val="20"/>
          <w:color w:val="auto"/>
        </w:rPr>
      </w:pPr>
      <w:r>
        <w:rPr>
          <w:rFonts w:ascii="Arial" w:cs="Arial" w:eastAsia="Arial" w:hAnsi="Arial"/>
          <w:sz w:val="29"/>
          <w:szCs w:val="29"/>
          <w:color w:val="auto"/>
        </w:rPr>
        <w:t>A. Recitals</w:t>
      </w:r>
    </w:p>
    <w:p>
      <w:pPr>
        <w:spacing w:after="0" w:line="89"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Performance Award and selected the Grantee, an Eligible Employee of the Company or one of its subsidiaries, to receive a Performance Award for the Award Period January 1, 2015 through December 31, 2016. The applicable terms of the 2002 Plan are incorporated in this Performance Award by reference, including the definitions of terms contained in the 2002 Plan.</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B. Performance Award</w:t>
      </w:r>
    </w:p>
    <w:p>
      <w:pPr>
        <w:spacing w:after="0" w:line="89" w:lineRule="exact"/>
        <w:rPr>
          <w:sz w:val="20"/>
          <w:szCs w:val="20"/>
          <w:color w:val="auto"/>
        </w:rPr>
      </w:pPr>
    </w:p>
    <w:p>
      <w:pPr>
        <w:jc w:val="both"/>
        <w:ind w:left="420"/>
        <w:spacing w:after="0" w:line="245" w:lineRule="auto"/>
        <w:rPr>
          <w:sz w:val="20"/>
          <w:szCs w:val="20"/>
          <w:color w:val="auto"/>
        </w:rPr>
      </w:pPr>
      <w:r>
        <w:rPr>
          <w:rFonts w:ascii="Arial" w:cs="Arial" w:eastAsia="Arial" w:hAnsi="Arial"/>
          <w:sz w:val="22"/>
          <w:szCs w:val="22"/>
          <w:color w:val="auto"/>
        </w:rPr>
        <w:t>Lilly grants to the Grantee the right to acquire Lilly Stock by issuance to the Grantee of a number of Performance Shares (determined in accordance with Sections 2 and 3 below) in the form of restricted stock units or in the form of a cash payment (each, as described in Section 6 below), subject to certain restrictions and on the terms and conditions contained in this Performance Award and the 2002 Plan. In the event of any conflict between the terms of the 2002 Plan and this Performance Award, the terms of the 2002 Plan shall govern.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1. Statement of Award Period</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Award Period shall begin January 1, 2015 and end December 31,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2. Number of Shares</w:t>
      </w:r>
    </w:p>
    <w:p>
      <w:pPr>
        <w:spacing w:after="0" w:line="99" w:lineRule="exact"/>
        <w:rPr>
          <w:sz w:val="20"/>
          <w:szCs w:val="20"/>
          <w:color w:val="auto"/>
        </w:rPr>
      </w:pPr>
    </w:p>
    <w:p>
      <w:pPr>
        <w:jc w:val="both"/>
        <w:ind w:left="400"/>
        <w:spacing w:after="0" w:line="244" w:lineRule="auto"/>
        <w:rPr>
          <w:sz w:val="20"/>
          <w:szCs w:val="20"/>
          <w:color w:val="auto"/>
        </w:rPr>
      </w:pPr>
      <w:r>
        <w:rPr>
          <w:rFonts w:ascii="Arial" w:cs="Arial" w:eastAsia="Arial" w:hAnsi="Arial"/>
          <w:sz w:val="22"/>
          <w:szCs w:val="22"/>
          <w:color w:val="auto"/>
        </w:rPr>
        <w:t>The target number of Performance Shares for the Award Period shall be the value approved by the Grantee’s supervisor, multiplied by the percentage determined by the Committee to be granted as a Performance Award, divided by the grant fair value of $67.66 rounded to the nearest full share. Target shares are set at an EPS growth rate of 6.00%. The actual cumulative EPS will be used to determine the actual number of Performance Shares awarded at payout, subject to adjustment as provided below in this Section or in Section 9. Grantees may view their Performance Award by logging on to the Merrill Lynch website at http://myequity.lilly.com beginning March 1 of each grant year.</w:t>
      </w:r>
    </w:p>
    <w:p>
      <w:pPr>
        <w:spacing w:after="0" w:line="212"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The number of Performance Shares for the Award Period and the cumulative EPS as described in Section 3 below, shall be subject to adjustment in accordance with the provisions of Section 4(b) of the 2002 Plan for certain corporate recapitalizations and other events. A fractional share resulting from such adjustment shall in the discretion of the Committee either be paid in cash or rounded.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3. Computation of Cumulative EPS</w:t>
      </w:r>
    </w:p>
    <w:p>
      <w:pPr>
        <w:spacing w:after="0" w:line="99" w:lineRule="exact"/>
        <w:rPr>
          <w:sz w:val="20"/>
          <w:szCs w:val="20"/>
          <w:color w:val="auto"/>
        </w:rPr>
      </w:pPr>
    </w:p>
    <w:p>
      <w:pPr>
        <w:jc w:val="both"/>
        <w:ind w:left="420"/>
        <w:spacing w:after="0" w:line="249" w:lineRule="auto"/>
        <w:rPr>
          <w:sz w:val="20"/>
          <w:szCs w:val="20"/>
          <w:color w:val="auto"/>
        </w:rPr>
      </w:pPr>
      <w:r>
        <w:rPr>
          <w:rFonts w:ascii="Arial" w:cs="Arial" w:eastAsia="Arial" w:hAnsi="Arial"/>
          <w:sz w:val="22"/>
          <w:szCs w:val="22"/>
          <w:color w:val="auto"/>
        </w:rPr>
        <w:t>The cumulative EPS for the Award Period shall be computed in accordance with Section 18 and using the following procedures:</w:t>
      </w:r>
    </w:p>
    <w:p>
      <w:pPr>
        <w:spacing w:after="0" w:line="204" w:lineRule="exact"/>
        <w:rPr>
          <w:sz w:val="20"/>
          <w:szCs w:val="20"/>
          <w:color w:val="auto"/>
        </w:rPr>
      </w:pPr>
    </w:p>
    <w:p>
      <w:pPr>
        <w:jc w:val="both"/>
        <w:ind w:left="740" w:hanging="247"/>
        <w:spacing w:after="0" w:line="245" w:lineRule="auto"/>
        <w:rPr>
          <w:sz w:val="20"/>
          <w:szCs w:val="20"/>
          <w:color w:val="auto"/>
        </w:rPr>
      </w:pPr>
      <w:r>
        <w:rPr>
          <w:rFonts w:ascii="Arial" w:cs="Arial" w:eastAsia="Arial" w:hAnsi="Arial"/>
          <w:sz w:val="22"/>
          <w:szCs w:val="22"/>
          <w:color w:val="auto"/>
        </w:rPr>
        <w:t>a. A determination of adjusted consolidated net income ascertained from the Company's audited consolidated financial statements shall be made for each fiscal year in the Award Period in accordance with accounting principles currently applicable in the United States, adjusted to the extent deemed appropriate by the Committee for any unusual items deemed significant by the Committee.</w:t>
      </w:r>
    </w:p>
    <w:p>
      <w:pPr>
        <w:spacing w:after="0" w:line="210" w:lineRule="exact"/>
        <w:rPr>
          <w:sz w:val="20"/>
          <w:szCs w:val="20"/>
          <w:color w:val="auto"/>
        </w:rPr>
      </w:pPr>
    </w:p>
    <w:p>
      <w:pPr>
        <w:jc w:val="both"/>
        <w:ind w:left="740" w:hanging="247"/>
        <w:spacing w:after="0" w:line="246" w:lineRule="auto"/>
        <w:rPr>
          <w:sz w:val="20"/>
          <w:szCs w:val="20"/>
          <w:color w:val="auto"/>
        </w:rPr>
      </w:pPr>
      <w:r>
        <w:rPr>
          <w:rFonts w:ascii="Arial" w:cs="Arial" w:eastAsia="Arial" w:hAnsi="Arial"/>
          <w:sz w:val="22"/>
          <w:szCs w:val="22"/>
          <w:color w:val="auto"/>
        </w:rPr>
        <w:t>b. The number of shares of outstanding Lilly Stock used to compute consolidated earnings per share shall be determined as of the end of each fiscal year in the Award Period on a diluted basis or its equivalent in accordance with accounting principles currently applicable in the United States.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75" w:right="239" w:bottom="1440" w:gutter="0" w:footer="0" w:header="0"/>
        </w:sectPr>
      </w:pPr>
    </w:p>
    <w:bookmarkStart w:id="158" w:name="page159"/>
    <w:bookmarkEnd w:id="158"/>
    <w:p>
      <w:pPr>
        <w:jc w:val="both"/>
        <w:ind w:left="400" w:hanging="247"/>
        <w:spacing w:after="0" w:line="246" w:lineRule="auto"/>
        <w:rPr>
          <w:sz w:val="20"/>
          <w:szCs w:val="20"/>
          <w:color w:val="auto"/>
        </w:rPr>
      </w:pPr>
      <w:r>
        <w:rPr>
          <w:rFonts w:ascii="Arial" w:cs="Arial" w:eastAsia="Arial" w:hAnsi="Arial"/>
          <w:sz w:val="22"/>
          <w:szCs w:val="22"/>
          <w:color w:val="auto"/>
        </w:rPr>
        <w:t>c. To calculate consolidated earnings per share for each fiscal year in the Award Period, the adjusted consolidated net income shall be divided by the number of shares of outstanding Lilly Stock as computed in accordance with subsection (b) above and the quotient rounded to the nearest cent.</w:t>
      </w:r>
    </w:p>
    <w:p>
      <w:pPr>
        <w:spacing w:after="0" w:line="208" w:lineRule="exact"/>
        <w:rPr>
          <w:sz w:val="20"/>
          <w:szCs w:val="20"/>
          <w:color w:val="auto"/>
        </w:rPr>
      </w:pPr>
    </w:p>
    <w:p>
      <w:pPr>
        <w:jc w:val="both"/>
        <w:ind w:left="400" w:hanging="247"/>
        <w:spacing w:after="0" w:line="249" w:lineRule="auto"/>
        <w:rPr>
          <w:sz w:val="20"/>
          <w:szCs w:val="20"/>
          <w:color w:val="auto"/>
        </w:rPr>
      </w:pPr>
      <w:r>
        <w:rPr>
          <w:rFonts w:ascii="Arial" w:cs="Arial" w:eastAsia="Arial" w:hAnsi="Arial"/>
          <w:sz w:val="22"/>
          <w:szCs w:val="22"/>
          <w:color w:val="auto"/>
        </w:rPr>
        <w:t>d. To determine the cumulative EPS for the Award Period, the EPS amounts for each fiscal year as determined above shall be added.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 Determination and Announcement of Award</w:t>
      </w:r>
    </w:p>
    <w:p>
      <w:pPr>
        <w:spacing w:after="0" w:line="99" w:lineRule="exact"/>
        <w:rPr>
          <w:sz w:val="20"/>
          <w:szCs w:val="20"/>
          <w:color w:val="auto"/>
        </w:rPr>
      </w:pPr>
    </w:p>
    <w:p>
      <w:pPr>
        <w:jc w:val="both"/>
        <w:ind w:left="80"/>
        <w:spacing w:after="0" w:line="264" w:lineRule="auto"/>
        <w:rPr>
          <w:sz w:val="20"/>
          <w:szCs w:val="20"/>
          <w:color w:val="auto"/>
        </w:rPr>
      </w:pPr>
      <w:r>
        <w:rPr>
          <w:rFonts w:ascii="Arial" w:cs="Arial" w:eastAsia="Arial" w:hAnsi="Arial"/>
          <w:sz w:val="21"/>
          <w:szCs w:val="21"/>
          <w:color w:val="auto"/>
        </w:rPr>
        <w:t>After the cumulative EPS for the Award Period is computed, the cumulative EPS and the resulting number of Performance Shares for Grantee (determined in accordance with Sections 2 and 8), together with the Committee’s election between cash and Performance Shares under Section 5, shall be communicated to Grantee.</w:t>
      </w:r>
    </w:p>
    <w:p>
      <w:pPr>
        <w:spacing w:after="0" w:line="15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5. Committee Election to Pay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until the determination of cumulative EPS and the resulting number of Performance Shares, the Committee may, in the case of the Grantee’s termination of employment for one of the reasons set forth in Section 8(c) and if the Committee so elects, determine to pay part or all of any Performance Award in cash in lieu of issuing Performance Shares in the form of restricted stock units. The amount of cash shall be based upon the fair market value of Lilly Stock on a valuation date to be determined by the Committee.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6. Issuance of Performance Shares / Restricted Stock Units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Lilly shall issue to the Grantee the number of Performance Shares determined to be payable under Section 4 in the form of restricted stock units that will be governed by the provisions of Section 10 of the 2002 Plan and as further detailed below, or shall make a cash payment to the Grantee as determined under Section 5, in each case within a sixty day period starting the day after the Award Period expiration (as stated in Section 1) and ending on the sixtieth day after the Award Period expiration. In the event Grantee is entitled to a fractional restricted stock unit, the fraction may be paid in cash or rounded, in the Committee’s discretion.</w:t>
      </w:r>
    </w:p>
    <w:p>
      <w:pPr>
        <w:spacing w:after="0" w:line="213"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No Shareholder Rights</w:t>
      </w:r>
      <w:r>
        <w:rPr>
          <w:rFonts w:ascii="Arial" w:cs="Arial" w:eastAsia="Arial" w:hAnsi="Arial"/>
          <w:sz w:val="22"/>
          <w:szCs w:val="22"/>
          <w:color w:val="auto"/>
        </w:rPr>
        <w:t>. Any Performance Shares issued to the Grantee in the form of restricted stock units shall not entitle Grantee to any rights of a shareholder of Lilly Stock until such time as the restricted stock units vest and shares of Lilly Stock are issued or transferred to the Grantee in accordance with the terms set forth in this instrument. The rights of Grantee with respect to the shares of Lilly Stock subject to the restricted stock units shall remain forfeitable at all times prior to the date on which the restrictions with respect to the restricted stock units lapse as described in this instrument.</w:t>
      </w:r>
    </w:p>
    <w:p>
      <w:pPr>
        <w:spacing w:after="0" w:line="213"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Dividend Equivalent Units</w:t>
      </w:r>
      <w:r>
        <w:rPr>
          <w:rFonts w:ascii="Arial" w:cs="Arial" w:eastAsia="Arial" w:hAnsi="Arial"/>
          <w:sz w:val="22"/>
          <w:szCs w:val="22"/>
          <w:color w:val="auto"/>
        </w:rPr>
        <w:t>. As long as the Grantee holds restricted stock units issued pursuant to this Performance Award, the Company shall accrue for the Grantee, on each date that the Company pays a cash dividend to holders of Lilly Stock, Dividend Equivalent Units equal to the total number of restricted stock units issued to the Grantee under this Performance Award multiplied by the dollar amount of the cash dividend paid per share of Lilly Stock by the Company on such date. Dividend Equivalent Units shall accrue in an account denominated in U.S. dollars and shall not accrue interest or other credits prior to being paid. A report showing the accrued Dividend Equivalent Units shall be sent to the Grantee periodically, as determined by the Company. The accrued Dividend Equivalent Units shall be subject to the same restrictions as the restricted stock units to which the Dividend Equivalent Units relate, and the</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580" w:top="390" w:right="239" w:bottom="1440" w:gutter="0" w:footer="0" w:header="0"/>
        </w:sectPr>
      </w:pPr>
    </w:p>
    <w:bookmarkStart w:id="159" w:name="page160"/>
    <w:bookmarkEnd w:id="159"/>
    <w:p>
      <w:pPr>
        <w:ind w:left="480"/>
        <w:spacing w:after="0" w:line="249" w:lineRule="auto"/>
        <w:rPr>
          <w:sz w:val="20"/>
          <w:szCs w:val="20"/>
          <w:color w:val="auto"/>
        </w:rPr>
      </w:pPr>
      <w:r>
        <w:rPr>
          <w:rFonts w:ascii="Arial" w:cs="Arial" w:eastAsia="Arial" w:hAnsi="Arial"/>
          <w:sz w:val="22"/>
          <w:szCs w:val="22"/>
          <w:color w:val="auto"/>
        </w:rPr>
        <w:t>Dividend Equivalent Units shall be forfeited in the event that the restricted stock units with respect to which such Dividend Equivalent Units were credited are forfeited.</w:t>
      </w:r>
    </w:p>
    <w:p>
      <w:pPr>
        <w:spacing w:after="0" w:line="204"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Performance Award nor any action pursuant to or in accordance with this Performance Award shall be construed to create a trust of any kind. The right of Grantee to receive payments of cash or shares of Lilly Stock under this Performance Award shall be an unsecured claim against the general assets of the Company.</w:t>
      </w:r>
    </w:p>
    <w:p>
      <w:pPr>
        <w:spacing w:after="0" w:line="189" w:lineRule="exact"/>
        <w:rPr>
          <w:sz w:val="20"/>
          <w:szCs w:val="20"/>
          <w:color w:val="auto"/>
        </w:rPr>
      </w:pPr>
    </w:p>
    <w:p>
      <w:pPr>
        <w:jc w:val="both"/>
        <w:ind w:left="480" w:hanging="256"/>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u w:val="single" w:color="auto"/>
          <w:color w:val="auto"/>
        </w:rPr>
        <w:t>Record of the Restricted Stock Units and Dividend Equivalent Units</w:t>
      </w:r>
      <w:r>
        <w:rPr>
          <w:rFonts w:ascii="Arial" w:cs="Arial" w:eastAsia="Arial" w:hAnsi="Arial"/>
          <w:sz w:val="22"/>
          <w:szCs w:val="22"/>
          <w:color w:val="auto"/>
        </w:rPr>
        <w:t>. During the Restriction Period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9), records of the restricted stock units and accumulated Dividend Equivalent Units will reside in an account at the Company or an Equity Administration Agent designated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7. Continued Employment Requirement</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issuance of the restricted stock units then, except as outlined in Section 8(c), all rights of the Grantee under this Performance Award shall terminate. The Company shall incur no liability to Grantee under this Performance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8. Adjustments for Certain Employment Status Changes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Award Period. Unless the Committee determines, in its sole discretion, that such adjustments are not advisable after consideration of employment laws in the country where the Grantee resides, the number of Performance Shares shall be adjusted for changes in employment status during the Award Period as follows:</w:t>
      </w:r>
    </w:p>
    <w:p>
      <w:pPr>
        <w:spacing w:after="0" w:line="208"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color w:val="auto"/>
        </w:rPr>
        <w:t>. The number of Performance Shares shall be reduced proportionally for any portion of the total days in the Award Period during which the Grantee is on an approved unpaid leave of absence longer than ninety (90) days.</w:t>
      </w:r>
    </w:p>
    <w:p>
      <w:pPr>
        <w:spacing w:after="0" w:line="208"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at its discretion, cancel this Performance Award or reduce the number of Performance Shares, prorated according to time or other measure as determined appropriate by the Committee, if during any portion of the Award Period the Grantee has been (i) demoted to a job classification below those considered by the Committee to be eligible for Performance Awards, (ii) subject to disciplinary action by the Company, or (iii)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11"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Retirement, death, disability or termination due to a plant closing or reduction in workforce</w:t>
      </w:r>
      <w:r>
        <w:rPr>
          <w:rFonts w:ascii="Arial" w:cs="Arial" w:eastAsia="Arial" w:hAnsi="Arial"/>
          <w:sz w:val="22"/>
          <w:szCs w:val="22"/>
          <w:color w:val="auto"/>
        </w:rPr>
        <w:t>. In the event the Grantee’s employment is terminated due to retirement as a retiree (as defined below), death, disability, plant closing or reduction in workforce (as defined below), the number of Performance Shares shall be reduced proportionally for the portion of the total days during the Award Period in which the Grantee was not an active employee. Any Performance Shares that have been reduced by operation of this Section 8(c) shall be paid within a sixty day period</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580" w:top="390" w:right="239" w:bottom="1440" w:gutter="0" w:footer="0" w:header="0"/>
        </w:sectPr>
      </w:pPr>
    </w:p>
    <w:bookmarkStart w:id="160" w:name="page161"/>
    <w:bookmarkEnd w:id="160"/>
    <w:p>
      <w:pPr>
        <w:jc w:val="both"/>
        <w:ind w:left="400" w:right="20"/>
        <w:spacing w:after="0" w:line="249" w:lineRule="auto"/>
        <w:rPr>
          <w:sz w:val="20"/>
          <w:szCs w:val="20"/>
          <w:color w:val="auto"/>
        </w:rPr>
      </w:pPr>
      <w:r>
        <w:rPr>
          <w:rFonts w:ascii="Arial" w:cs="Arial" w:eastAsia="Arial" w:hAnsi="Arial"/>
          <w:sz w:val="22"/>
          <w:szCs w:val="22"/>
          <w:color w:val="auto"/>
        </w:rPr>
        <w:t>starting the day after the Award Period expiration (as stated in Section 1) and ending on the sixtieth day after the Award Period expiration.</w:t>
      </w:r>
    </w:p>
    <w:p>
      <w:pPr>
        <w:spacing w:after="0" w:line="204"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Further, in the event the Grantee’s employment is terminated before the issuance of the restricted stock units for any of the reasons set forth in this Section 8(c) then Lilly may determine to issue the Performance Shares to the Grantee in the form of shares of Lilly stock or in the form of a cash payment as described in Section 5 above, in each case subject to the withholding tax provisions in Section 20 below. In the event Grantee is entitled to a fractional share, the fraction may be paid in cash or rounded, in the Committee’s discretion.</w:t>
      </w:r>
    </w:p>
    <w:p>
      <w:pPr>
        <w:spacing w:after="0" w:line="208" w:lineRule="exact"/>
        <w:rPr>
          <w:sz w:val="20"/>
          <w:szCs w:val="20"/>
          <w:color w:val="auto"/>
        </w:rPr>
      </w:pPr>
    </w:p>
    <w:p>
      <w:pPr>
        <w:jc w:val="both"/>
        <w:ind w:left="400" w:firstLine="648"/>
        <w:spacing w:after="0" w:line="244" w:lineRule="auto"/>
        <w:rPr>
          <w:sz w:val="20"/>
          <w:szCs w:val="20"/>
          <w:color w:val="auto"/>
        </w:rPr>
      </w:pPr>
      <w:r>
        <w:rPr>
          <w:rFonts w:ascii="Arial" w:cs="Arial" w:eastAsia="Arial" w:hAnsi="Arial"/>
          <w:sz w:val="22"/>
          <w:szCs w:val="22"/>
          <w:color w:val="auto"/>
        </w:rPr>
        <w:t>A “retiree” is a person who is (i) a retired employee under the Lilly Retirement Plan; (ii) a retired employee under the retirement plan or program of a Lilly subsidiary; or (iii) a retired employee under a retirement program specifically approved by the Committee. “Plant closing” means the closing of a plant site or other corporate location that directly results in termination of employment. “Reduction in workforce” means the elimination of a work group, functional or business unit or other broadly applicable reduction in job positions that directly results in termination of employment. For purposes of this Performance Award, the Committee’s determination as to whether (i) the Grantee’s employment has been terminated by reason of disability, (ii) a leave of absence or a transfer of employment between Lilly and a subsidiary or between Lilly subsidiaries constitutes a termination of employment, or (iii) a Grantee’s termination is a direct result of either a plant closing or a reduction in workforce shall be final and binding on the Grantee.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9. Restriction Period for Restricted Stock Units</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period of restriction (“Restriction Period”) applicable to the restricted stock units issued pursuant to this Performance Award shall commence on a valuation date to be determined by the Committee and expire at the close of business on the earliest of the following dates:</w:t>
      </w:r>
    </w:p>
    <w:p>
      <w:pPr>
        <w:spacing w:after="0" w:line="208" w:lineRule="exact"/>
        <w:rPr>
          <w:sz w:val="20"/>
          <w:szCs w:val="20"/>
          <w:color w:val="auto"/>
        </w:rPr>
      </w:pPr>
    </w:p>
    <w:p>
      <w:pPr>
        <w:ind w:left="480" w:hanging="256"/>
        <w:spacing w:after="0" w:line="249" w:lineRule="auto"/>
        <w:rPr>
          <w:sz w:val="20"/>
          <w:szCs w:val="20"/>
          <w:color w:val="auto"/>
        </w:rPr>
      </w:pPr>
      <w:r>
        <w:rPr>
          <w:rFonts w:ascii="Arial" w:cs="Arial" w:eastAsia="Arial" w:hAnsi="Arial"/>
          <w:sz w:val="22"/>
          <w:szCs w:val="22"/>
          <w:color w:val="auto"/>
        </w:rPr>
        <w:t>a. the first day of the month following the one-year anniversary of a valuation date to be determined by the Committee,</w:t>
      </w:r>
    </w:p>
    <w:p>
      <w:pPr>
        <w:spacing w:after="0" w:line="204" w:lineRule="exact"/>
        <w:rPr>
          <w:sz w:val="20"/>
          <w:szCs w:val="20"/>
          <w:color w:val="auto"/>
        </w:rPr>
      </w:pPr>
    </w:p>
    <w:p>
      <w:pPr>
        <w:ind w:left="480" w:hanging="258"/>
        <w:spacing w:after="0"/>
        <w:tabs>
          <w:tab w:leader="none" w:pos="4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date of death of the Grantee while in the active service of the Company,</w:t>
      </w:r>
    </w:p>
    <w:p>
      <w:pPr>
        <w:spacing w:after="0" w:line="219" w:lineRule="exact"/>
        <w:rPr>
          <w:rFonts w:ascii="Arial" w:cs="Arial" w:eastAsia="Arial" w:hAnsi="Arial"/>
          <w:sz w:val="22"/>
          <w:szCs w:val="22"/>
          <w:color w:val="auto"/>
        </w:rPr>
      </w:pPr>
    </w:p>
    <w:p>
      <w:pPr>
        <w:ind w:left="480" w:right="20" w:hanging="258"/>
        <w:spacing w:after="0" w:line="249" w:lineRule="auto"/>
        <w:tabs>
          <w:tab w:leader="none" w:pos="4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date the Grantee’s employment is terminated by reason of “disability,” within the meaning of Section 409A of the Internal Revenue Code (the “Code”), or</w:t>
      </w:r>
    </w:p>
    <w:p>
      <w:pPr>
        <w:spacing w:after="0" w:line="204" w:lineRule="exact"/>
        <w:rPr>
          <w:rFonts w:ascii="Arial" w:cs="Arial" w:eastAsia="Arial" w:hAnsi="Arial"/>
          <w:sz w:val="22"/>
          <w:szCs w:val="22"/>
          <w:color w:val="auto"/>
        </w:rPr>
      </w:pPr>
    </w:p>
    <w:p>
      <w:pPr>
        <w:jc w:val="both"/>
        <w:ind w:left="480" w:hanging="258"/>
        <w:spacing w:after="0" w:line="245" w:lineRule="auto"/>
        <w:tabs>
          <w:tab w:leader="none" w:pos="4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date the Grantee suffers a “separation from service” from Lilly or the Employer, within the meaning of Section 409A of the Code, and such separation from service is due to a plant closing or reduction in workforce as defined in Section 8(c) above, or, in the event that the restricted stock units constitute an item of non-qualified deferred compensation subject to Section 409A of the Code, the date that the Grantee suffers a “separation from service” within the meaning of Section 409A of the Code.</w:t>
      </w:r>
    </w:p>
    <w:p>
      <w:pPr>
        <w:spacing w:after="0" w:line="208"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Notwithstanding anything in Section 10(a) of the 2002 Plan to the contrary, the Committee shall not modify the expiration dates set forth above so as to accelerate the termination of the Restriction Period.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10. Retirement During Restriction Period</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In the event the Grantee’s employment is terminated due to retirement as a retiree (as defined in Section 8(c) above) prior to the end of the Restriction Period, the restricted stock units will continue pursuant to the established Restriction Period and Dividend Equivalent Unit accrual schedule. The restricted stock</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580" w:top="390" w:right="239" w:bottom="1440" w:gutter="0" w:footer="0" w:header="0"/>
        </w:sectPr>
      </w:pPr>
    </w:p>
    <w:bookmarkStart w:id="161" w:name="page162"/>
    <w:bookmarkEnd w:id="161"/>
    <w:p>
      <w:pPr>
        <w:jc w:val="both"/>
        <w:ind w:left="60"/>
        <w:spacing w:after="0" w:line="249" w:lineRule="auto"/>
        <w:rPr>
          <w:sz w:val="20"/>
          <w:szCs w:val="20"/>
          <w:color w:val="auto"/>
        </w:rPr>
      </w:pPr>
      <w:r>
        <w:rPr>
          <w:rFonts w:ascii="Arial" w:cs="Arial" w:eastAsia="Arial" w:hAnsi="Arial"/>
          <w:sz w:val="22"/>
          <w:szCs w:val="22"/>
          <w:color w:val="auto"/>
        </w:rPr>
        <w:t>units and Dividend Equivalent Units will be paid in full to the retiree upon the lapse of all restrictions as noted in Section 9.</w:t>
      </w:r>
    </w:p>
    <w:p>
      <w:pPr>
        <w:spacing w:after="0" w:line="204"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A Grantee who has not received a year-end individual performance rating and (i) is on employment probation (or its equivalent outside the United States, as determined by the Committee) for unsatisfactory performance and takes retirement in lieu of a termination of employment; or (ii) takes retirement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11. Conditions During Restriction Period</w:t>
      </w:r>
    </w:p>
    <w:p>
      <w:pPr>
        <w:spacing w:after="0" w:line="99"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During the entire Restriction Period, the employment of the Grantee with the Company (or a subsidiary of the Company) must not terminate except for reasons and under the circumstances specified in Sections 9(b), 9(c), 9(d), or 10. "Termination of employment" shall mean the cessation for any reason of the relationship of employer and employee between the Grantee and the Company (or a subsidiary of the Company).</w:t>
      </w:r>
    </w:p>
    <w:p>
      <w:pPr>
        <w:spacing w:after="0" w:line="210"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b. If the Grantee is placed on employment probation (or its equivalent outside the United States, as determined by the Committee) at any time within the Restriction Period, the Grantee will forfeit the next Restricted Stock Unit Award to vest, as determined by the restriction lapse date indicated in each of the Grantee’s unvested Restricted Stock Unit Awards. If one or more Restricted Stock Unit Awards include the same restriction lapse date, all such Awards will be forfeited.</w:t>
      </w:r>
    </w:p>
    <w:p>
      <w:pPr>
        <w:spacing w:after="0" w:line="208"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c. The Committee may, at its discretion, cancel this Performance Award or reduce the number of Performance Shares, prorated according to time or other measure as deemed appropriate by the Committee, if during any portion of the Award Period, including the Restriction Period, the Grantee has been (i) demoted to a job classification below those considered by the Committee to be eligible for Performance Awards, (ii) subject to disciplinary action by the Company, or (iii)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12. Consequences of Breach of Conditions During Restriction Period</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any of the conditions that must continue to be satisfied during the Restriction Period under Section 11 is breached during the Restriction Period, either by act of the Grantee or otherwise, the Grantee, by accepting this Performance Award, agrees that upon such breach all interest of the Grantee in the restricted stock units and associated Dividend Equivalent Units shall terminate and be forfeited. The Committee’s determination shall be final and binding on the Grantee. The Company shall incur no liability to the Grantee under this Performance Award by terminating the Grantee's status as an Eligible Employee, whether by action with respect to the Grantee individually, either with or without cause, or by dissolution or liquidation of Lilly or merger or consolidation of Lilly with a corporation in which Lilly is not the surviving corporation, or otherwise. Notwithstanding anything in Section 10(a) of the 2002 Plan to the contrary, the Committee shall not waive the breach of the conditions set forth in Section 11.</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13. Committee Election to Pay Restricted Stock Units in Cash</w:t>
      </w:r>
    </w:p>
    <w:p>
      <w:pPr>
        <w:spacing w:after="0" w:line="99"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At any time during the Restriction Period or until paid in accordance with Section 14, the Committee may, if it so elects, determine to pay part or all of the restricted stock units in cash in lieu of issuing or transferring</w:t>
      </w:r>
    </w:p>
    <w:p>
      <w:pPr>
        <w:spacing w:after="0" w:line="21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580" w:top="390" w:right="239" w:bottom="1440" w:gutter="0" w:footer="0" w:header="0"/>
        </w:sectPr>
      </w:pPr>
    </w:p>
    <w:bookmarkStart w:id="162" w:name="page163"/>
    <w:bookmarkEnd w:id="162"/>
    <w:p>
      <w:pPr>
        <w:jc w:val="both"/>
        <w:ind w:left="80"/>
        <w:spacing w:after="0" w:line="249" w:lineRule="auto"/>
        <w:rPr>
          <w:sz w:val="20"/>
          <w:szCs w:val="20"/>
          <w:color w:val="auto"/>
        </w:rPr>
      </w:pPr>
      <w:r>
        <w:rPr>
          <w:rFonts w:ascii="Arial" w:cs="Arial" w:eastAsia="Arial" w:hAnsi="Arial"/>
          <w:sz w:val="22"/>
          <w:szCs w:val="22"/>
          <w:color w:val="auto"/>
        </w:rPr>
        <w:t>shares of Lilly Stock. The amount of cash shall be based upon the fair market value of Lilly Stock at the end of the Restriction Period as outlined in Section 14.</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14. Lapse of Restrictions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the end of the Restriction Period, if the conditions specified in Section 11 have not been breached during the Restriction Period, all restrictions shall terminate. The restricted stock units and accumulated Dividend Equivalent Units shall be paid to Grantee within a sixty day period starting the day after the end of the Restriction Period and ending on the sixtieth day after the end of the Restriction Period, but no later than December 31 of the year in which the Restriction Period ends, as follows:</w:t>
      </w:r>
    </w:p>
    <w:p>
      <w:pPr>
        <w:spacing w:after="0" w:line="208"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Lilly shall issue or transfer to the Grantee shares of Lilly Stock or the cash equivalent, as described in Section 13 above, equal to one share per restricted stock unit, subject to the withholding tax provisions in Section 20 below. In the event Grantee is entitled to a fractional share, the fraction may be paid in cash or rounded, in the Committee’s discretion.</w:t>
      </w:r>
    </w:p>
    <w:p>
      <w:pPr>
        <w:spacing w:after="0" w:line="210" w:lineRule="exact"/>
        <w:rPr>
          <w:sz w:val="20"/>
          <w:szCs w:val="20"/>
          <w:color w:val="auto"/>
        </w:rPr>
      </w:pPr>
    </w:p>
    <w:p>
      <w:pPr>
        <w:jc w:val="both"/>
        <w:ind w:left="480" w:right="20" w:hanging="256"/>
        <w:spacing w:after="0" w:line="249" w:lineRule="auto"/>
        <w:rPr>
          <w:sz w:val="20"/>
          <w:szCs w:val="20"/>
          <w:color w:val="auto"/>
        </w:rPr>
      </w:pPr>
      <w:r>
        <w:rPr>
          <w:rFonts w:ascii="Arial" w:cs="Arial" w:eastAsia="Arial" w:hAnsi="Arial"/>
          <w:sz w:val="22"/>
          <w:szCs w:val="22"/>
          <w:color w:val="auto"/>
        </w:rPr>
        <w:t>b. Lilly shall pay to the Grantee in cash all accrued Dividend Equivalent Units following deduction for Tax-Related Items in accordance with Section 20 below.</w:t>
      </w:r>
    </w:p>
    <w:p>
      <w:pPr>
        <w:spacing w:after="0" w:line="204"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In the event that the Restriction Period ends by reason of death of the Grantee, the payments as described above shall be made to the Successor Grantee. Notwithstanding anything in Section 10(a) of the 2002 Plan to the contrary, the Committee shall not direct that the restrictions on the restricted stock unit will lapse other than as expressly set forth in this Performance Award. Notwithstanding the foregoing, if the Grantee is treated as a “specified employee” within the meaning of Section 409A of the Code as of the date of any payment hereunder, the commencement of any payment shall be delayed in accordance with Section 21 below.</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15. Compensation Recovery</w:t>
      </w:r>
    </w:p>
    <w:p>
      <w:pPr>
        <w:spacing w:after="0" w:line="45"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Performance Award has been determined under Section 4 above, the Company reserves the right to and, in appropriate cases, will seek restitution of all or part of any shares of Lilly stock that have been issued or cash that has been paid pursuant to this Performance Award if:</w:t>
      </w:r>
    </w:p>
    <w:p>
      <w:pPr>
        <w:spacing w:after="0" w:line="264" w:lineRule="exact"/>
        <w:rPr>
          <w:sz w:val="20"/>
          <w:szCs w:val="20"/>
          <w:color w:val="auto"/>
        </w:rPr>
      </w:pPr>
    </w:p>
    <w:p>
      <w:pPr>
        <w:jc w:val="both"/>
        <w:ind w:left="960" w:right="20" w:hanging="742"/>
        <w:spacing w:after="0" w:line="246" w:lineRule="auto"/>
        <w:tabs>
          <w:tab w:leader="none" w:pos="940" w:val="left"/>
        </w:tabs>
        <w:rPr>
          <w:sz w:val="20"/>
          <w:szCs w:val="20"/>
          <w:color w:val="auto"/>
        </w:rPr>
      </w:pPr>
      <w:r>
        <w:rPr>
          <w:rFonts w:ascii="Arial" w:cs="Arial" w:eastAsia="Arial" w:hAnsi="Arial"/>
          <w:sz w:val="22"/>
          <w:szCs w:val="22"/>
          <w:color w:val="auto"/>
        </w:rPr>
        <w:t>a. (i)</w:t>
        <w:tab/>
        <w:t>the number of Performance Shares was calculated based, directly or indirectly, upon the achievement of earnings per share (EPS) that were subsequently the subject of restatement of all or a portion of the Company’s financial statements;</w:t>
      </w:r>
    </w:p>
    <w:p>
      <w:pPr>
        <w:spacing w:after="0" w:line="208" w:lineRule="exact"/>
        <w:rPr>
          <w:sz w:val="20"/>
          <w:szCs w:val="20"/>
          <w:color w:val="auto"/>
        </w:rPr>
      </w:pPr>
    </w:p>
    <w:p>
      <w:pPr>
        <w:ind w:left="960" w:hanging="482"/>
        <w:spacing w:after="0" w:line="249" w:lineRule="auto"/>
        <w:tabs>
          <w:tab w:leader="none" w:pos="9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204" w:lineRule="exact"/>
        <w:rPr>
          <w:rFonts w:ascii="Arial" w:cs="Arial" w:eastAsia="Arial" w:hAnsi="Arial"/>
          <w:sz w:val="22"/>
          <w:szCs w:val="22"/>
          <w:color w:val="auto"/>
        </w:rPr>
      </w:pPr>
    </w:p>
    <w:p>
      <w:pPr>
        <w:jc w:val="both"/>
        <w:ind w:left="960" w:right="20" w:hanging="482"/>
        <w:spacing w:after="0" w:line="246" w:lineRule="auto"/>
        <w:tabs>
          <w:tab w:leader="none" w:pos="9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number of Performance Shares that would have been issued or paid to the Grantee had the financial results been properly reported would have been lower than the number of Performance Shares actually issued or the amount of cash actually paid; or</w:t>
      </w:r>
    </w:p>
    <w:p>
      <w:pPr>
        <w:spacing w:after="0" w:line="208" w:lineRule="exact"/>
        <w:rPr>
          <w:sz w:val="20"/>
          <w:szCs w:val="20"/>
          <w:color w:val="auto"/>
        </w:rPr>
      </w:pPr>
    </w:p>
    <w:p>
      <w:pPr>
        <w:jc w:val="both"/>
        <w:ind w:left="560" w:hanging="323"/>
        <w:spacing w:after="0" w:line="264" w:lineRule="auto"/>
        <w:rPr>
          <w:sz w:val="20"/>
          <w:szCs w:val="20"/>
          <w:color w:val="auto"/>
        </w:rPr>
      </w:pPr>
      <w:r>
        <w:rPr>
          <w:rFonts w:ascii="Arial" w:cs="Arial" w:eastAsia="Arial" w:hAnsi="Arial"/>
          <w:sz w:val="21"/>
          <w:szCs w:val="21"/>
          <w:color w:val="auto"/>
        </w:rPr>
        <w:t>b. 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89" w:lineRule="exact"/>
        <w:rPr>
          <w:sz w:val="20"/>
          <w:szCs w:val="20"/>
          <w:color w:val="auto"/>
        </w:rPr>
      </w:pPr>
    </w:p>
    <w:p>
      <w:pPr>
        <w:ind w:left="80"/>
        <w:spacing w:after="0" w:line="249" w:lineRule="auto"/>
        <w:rPr>
          <w:sz w:val="20"/>
          <w:szCs w:val="20"/>
          <w:color w:val="auto"/>
        </w:rPr>
      </w:pPr>
      <w:r>
        <w:rPr>
          <w:rFonts w:ascii="Arial" w:cs="Arial" w:eastAsia="Arial" w:hAnsi="Arial"/>
          <w:sz w:val="22"/>
          <w:szCs w:val="22"/>
          <w:color w:val="auto"/>
        </w:rPr>
        <w:t>Furthermore, in the event the number of any Performance Shares issued pursuant to this Performance Award is determined to have been based on materially inaccurate financial statements</w:t>
      </w: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580" w:top="390" w:right="239" w:bottom="1440" w:gutter="0" w:footer="0" w:header="0"/>
        </w:sectPr>
      </w:pPr>
    </w:p>
    <w:bookmarkStart w:id="163" w:name="page164"/>
    <w:bookmarkEnd w:id="163"/>
    <w:p>
      <w:pPr>
        <w:ind w:left="80"/>
        <w:spacing w:after="0"/>
        <w:rPr>
          <w:sz w:val="20"/>
          <w:szCs w:val="20"/>
          <w:color w:val="auto"/>
        </w:rPr>
      </w:pPr>
      <w:r>
        <w:rPr>
          <w:rFonts w:ascii="Arial" w:cs="Arial" w:eastAsia="Arial" w:hAnsi="Arial"/>
          <w:sz w:val="22"/>
          <w:szCs w:val="22"/>
          <w:color w:val="auto"/>
        </w:rPr>
        <w:t>or other Company performance measures or on calculation errors (without any misconduct on the part of the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Grantee), the Company reserves the right to and, in appropriate cases, will:</w:t>
      </w:r>
    </w:p>
    <w:p>
      <w:pPr>
        <w:spacing w:after="0" w:line="220"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seek restitution of the shares of Lilly Stock issued or cash paid pursuant to this Performance Award to the extent that the number of shares of Lilly Stock issued or the amount paid exceeded the number of shares of Lilly Stock that would have been issued or the amount that would have been paid had the inaccuracy or error not occurred, or</w:t>
      </w:r>
    </w:p>
    <w:p>
      <w:pPr>
        <w:spacing w:after="0" w:line="210" w:lineRule="exact"/>
        <w:rPr>
          <w:sz w:val="20"/>
          <w:szCs w:val="20"/>
          <w:color w:val="auto"/>
        </w:rPr>
      </w:pPr>
    </w:p>
    <w:p>
      <w:pPr>
        <w:jc w:val="both"/>
        <w:ind w:left="480" w:right="20" w:hanging="256"/>
        <w:spacing w:after="0" w:line="249" w:lineRule="auto"/>
        <w:rPr>
          <w:sz w:val="20"/>
          <w:szCs w:val="20"/>
          <w:color w:val="auto"/>
        </w:rPr>
      </w:pPr>
      <w:r>
        <w:rPr>
          <w:rFonts w:ascii="Arial" w:cs="Arial" w:eastAsia="Arial" w:hAnsi="Arial"/>
          <w:sz w:val="22"/>
          <w:szCs w:val="22"/>
          <w:color w:val="auto"/>
        </w:rPr>
        <w:t>b. issue additional shares of Lilly Stock or make additional payment to the extent that the number of shares of Lilly Stock issued or the amount paid was less than the correct amount.</w:t>
      </w:r>
    </w:p>
    <w:p>
      <w:pPr>
        <w:spacing w:after="0" w:line="204"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 Determinations by Committee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EPS, (b) whether to make an exception to the rule of Section 7 or adjustments under Section 2 or Section 3 or (c) what constitutes “misconduct” for purposes of Section 15 and any other determinations under Section 15, shall be final and binding on the Grantee and any Successor Grantee.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17. Prohibition Against Transfer</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right of a Grantee to receive Performance Shares or payments of shares of Lilly stock or cash under this Performance Award may not be transferred except to a duly appointed guardian of the estate of the Grantee or to a Successor Grantee by will or the applicable laws of descent and distribution and then only subject to the provisions of this Performance Award. A Grantee may not assign, sell, pledge or otherwise transfer Performance Shares, shares of Lilly Stock or cash to which he or she may be entitled hereunder prior to the transfer of shares of Lilly Stock or payment of cash to the Grantee and any such attempted assignment, sale, pledge or transfer shall be void.</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18. Revocation or Modification</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This Performance Award shall be irrevocable except that Lilly shall have the right to revoke or modify this Performance Award under Sections 13(e) and/or 13(k) of the 2002 Plan or pursuant to Section 8(b) or Section 11(c) above.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19. Change in Control</w:t>
      </w:r>
    </w:p>
    <w:p>
      <w:pPr>
        <w:spacing w:after="0" w:line="99" w:lineRule="exact"/>
        <w:rPr>
          <w:sz w:val="20"/>
          <w:szCs w:val="20"/>
          <w:color w:val="auto"/>
        </w:rPr>
      </w:pPr>
    </w:p>
    <w:p>
      <w:pPr>
        <w:ind w:left="80" w:right="1240"/>
        <w:spacing w:after="0" w:line="249" w:lineRule="auto"/>
        <w:rPr>
          <w:sz w:val="20"/>
          <w:szCs w:val="20"/>
          <w:color w:val="auto"/>
        </w:rPr>
      </w:pPr>
      <w:r>
        <w:rPr>
          <w:rFonts w:ascii="Arial" w:cs="Arial" w:eastAsia="Arial" w:hAnsi="Arial"/>
          <w:sz w:val="22"/>
          <w:szCs w:val="22"/>
          <w:color w:val="auto"/>
        </w:rPr>
        <w:t>The provisions of Section 12(a)(iii) of the 2002 Plan apply to the Performance Award with the following modifications:</w:t>
      </w:r>
    </w:p>
    <w:p>
      <w:pPr>
        <w:spacing w:after="0" w:line="204"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The only Change in Control event that shall result in a benefit under Section 12(a)(iii) of the 2002 Plan shall be consummation of a change in ownership of the Company as defined in Section 12(b)(i) of the 2002 Plan, which is intended to be a “change in control event” within the meaning of Section 409A of the Code (a “Transaction”) prior to the issuance of Performance Shares in the form of restricted stock units or cash pursuant to Section 6 above.</w:t>
      </w:r>
    </w:p>
    <w:p>
      <w:pPr>
        <w:spacing w:after="0" w:line="208" w:lineRule="exact"/>
        <w:rPr>
          <w:sz w:val="20"/>
          <w:szCs w:val="20"/>
          <w:color w:val="auto"/>
        </w:rPr>
      </w:pPr>
    </w:p>
    <w:p>
      <w:pPr>
        <w:jc w:val="both"/>
        <w:ind w:left="480" w:hanging="256"/>
        <w:spacing w:after="0" w:line="249" w:lineRule="auto"/>
        <w:rPr>
          <w:sz w:val="20"/>
          <w:szCs w:val="20"/>
          <w:color w:val="auto"/>
        </w:rPr>
      </w:pPr>
      <w:r>
        <w:rPr>
          <w:rFonts w:ascii="Arial" w:cs="Arial" w:eastAsia="Arial" w:hAnsi="Arial"/>
          <w:sz w:val="22"/>
          <w:szCs w:val="22"/>
          <w:color w:val="auto"/>
        </w:rPr>
        <w:t>b. On the date of the consummation of such Transaction, the Grantee will be paid an amount equal to the product of (a) the Grantee's award opportunity for the Performance Award based</w:t>
      </w:r>
    </w:p>
    <w:p>
      <w:pPr>
        <w:sectPr>
          <w:pgSz w:w="11900" w:h="16838" w:orient="portrait"/>
          <w:cols w:equalWidth="0" w:num="1">
            <w:col w:w="11080"/>
          </w:cols>
          <w:pgMar w:left="580" w:top="390"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80"/>
          </w:cols>
          <w:pgMar w:left="580" w:top="390" w:right="239" w:bottom="1440" w:gutter="0" w:footer="0" w:header="0"/>
          <w:type w:val="continuous"/>
        </w:sectPr>
      </w:pPr>
    </w:p>
    <w:bookmarkStart w:id="164" w:name="page165"/>
    <w:bookmarkEnd w:id="164"/>
    <w:p>
      <w:pPr>
        <w:jc w:val="both"/>
        <w:ind w:left="480"/>
        <w:spacing w:after="0" w:line="258" w:lineRule="auto"/>
        <w:rPr>
          <w:sz w:val="20"/>
          <w:szCs w:val="20"/>
          <w:color w:val="auto"/>
        </w:rPr>
      </w:pPr>
      <w:r>
        <w:rPr>
          <w:rFonts w:ascii="Arial" w:cs="Arial" w:eastAsia="Arial" w:hAnsi="Arial"/>
          <w:sz w:val="21"/>
          <w:szCs w:val="21"/>
          <w:color w:val="auto"/>
        </w:rPr>
        <w:t>on the Company’s expected results for the Award Period (as determined by the Company’s last approved forecast prior to the consummation of the Transaction, not considering the impact of the Transaction) and (b) a fraction, the numerator of which is the number of days that have elapsed since the beginning of the Award Period to the date of the consummation of the Transaction and the denominator of which is the total number of days in the Award Period. The payment shall be made in the form of shares of Lilly Stock immediately prior to the consummation of the Transaction in order to allow the Lilly Stock to be outstanding and for the Grantee to be eligible to receive the consideration being paid to Lilly shareholders in connection with the Transaction.</w:t>
      </w:r>
    </w:p>
    <w:p>
      <w:pPr>
        <w:spacing w:after="0" w:line="195" w:lineRule="exact"/>
        <w:rPr>
          <w:sz w:val="20"/>
          <w:szCs w:val="20"/>
          <w:color w:val="auto"/>
        </w:rPr>
      </w:pPr>
    </w:p>
    <w:p>
      <w:pPr>
        <w:ind w:left="480" w:hanging="258"/>
        <w:spacing w:after="0" w:line="249" w:lineRule="auto"/>
        <w:tabs>
          <w:tab w:leader="none" w:pos="4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provisions of Section 12(a)(v) of the 2002 Plan do not apply to restricted stock units held pursuant to this Performance Award.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20. Responsibility for Taxes</w:t>
      </w:r>
    </w:p>
    <w:p>
      <w:pPr>
        <w:spacing w:after="0" w:line="99" w:lineRule="exact"/>
        <w:rPr>
          <w:sz w:val="20"/>
          <w:szCs w:val="20"/>
          <w:color w:val="auto"/>
        </w:rPr>
      </w:pPr>
    </w:p>
    <w:p>
      <w:pPr>
        <w:jc w:val="both"/>
        <w:ind w:left="60"/>
        <w:spacing w:after="0" w:line="243"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Performance Award, including the grant of the Performance Award, the expiration of the Award Period, the issuance of Performance Shares, the lapse of restrictions applicable to the restricted stock units, the transfer and issuance of shares of Lilly Stock or the receipt of a cash payment in lieu of shares of Lilly Stock, the accrual and payment of Dividend Equivalent Units, the receipt of any dividends and the sale of any shares of Lilly Stock acquired pursuant to this Performance Award; and (b) do not commit to and are under no obligation to structure the terms of the grant or any aspect of the Performance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224"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45" w:lineRule="exact"/>
        <w:rPr>
          <w:sz w:val="20"/>
          <w:szCs w:val="20"/>
          <w:color w:val="auto"/>
        </w:rPr>
      </w:pPr>
    </w:p>
    <w:p>
      <w:pPr>
        <w:jc w:val="both"/>
        <w:ind w:left="380" w:hanging="334"/>
        <w:spacing w:after="0" w:line="245" w:lineRule="auto"/>
        <w:tabs>
          <w:tab w:leader="none" w:pos="3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the case of any cash payment made to the Grantee pursuant to this Performance Award (including payment of the Performance Shares, restricted stock units and/or Dividend Equivalent Units in cash), the Grantee authorizes the Company and/or the Employer, or their respective agents, at their discretion, to satisfy any obligation for Tax-Related Items by withholding from the cash amount paid to the Grantee or from the Grantee’s wages or other cash compensation paid to the Grantee by the Company and/or the Employer.</w:t>
      </w:r>
    </w:p>
    <w:p>
      <w:pPr>
        <w:spacing w:after="0" w:line="207" w:lineRule="exact"/>
        <w:rPr>
          <w:rFonts w:ascii="Arial" w:cs="Arial" w:eastAsia="Arial" w:hAnsi="Arial"/>
          <w:sz w:val="22"/>
          <w:szCs w:val="22"/>
          <w:color w:val="auto"/>
        </w:rPr>
      </w:pPr>
    </w:p>
    <w:p>
      <w:pPr>
        <w:jc w:val="both"/>
        <w:ind w:left="380" w:hanging="334"/>
        <w:spacing w:after="0" w:line="244" w:lineRule="auto"/>
        <w:tabs>
          <w:tab w:leader="none" w:pos="3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the Performance Shares or the restricted stock units are paid in shares of Lilly Stock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shares of Lilly Stock to be issued pursuant to the Performance Award (on the Grantee’s behalf and at the Grantee’s direction pursuant to this</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580" w:top="390" w:right="239" w:bottom="1440" w:gutter="0" w:footer="0" w:header="0"/>
        </w:sectPr>
      </w:pPr>
    </w:p>
    <w:bookmarkStart w:id="165" w:name="page166"/>
    <w:bookmarkEnd w:id="165"/>
    <w:p>
      <w:pPr>
        <w:jc w:val="both"/>
        <w:ind w:left="380"/>
        <w:spacing w:after="0" w:line="246" w:lineRule="auto"/>
        <w:rPr>
          <w:sz w:val="20"/>
          <w:szCs w:val="20"/>
          <w:color w:val="auto"/>
        </w:rPr>
      </w:pPr>
      <w:r>
        <w:rPr>
          <w:rFonts w:ascii="Arial" w:cs="Arial" w:eastAsia="Arial" w:hAnsi="Arial"/>
          <w:sz w:val="22"/>
          <w:szCs w:val="22"/>
          <w:color w:val="auto"/>
        </w:rPr>
        <w:t>authorization or such other authorization as the Grantee may be required to provide to Lilly or its designated broker in order for such sale to be effectuated) and withhold from the proceeds of such sale, and/or (iii) withhold in shares of Lilly Stock otherwise issuable to the Grantee pursuant to the Performance Award.</w:t>
      </w:r>
    </w:p>
    <w:p>
      <w:pPr>
        <w:spacing w:after="0" w:line="208" w:lineRule="exact"/>
        <w:rPr>
          <w:sz w:val="20"/>
          <w:szCs w:val="20"/>
          <w:color w:val="auto"/>
        </w:rPr>
      </w:pPr>
    </w:p>
    <w:p>
      <w:pPr>
        <w:jc w:val="both"/>
        <w:ind w:left="380" w:hanging="334"/>
        <w:spacing w:after="0" w:line="244" w:lineRule="auto"/>
        <w:tabs>
          <w:tab w:leader="none" w:pos="380"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If the Performance Shares or the restricted stock units are paid in shares of Lilly Stock and the Grantee is subject to the short-swing profit rules of Section 16(b) of the 1934 Act, Lilly will withhold in shares of Lilly Stock otherwise issuable to the Grantee pursuant to the Performance Award, unless the use of such withholding method is prevented by applicable law or has materially adverse accounting or tax consequences, in which case the withholding obligation for Tax-Related Items may be satisfied by one or a combination of the methods set forth in Section 20(b)(i) and (ii) above.</w:t>
      </w:r>
    </w:p>
    <w:p>
      <w:pPr>
        <w:spacing w:after="0" w:line="213"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shares of Lilly Stock. If the obligation for Tax Related Items is satisfied by withholding shares of Lilly Stock as described in Section 20(b)(iii) or Section 20(c) above, for tax purposes, the Grantee will be deemed to have been issued the full number of shares of Lilly Stock to which he or she is entitled pursuant to the Performance Award, notwithstanding that a number of shares of Lilly Stock are withheld to satisfy the obligation for Tax Related Items. Lilly may require Grantee to pay Lilly and/or the Employer any amount of Tax Related Items that Lilly and/or the Employer may be required to withhold or account for as a result of any aspect of this Performance Award that cannot be satisfied by the means previously described. Lilly may refuse to deliver shares of Lilly Stock or any cash payment to the Grantee if the Grantee fails to comply with the Grantee’s obligation in connection with the Tax Related Items as described in this Section 20.</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21. Section 409A Compliance</w:t>
      </w:r>
    </w:p>
    <w:p>
      <w:pPr>
        <w:spacing w:after="0" w:line="99" w:lineRule="exact"/>
        <w:rPr>
          <w:sz w:val="20"/>
          <w:szCs w:val="20"/>
          <w:color w:val="auto"/>
        </w:rPr>
      </w:pPr>
    </w:p>
    <w:p>
      <w:pPr>
        <w:jc w:val="both"/>
        <w:ind w:left="80"/>
        <w:spacing w:after="0" w:line="256" w:lineRule="auto"/>
        <w:rPr>
          <w:sz w:val="20"/>
          <w:szCs w:val="20"/>
          <w:color w:val="auto"/>
        </w:rPr>
      </w:pPr>
      <w:r>
        <w:rPr>
          <w:rFonts w:ascii="Arial" w:cs="Arial" w:eastAsia="Arial" w:hAnsi="Arial"/>
          <w:sz w:val="21"/>
          <w:szCs w:val="21"/>
          <w:color w:val="auto"/>
        </w:rPr>
        <w:t>To the extent applicable, it is intended that this Performance Award comply with the requirements of Section 409A of the U.S. Internal Revenue Code of 1986, as amended and the Treasury Regulations and other guidance issued thereunder (“Section 409A”), and this Performance Award shall be interpreted and applied by the Committee in a manner consistent with this intent in order to avoid the imposition of any additional tax under Section 409A. Notwithstanding anything elsewhere in this Performance Award to the contrary, if a Grantee is treated as a “specified employee” as of the date of any payment of restricted stock units (and any Dividend Equivalent Units) in connection with the Grantee’s separation from service under this Performance Award, as determined by the Company in accordance with its procedures, then, to the extent required, the restricted stock units (and any Dividend Equivalent Units) shall be paid on the earliest of (a) the date set forth in Section 9(a) above, (b) the first day following the six (6) month anniversary of the Grantee’s separation from service, and (c) the date of the Grantee’s death. This Performance Award is subject to Section 13(k) of the 2002 Plan concerning Section 409A.</w:t>
      </w: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22. Grantee’s Acknowledgements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Performance Award, the Grantee acknowledges, understands and agrees that:</w:t>
      </w:r>
    </w:p>
    <w:p>
      <w:pPr>
        <w:spacing w:after="0" w:line="220" w:lineRule="exact"/>
        <w:rPr>
          <w:sz w:val="20"/>
          <w:szCs w:val="20"/>
          <w:color w:val="auto"/>
        </w:rPr>
      </w:pPr>
    </w:p>
    <w:p>
      <w:pPr>
        <w:ind w:left="480" w:hanging="256"/>
        <w:spacing w:after="0" w:line="249"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80"/>
          </w:cols>
          <w:pgMar w:left="580" w:top="390" w:right="239" w:bottom="1440" w:gutter="0" w:footer="0" w:header="0"/>
        </w:sectPr>
      </w:pPr>
    </w:p>
    <w:bookmarkStart w:id="166" w:name="page167"/>
    <w:bookmarkEnd w:id="166"/>
    <w:p>
      <w:pPr>
        <w:jc w:val="both"/>
        <w:ind w:left="260" w:hanging="256"/>
        <w:spacing w:after="0" w:line="246" w:lineRule="auto"/>
        <w:rPr>
          <w:sz w:val="20"/>
          <w:szCs w:val="20"/>
          <w:color w:val="auto"/>
        </w:rPr>
      </w:pPr>
      <w:r>
        <w:rPr>
          <w:rFonts w:ascii="Arial" w:cs="Arial" w:eastAsia="Arial" w:hAnsi="Arial"/>
          <w:sz w:val="22"/>
          <w:szCs w:val="22"/>
          <w:color w:val="auto"/>
        </w:rPr>
        <w:t>b. the Performance Award is voluntary and occasional and does not create any contractual or other right to receive future Performance Awards, or benefits in lieu of Performance Awards even if Performance Awards have been granted in the past;</w:t>
      </w:r>
    </w:p>
    <w:p>
      <w:pPr>
        <w:spacing w:after="0" w:line="208" w:lineRule="exact"/>
        <w:rPr>
          <w:sz w:val="20"/>
          <w:szCs w:val="20"/>
          <w:color w:val="auto"/>
        </w:rPr>
      </w:pPr>
    </w:p>
    <w:p>
      <w:pPr>
        <w:jc w:val="both"/>
        <w:ind w:left="260" w:hanging="256"/>
        <w:spacing w:after="0" w:line="249" w:lineRule="auto"/>
        <w:rPr>
          <w:sz w:val="20"/>
          <w:szCs w:val="20"/>
          <w:color w:val="auto"/>
        </w:rPr>
      </w:pPr>
      <w:r>
        <w:rPr>
          <w:rFonts w:ascii="Arial" w:cs="Arial" w:eastAsia="Arial" w:hAnsi="Arial"/>
          <w:sz w:val="22"/>
          <w:szCs w:val="22"/>
          <w:color w:val="auto"/>
        </w:rPr>
        <w:t>c. all decisions with respect to future grants of Performance Awards or other grants, if any, will be at the sole discretion of Lilly;</w:t>
      </w:r>
    </w:p>
    <w:p>
      <w:pPr>
        <w:spacing w:after="0" w:line="204" w:lineRule="exact"/>
        <w:rPr>
          <w:sz w:val="20"/>
          <w:szCs w:val="20"/>
          <w:color w:val="auto"/>
        </w:rPr>
      </w:pPr>
    </w:p>
    <w:p>
      <w:pPr>
        <w:ind w:left="260" w:hanging="258"/>
        <w:spacing w:after="0"/>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Grantee’s participation in the 2002 Plan is voluntary;</w:t>
      </w:r>
    </w:p>
    <w:p>
      <w:pPr>
        <w:spacing w:after="0" w:line="219" w:lineRule="exact"/>
        <w:rPr>
          <w:rFonts w:ascii="Arial" w:cs="Arial" w:eastAsia="Arial" w:hAnsi="Arial"/>
          <w:sz w:val="22"/>
          <w:szCs w:val="22"/>
          <w:color w:val="auto"/>
        </w:rPr>
      </w:pPr>
    </w:p>
    <w:p>
      <w:pPr>
        <w:ind w:left="260" w:right="20" w:hanging="258"/>
        <w:spacing w:after="0" w:line="249" w:lineRule="auto"/>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Performance Award and any Performance Shares are not intended to replace any pension rights or compensation;</w:t>
      </w:r>
    </w:p>
    <w:p>
      <w:pPr>
        <w:spacing w:after="0" w:line="204" w:lineRule="exact"/>
        <w:rPr>
          <w:rFonts w:ascii="Arial" w:cs="Arial" w:eastAsia="Arial" w:hAnsi="Arial"/>
          <w:sz w:val="22"/>
          <w:szCs w:val="22"/>
          <w:color w:val="auto"/>
        </w:rPr>
      </w:pPr>
    </w:p>
    <w:p>
      <w:pPr>
        <w:jc w:val="both"/>
        <w:ind w:left="260" w:hanging="258"/>
        <w:spacing w:after="0" w:line="245" w:lineRule="auto"/>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Performance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209" w:lineRule="exact"/>
        <w:rPr>
          <w:rFonts w:ascii="Arial" w:cs="Arial" w:eastAsia="Arial" w:hAnsi="Arial"/>
          <w:sz w:val="22"/>
          <w:szCs w:val="22"/>
          <w:color w:val="auto"/>
        </w:rPr>
      </w:pPr>
    </w:p>
    <w:p>
      <w:pPr>
        <w:jc w:val="both"/>
        <w:ind w:left="260" w:hanging="258"/>
        <w:spacing w:after="0" w:line="245" w:lineRule="auto"/>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neither the Performance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Performance Award shall not be interpreted to form an employment contract or relationship with Lilly or any subsidiary of Lilly;</w:t>
      </w:r>
    </w:p>
    <w:p>
      <w:pPr>
        <w:spacing w:after="0" w:line="207" w:lineRule="exact"/>
        <w:rPr>
          <w:rFonts w:ascii="Arial" w:cs="Arial" w:eastAsia="Arial" w:hAnsi="Arial"/>
          <w:sz w:val="22"/>
          <w:szCs w:val="22"/>
          <w:color w:val="auto"/>
        </w:rPr>
      </w:pPr>
    </w:p>
    <w:p>
      <w:pPr>
        <w:ind w:left="260" w:hanging="258"/>
        <w:spacing w:after="0" w:line="249" w:lineRule="auto"/>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future value of the underlying Performance Shares and the shares of Lilly Stock subject to the restricted stock units is unknown, indeterminable and cannot be predicted with certainty;</w:t>
      </w:r>
    </w:p>
    <w:p>
      <w:pPr>
        <w:spacing w:after="0" w:line="204" w:lineRule="exact"/>
        <w:rPr>
          <w:rFonts w:ascii="Arial" w:cs="Arial" w:eastAsia="Arial" w:hAnsi="Arial"/>
          <w:sz w:val="22"/>
          <w:szCs w:val="22"/>
          <w:color w:val="auto"/>
        </w:rPr>
      </w:pPr>
    </w:p>
    <w:p>
      <w:pPr>
        <w:ind w:left="260" w:hanging="258"/>
        <w:spacing w:after="0" w:line="249" w:lineRule="auto"/>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value of any Performance Shares or any shares of Lilly Stock acquired in connection with this Performance Award may increase or decrease, even below the tax valuation price;</w:t>
      </w:r>
    </w:p>
    <w:p>
      <w:pPr>
        <w:spacing w:after="0" w:line="204" w:lineRule="exact"/>
        <w:rPr>
          <w:rFonts w:ascii="Arial" w:cs="Arial" w:eastAsia="Arial" w:hAnsi="Arial"/>
          <w:sz w:val="22"/>
          <w:szCs w:val="22"/>
          <w:color w:val="auto"/>
        </w:rPr>
      </w:pPr>
    </w:p>
    <w:p>
      <w:pPr>
        <w:jc w:val="both"/>
        <w:ind w:left="260" w:hanging="258"/>
        <w:spacing w:after="0" w:line="244" w:lineRule="auto"/>
        <w:tabs>
          <w:tab w:leader="none" w:pos="2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Performance Award or any Performance Shares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 and, in consideration of the grant of the Performance Award to which the Grantee is otherwise not entitled, the Grantee agrees never to institute any claim against the Company, any subsidiary of the Company or the Employer, waives the ability, if any, to bring any such claim and releases the Company, its subsidiaries and the Employer from any such claim; if, notwithstanding the foregoing, any such claim is allowed by a court of competent jurisdiction, then, by participating in the 2002 Plan, the Grantee will be deemed irrevocably to have agreed not to pursue such claim and agrees to execute any and all documents necessary to request dismissal or withdrawal of such claim;</w:t>
      </w:r>
    </w:p>
    <w:p>
      <w:pPr>
        <w:spacing w:after="0" w:line="209" w:lineRule="exact"/>
        <w:rPr>
          <w:rFonts w:ascii="Arial" w:cs="Arial" w:eastAsia="Arial" w:hAnsi="Arial"/>
          <w:sz w:val="22"/>
          <w:szCs w:val="22"/>
          <w:color w:val="auto"/>
        </w:rPr>
      </w:pPr>
    </w:p>
    <w:p>
      <w:pPr>
        <w:jc w:val="both"/>
        <w:ind w:left="260" w:hanging="258"/>
        <w:spacing w:after="0" w:line="258" w:lineRule="auto"/>
        <w:tabs>
          <w:tab w:leader="none" w:pos="2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for purposes of the Performance Award, the Grantee’s employment will be considered terminated as of the date he or she is no longer actively providing services to Lilly or a subsidiary of Lilly and the Grantee’s right, if any, to earn and be paid any portion of the Performance Award, the restricted stock units and the Dividend Equivalent Units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w:t>
      </w:r>
    </w:p>
    <w:p>
      <w:pPr>
        <w:spacing w:after="0" w:line="200" w:lineRule="exact"/>
        <w:rPr>
          <w:sz w:val="20"/>
          <w:szCs w:val="20"/>
          <w:color w:val="auto"/>
        </w:rPr>
      </w:pPr>
    </w:p>
    <w:p>
      <w:pPr>
        <w:spacing w:after="0" w:line="226"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860"/>
          </w:cols>
          <w:pgMar w:left="800" w:top="390" w:right="239" w:bottom="1440" w:gutter="0" w:footer="0" w:header="0"/>
        </w:sectPr>
      </w:pPr>
    </w:p>
    <w:bookmarkStart w:id="167" w:name="page168"/>
    <w:bookmarkEnd w:id="167"/>
    <w:p>
      <w:pPr>
        <w:jc w:val="both"/>
        <w:ind w:left="480"/>
        <w:spacing w:after="0" w:line="244" w:lineRule="auto"/>
        <w:rPr>
          <w:sz w:val="20"/>
          <w:szCs w:val="20"/>
          <w:color w:val="auto"/>
        </w:rPr>
      </w:pPr>
      <w:r>
        <w:rPr>
          <w:rFonts w:ascii="Arial" w:cs="Arial" w:eastAsia="Arial" w:hAnsi="Arial"/>
          <w:sz w:val="22"/>
          <w:szCs w:val="22"/>
          <w:color w:val="auto"/>
        </w:rPr>
        <w:t>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Performance Award (including whether the Grantee may still be considered to be actively providing services while on a leave of absence) in accordance with Section 409A;</w:t>
      </w:r>
    </w:p>
    <w:p>
      <w:pPr>
        <w:spacing w:after="0" w:line="212" w:lineRule="exact"/>
        <w:rPr>
          <w:sz w:val="20"/>
          <w:szCs w:val="20"/>
          <w:color w:val="auto"/>
        </w:rPr>
      </w:pPr>
    </w:p>
    <w:p>
      <w:pPr>
        <w:ind w:left="480" w:hanging="258"/>
        <w:spacing w:after="0" w:line="249" w:lineRule="auto"/>
        <w:tabs>
          <w:tab w:leader="none" w:pos="4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Performance Award; and</w:t>
      </w:r>
    </w:p>
    <w:p>
      <w:pPr>
        <w:spacing w:after="0" w:line="204" w:lineRule="exact"/>
        <w:rPr>
          <w:sz w:val="20"/>
          <w:szCs w:val="20"/>
          <w:color w:val="auto"/>
        </w:rPr>
      </w:pPr>
    </w:p>
    <w:p>
      <w:pPr>
        <w:jc w:val="both"/>
        <w:ind w:left="480" w:hanging="256"/>
        <w:spacing w:after="0" w:line="246"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shares of Lilly Stock that may be issued pursuant to this Performance Award.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23. No Advice Regarding Grant</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shares of Lilly Stock. The Grantee is hereby advised to consult with his or her own personal tax, legal and financial advisors regarding the Grantee’s participation in the 2002 Plan before taking any action related to the 2002 Plan.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24. Data Privacy</w:t>
      </w:r>
    </w:p>
    <w:p>
      <w:pPr>
        <w:spacing w:after="0" w:line="77" w:lineRule="exact"/>
        <w:rPr>
          <w:sz w:val="20"/>
          <w:szCs w:val="20"/>
          <w:color w:val="auto"/>
        </w:rPr>
      </w:pPr>
    </w:p>
    <w:p>
      <w:pPr>
        <w:jc w:val="both"/>
        <w:ind w:left="60"/>
        <w:spacing w:after="0" w:line="252"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Performance Award and any other Performance Award materials by and among, as applicable, the Employer, Lilly, its subsidiaries and its affiliates for the exclusive purpose of implementing, administering and managing the Grantee’s participation in the 2002 Plan.</w:t>
      </w:r>
    </w:p>
    <w:p>
      <w:pPr>
        <w:spacing w:after="0" w:line="180"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Performance Awards or any other entitlement to shares awarded, canceled, vested, unvested or outstanding in the Grantee’s favor, for the purpose of implementing, administering and managing the 2002 Plan (“Data”).</w:t>
      </w:r>
    </w:p>
    <w:p>
      <w:pPr>
        <w:spacing w:after="0" w:line="187"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the Company in the future, which is assisting in the implementation, administration and management of the 2002 Plan. The Grantee understands that these 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Performance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w:t>
      </w: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80"/>
          </w:cols>
          <w:pgMar w:left="580" w:top="390" w:right="239" w:bottom="1440" w:gutter="0" w:footer="0" w:header="0"/>
        </w:sectPr>
      </w:pPr>
    </w:p>
    <w:bookmarkStart w:id="168" w:name="page169"/>
    <w:bookmarkEnd w:id="168"/>
    <w:p>
      <w:pPr>
        <w:jc w:val="both"/>
        <w:ind w:left="60"/>
        <w:spacing w:after="0" w:line="246" w:lineRule="auto"/>
        <w:rPr>
          <w:sz w:val="20"/>
          <w:szCs w:val="20"/>
          <w:color w:val="auto"/>
        </w:rPr>
      </w:pPr>
      <w:r>
        <w:rPr>
          <w:rFonts w:ascii="Arial" w:cs="Arial" w:eastAsia="Arial" w:hAnsi="Arial"/>
          <w:sz w:val="22"/>
          <w:szCs w:val="22"/>
          <w:i w:val="1"/>
          <w:iCs w:val="1"/>
          <w:color w:val="auto"/>
        </w:rPr>
        <w:t>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Performance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25. Notices, Electronic Delivery and Participation</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w:t>
      </w:r>
    </w:p>
    <w:p>
      <w:pPr>
        <w:spacing w:after="0" w:line="253"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In addition, Lilly may, in its sole discretion, decide to deliver any documents related to the Performance Award and participation in the 2002 Plan by electronic means or request the Grantee’s consent to participate in the 2002 Plan by electronic means. By accepting this Performance Award, the Grantee hereby consents to receive such documents by electronic delivery and agrees to participate in the 2002 Plan through an on-line or electronic system established and maintained by Lilly or a third party designated by Lilly.</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26. Waiver</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27. Language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28. Imposition of Other Requirements</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relocates to another country, any special terms and conditions applicable to Performance Awards granted in such country will apply to the Grantee, to the extent the Company determines that the application of such terms and conditions is necessary or advisable for legal or administrative reasons.</w:t>
      </w:r>
    </w:p>
    <w:p>
      <w:pPr>
        <w:spacing w:after="0" w:line="208"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addition, the Company reserves the right to impose other requirements on the Performance Award and any shares of Lilly Stock acquired under the Plan, to the extent the Company determines it is necessary or advisable for legal or administrative reasons, and to require the Grantee to execute any additional agreements or undertakings that may be necessary to accomplish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29. Governing Law and Choice of Venue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The validity and construction of this Performance Award shall be governed by the laws of the State of Indiana, U.S.A. without regard to laws that might cause other law to govern under applicable principles of conflict of laws. For purposes of litigating any dispute that arises under this Performance Award, the parties</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80"/>
          </w:cols>
          <w:pgMar w:left="580" w:top="368" w:right="239" w:bottom="1440" w:gutter="0" w:footer="0" w:header="0"/>
        </w:sectPr>
      </w:pPr>
    </w:p>
    <w:bookmarkStart w:id="169" w:name="page170"/>
    <w:bookmarkEnd w:id="169"/>
    <w:p>
      <w:pPr>
        <w:jc w:val="both"/>
        <w:ind w:left="60"/>
        <w:spacing w:after="0" w:line="246" w:lineRule="auto"/>
        <w:rPr>
          <w:sz w:val="20"/>
          <w:szCs w:val="20"/>
          <w:color w:val="auto"/>
        </w:rPr>
      </w:pPr>
      <w:r>
        <w:rPr>
          <w:rFonts w:ascii="Arial" w:cs="Arial" w:eastAsia="Arial" w:hAnsi="Arial"/>
          <w:sz w:val="22"/>
          <w:szCs w:val="22"/>
          <w:color w:val="auto"/>
        </w:rPr>
        <w:t>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Performance Award is granted and/or to be performed.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30. Severability and Section Headings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Performance Award and the 2002 Plan.</w:t>
      </w:r>
    </w:p>
    <w:p>
      <w:pPr>
        <w:spacing w:after="0" w:line="213"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31. Effective Date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effective date of this instrument shall be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32. Award Subject to Acknowledgement of Acceptance</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Notwithstanding any provisions of this instrument, the Performance Award is subject to acknowledgement of acceptance by the Grantee prior to 4:00 PM (EDT) April 30, 2015 through the website of Merrill Lynch, the Company’s stock plan administrator. If the Grantee does not acknowledge acceptance of the Performance Award prior to 4:00 PM (EDT) April 30, 2015, the Award will be cancelled, subject to the Committee’s discretion for unforeseen circumstances.</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Lilly has caused this Performance Award to be executed and granted in Indianapolis, Indiana, by its proper officer.</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281940</wp:posOffset>
            </wp:positionV>
            <wp:extent cx="1646555" cy="4546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465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John C. Lechleiter</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Chairman of the Board, President and</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80"/>
          </w:cols>
          <w:pgMar w:left="580" w:top="390"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Eli Lilly and Company Shareholder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Eli Lilly and Company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Shareholder Value Award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Shareholder Value Award has been granted for the Award Period of January 1, 2015 through December 31, 2017 by Eli Lilly and Company, an Indiana corporation with its principal offices in Indianapolis, Indiana (“Lilly” or the “Company”), to Grantee.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5"/>
          <w:szCs w:val="25"/>
          <w:color w:val="auto"/>
        </w:rPr>
        <w:t>Performance Levels</w:t>
      </w:r>
    </w:p>
    <w:p>
      <w:pPr>
        <w:spacing w:after="0" w:line="398" w:lineRule="exact"/>
        <w:rPr>
          <w:sz w:val="20"/>
          <w:szCs w:val="20"/>
          <w:color w:val="auto"/>
        </w:rPr>
      </w:pPr>
    </w:p>
    <w:tbl>
      <w:tblPr>
        <w:tblLayout w:type="fixed"/>
        <w:tblInd w:w="190" w:type="dxa"/>
        <w:tblCellMar>
          <w:top w:w="0" w:type="dxa"/>
          <w:left w:w="0" w:type="dxa"/>
          <w:bottom w:w="0" w:type="dxa"/>
          <w:right w:w="0" w:type="dxa"/>
        </w:tblCellMar>
      </w:tblPr>
      <w:tr>
        <w:trPr>
          <w:trHeight w:val="305"/>
        </w:trPr>
        <w:tc>
          <w:tcPr>
            <w:tcW w:w="168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440" w:type="dxa"/>
            <w:vAlign w:val="bottom"/>
            <w:tcBorders>
              <w:top w:val="single" w:sz="8" w:color="00000A"/>
              <w:bottom w:val="single" w:sz="8" w:color="00000A"/>
              <w:right w:val="single" w:sz="8" w:color="00000A"/>
            </w:tcBorders>
          </w:tcPr>
          <w:p>
            <w:pPr>
              <w:ind w:left="180"/>
              <w:spacing w:after="0"/>
              <w:rPr>
                <w:sz w:val="20"/>
                <w:szCs w:val="20"/>
                <w:color w:val="auto"/>
              </w:rPr>
            </w:pPr>
            <w:r>
              <w:rPr>
                <w:rFonts w:ascii="Arial" w:cs="Arial" w:eastAsia="Arial" w:hAnsi="Arial"/>
                <w:sz w:val="22"/>
                <w:szCs w:val="22"/>
                <w:b w:val="1"/>
                <w:bCs w:val="1"/>
                <w:color w:val="auto"/>
              </w:rPr>
              <w:t>No Payout</w:t>
            </w:r>
          </w:p>
        </w:tc>
        <w:tc>
          <w:tcPr>
            <w:tcW w:w="1240" w:type="dxa"/>
            <w:vAlign w:val="bottom"/>
            <w:tcBorders>
              <w:top w:val="single" w:sz="8" w:color="00000A"/>
              <w:bottom w:val="single" w:sz="8" w:color="00000A"/>
              <w:right w:val="single" w:sz="8" w:color="00000A"/>
            </w:tcBorders>
          </w:tcPr>
          <w:p>
            <w:pPr>
              <w:ind w:left="240"/>
              <w:spacing w:after="0"/>
              <w:rPr>
                <w:sz w:val="20"/>
                <w:szCs w:val="20"/>
                <w:color w:val="auto"/>
              </w:rPr>
            </w:pPr>
            <w:r>
              <w:rPr>
                <w:rFonts w:ascii="Arial" w:cs="Arial" w:eastAsia="Arial" w:hAnsi="Arial"/>
                <w:sz w:val="22"/>
                <w:szCs w:val="22"/>
                <w:b w:val="1"/>
                <w:bCs w:val="1"/>
                <w:color w:val="auto"/>
              </w:rPr>
              <w:t>Level 1</w:t>
            </w:r>
          </w:p>
        </w:tc>
        <w:tc>
          <w:tcPr>
            <w:tcW w:w="1040" w:type="dxa"/>
            <w:vAlign w:val="bottom"/>
            <w:tcBorders>
              <w:top w:val="single" w:sz="8" w:color="00000A"/>
              <w:bottom w:val="single" w:sz="8" w:color="00000A"/>
            </w:tcBorders>
          </w:tcPr>
          <w:p>
            <w:pPr>
              <w:ind w:left="240"/>
              <w:spacing w:after="0"/>
              <w:rPr>
                <w:sz w:val="20"/>
                <w:szCs w:val="20"/>
                <w:color w:val="auto"/>
              </w:rPr>
            </w:pPr>
            <w:r>
              <w:rPr>
                <w:rFonts w:ascii="Arial" w:cs="Arial" w:eastAsia="Arial" w:hAnsi="Arial"/>
                <w:sz w:val="22"/>
                <w:szCs w:val="22"/>
                <w:b w:val="1"/>
                <w:bCs w:val="1"/>
                <w:color w:val="auto"/>
              </w:rPr>
              <w:t>Level 2</w:t>
            </w:r>
          </w:p>
        </w:tc>
        <w:tc>
          <w:tcPr>
            <w:tcW w:w="180" w:type="dxa"/>
            <w:vAlign w:val="bottom"/>
            <w:tcBorders>
              <w:top w:val="single" w:sz="8" w:color="00000A"/>
              <w:bottom w:val="single" w:sz="8" w:color="00000A"/>
              <w:right w:val="single" w:sz="8" w:color="00000A"/>
            </w:tcBorders>
          </w:tcPr>
          <w:p>
            <w:pPr>
              <w:spacing w:after="0"/>
              <w:rPr>
                <w:sz w:val="24"/>
                <w:szCs w:val="24"/>
                <w:color w:val="auto"/>
              </w:rPr>
            </w:pPr>
          </w:p>
        </w:tc>
        <w:tc>
          <w:tcPr>
            <w:tcW w:w="1440" w:type="dxa"/>
            <w:vAlign w:val="bottom"/>
            <w:tcBorders>
              <w:top w:val="single" w:sz="8" w:color="00000A"/>
              <w:bottom w:val="single" w:sz="8" w:color="00000A"/>
              <w:right w:val="single" w:sz="8" w:color="00000A"/>
            </w:tcBorders>
          </w:tcPr>
          <w:p>
            <w:pPr>
              <w:jc w:val="right"/>
              <w:ind w:right="252"/>
              <w:spacing w:after="0"/>
              <w:rPr>
                <w:sz w:val="20"/>
                <w:szCs w:val="20"/>
                <w:color w:val="auto"/>
              </w:rPr>
            </w:pPr>
            <w:r>
              <w:rPr>
                <w:rFonts w:ascii="Arial" w:cs="Arial" w:eastAsia="Arial" w:hAnsi="Arial"/>
                <w:sz w:val="22"/>
                <w:szCs w:val="22"/>
                <w:b w:val="1"/>
                <w:bCs w:val="1"/>
                <w:color w:val="auto"/>
              </w:rPr>
              <w:t>Level 3</w:t>
            </w:r>
          </w:p>
        </w:tc>
        <w:tc>
          <w:tcPr>
            <w:tcW w:w="1440" w:type="dxa"/>
            <w:vAlign w:val="bottom"/>
            <w:tcBorders>
              <w:top w:val="single" w:sz="8" w:color="00000A"/>
              <w:bottom w:val="single" w:sz="8" w:color="00000A"/>
              <w:right w:val="single" w:sz="8" w:color="00000A"/>
            </w:tcBorders>
          </w:tcPr>
          <w:p>
            <w:pPr>
              <w:ind w:left="340"/>
              <w:spacing w:after="0"/>
              <w:rPr>
                <w:sz w:val="20"/>
                <w:szCs w:val="20"/>
                <w:color w:val="auto"/>
              </w:rPr>
            </w:pPr>
            <w:r>
              <w:rPr>
                <w:rFonts w:ascii="Arial" w:cs="Arial" w:eastAsia="Arial" w:hAnsi="Arial"/>
                <w:sz w:val="22"/>
                <w:szCs w:val="22"/>
                <w:b w:val="1"/>
                <w:bCs w:val="1"/>
                <w:color w:val="auto"/>
              </w:rPr>
              <w:t>Level 4</w:t>
            </w:r>
          </w:p>
        </w:tc>
        <w:tc>
          <w:tcPr>
            <w:tcW w:w="142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5</w:t>
            </w:r>
          </w:p>
        </w:tc>
        <w:tc>
          <w:tcPr>
            <w:tcW w:w="1220" w:type="dxa"/>
            <w:vAlign w:val="bottom"/>
            <w:tcBorders>
              <w:top w:val="single" w:sz="8" w:color="00000A"/>
              <w:bottom w:val="single" w:sz="8" w:color="00000A"/>
              <w:right w:val="single" w:sz="8" w:color="00000A"/>
            </w:tcBorders>
          </w:tcPr>
          <w:p>
            <w:pPr>
              <w:ind w:left="240"/>
              <w:spacing w:after="0"/>
              <w:rPr>
                <w:sz w:val="20"/>
                <w:szCs w:val="20"/>
                <w:color w:val="auto"/>
              </w:rPr>
            </w:pPr>
            <w:r>
              <w:rPr>
                <w:rFonts w:ascii="Arial" w:cs="Arial" w:eastAsia="Arial" w:hAnsi="Arial"/>
                <w:sz w:val="22"/>
                <w:szCs w:val="22"/>
                <w:b w:val="1"/>
                <w:bCs w:val="1"/>
                <w:color w:val="auto"/>
              </w:rPr>
              <w:t>Level 6</w:t>
            </w:r>
          </w:p>
        </w:tc>
        <w:tc>
          <w:tcPr>
            <w:tcW w:w="0" w:type="dxa"/>
            <w:vAlign w:val="bottom"/>
          </w:tcPr>
          <w:p>
            <w:pPr>
              <w:spacing w:after="0"/>
              <w:rPr>
                <w:sz w:val="1"/>
                <w:szCs w:val="1"/>
                <w:color w:val="auto"/>
              </w:rPr>
            </w:pPr>
          </w:p>
        </w:tc>
      </w:tr>
      <w:tr>
        <w:trPr>
          <w:trHeight w:val="263"/>
        </w:trPr>
        <w:tc>
          <w:tcPr>
            <w:tcW w:w="1680" w:type="dxa"/>
            <w:vAlign w:val="bottom"/>
            <w:tcBorders>
              <w:left w:val="single" w:sz="8" w:color="00000A"/>
              <w:right w:val="single" w:sz="8" w:color="00000A"/>
            </w:tcBorders>
            <w:vMerge w:val="restart"/>
          </w:tcPr>
          <w:p>
            <w:pPr>
              <w:ind w:left="240"/>
              <w:spacing w:after="0"/>
              <w:rPr>
                <w:sz w:val="20"/>
                <w:szCs w:val="20"/>
                <w:color w:val="auto"/>
              </w:rPr>
            </w:pPr>
            <w:r>
              <w:rPr>
                <w:rFonts w:ascii="Arial" w:cs="Arial" w:eastAsia="Arial" w:hAnsi="Arial"/>
                <w:sz w:val="22"/>
                <w:szCs w:val="22"/>
                <w:b w:val="1"/>
                <w:bCs w:val="1"/>
                <w:color w:val="auto"/>
              </w:rPr>
              <w:t>Stock Price</w:t>
            </w:r>
          </w:p>
        </w:tc>
        <w:tc>
          <w:tcPr>
            <w:tcW w:w="1440" w:type="dxa"/>
            <w:vAlign w:val="bottom"/>
            <w:tcBorders>
              <w:right w:val="single" w:sz="8" w:color="00000A"/>
            </w:tcBorders>
          </w:tcPr>
          <w:p>
            <w:pPr>
              <w:spacing w:after="0"/>
              <w:rPr>
                <w:sz w:val="22"/>
                <w:szCs w:val="22"/>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$63.02</w:t>
            </w:r>
          </w:p>
        </w:tc>
        <w:tc>
          <w:tcPr>
            <w:tcW w:w="1040" w:type="dxa"/>
            <w:vAlign w:val="bottom"/>
          </w:tcPr>
          <w:p>
            <w:pPr>
              <w:jc w:val="center"/>
              <w:ind w:left="52"/>
              <w:spacing w:after="0"/>
              <w:rPr>
                <w:sz w:val="20"/>
                <w:szCs w:val="20"/>
                <w:color w:val="auto"/>
              </w:rPr>
            </w:pPr>
            <w:r>
              <w:rPr>
                <w:rFonts w:ascii="Arial" w:cs="Arial" w:eastAsia="Arial" w:hAnsi="Arial"/>
                <w:sz w:val="22"/>
                <w:szCs w:val="22"/>
                <w:color w:val="auto"/>
              </w:rPr>
              <w:t>$68.73</w:t>
            </w:r>
          </w:p>
        </w:tc>
        <w:tc>
          <w:tcPr>
            <w:tcW w:w="180" w:type="dxa"/>
            <w:vAlign w:val="bottom"/>
            <w:tcBorders>
              <w:right w:val="single" w:sz="8" w:color="00000A"/>
            </w:tcBorders>
          </w:tcPr>
          <w:p>
            <w:pPr>
              <w:spacing w:after="0"/>
              <w:rPr>
                <w:sz w:val="22"/>
                <w:szCs w:val="22"/>
                <w:color w:val="auto"/>
              </w:rPr>
            </w:pP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$74.42</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$80.30</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$86.18</w:t>
            </w:r>
          </w:p>
        </w:tc>
        <w:tc>
          <w:tcPr>
            <w:tcW w:w="122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00000A"/>
              <w:right w:val="single" w:sz="8" w:color="00000A"/>
            </w:tcBorders>
            <w:vMerge w:val="continue"/>
          </w:tcPr>
          <w:p>
            <w:pPr>
              <w:spacing w:after="0"/>
              <w:rPr>
                <w:sz w:val="21"/>
                <w:szCs w:val="21"/>
                <w:color w:val="auto"/>
              </w:rPr>
            </w:pPr>
          </w:p>
        </w:tc>
        <w:tc>
          <w:tcPr>
            <w:tcW w:w="1440" w:type="dxa"/>
            <w:vAlign w:val="bottom"/>
            <w:tcBorders>
              <w:right w:val="single" w:sz="8" w:color="00000A"/>
            </w:tcBorders>
            <w:vMerge w:val="restart"/>
          </w:tcPr>
          <w:p>
            <w:pPr>
              <w:jc w:val="right"/>
              <w:ind w:right="192"/>
              <w:spacing w:after="0"/>
              <w:rPr>
                <w:sz w:val="20"/>
                <w:szCs w:val="20"/>
                <w:color w:val="auto"/>
              </w:rPr>
            </w:pPr>
            <w:r>
              <w:rPr>
                <w:rFonts w:ascii="Arial" w:cs="Arial" w:eastAsia="Arial" w:hAnsi="Arial"/>
                <w:sz w:val="22"/>
                <w:szCs w:val="22"/>
                <w:color w:val="auto"/>
              </w:rPr>
              <w:t>&lt; $63.02</w:t>
            </w:r>
          </w:p>
        </w:tc>
        <w:tc>
          <w:tcPr>
            <w:tcW w:w="12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5"/>
              </w:rPr>
              <w:t>--</w:t>
            </w:r>
          </w:p>
        </w:tc>
        <w:tc>
          <w:tcPr>
            <w:tcW w:w="1040" w:type="dxa"/>
            <w:vAlign w:val="bottom"/>
          </w:tcPr>
          <w:p>
            <w:pPr>
              <w:jc w:val="center"/>
              <w:ind w:left="52"/>
              <w:spacing w:after="0" w:line="243" w:lineRule="exact"/>
              <w:rPr>
                <w:sz w:val="20"/>
                <w:szCs w:val="20"/>
                <w:color w:val="auto"/>
              </w:rPr>
            </w:pPr>
            <w:r>
              <w:rPr>
                <w:rFonts w:ascii="Arial" w:cs="Arial" w:eastAsia="Arial" w:hAnsi="Arial"/>
                <w:sz w:val="22"/>
                <w:szCs w:val="22"/>
                <w:color w:val="auto"/>
              </w:rPr>
              <w:t>--</w:t>
            </w:r>
          </w:p>
        </w:tc>
        <w:tc>
          <w:tcPr>
            <w:tcW w:w="180" w:type="dxa"/>
            <w:vAlign w:val="bottom"/>
            <w:tcBorders>
              <w:right w:val="single" w:sz="8" w:color="00000A"/>
            </w:tcBorders>
          </w:tcPr>
          <w:p>
            <w:pPr>
              <w:spacing w:after="0"/>
              <w:rPr>
                <w:sz w:val="21"/>
                <w:szCs w:val="21"/>
                <w:color w:val="auto"/>
              </w:rPr>
            </w:pPr>
          </w:p>
        </w:tc>
        <w:tc>
          <w:tcPr>
            <w:tcW w:w="14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7"/>
              </w:rPr>
              <w:t>–</w:t>
            </w:r>
          </w:p>
        </w:tc>
        <w:tc>
          <w:tcPr>
            <w:tcW w:w="14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7"/>
              </w:rPr>
              <w:t>–</w:t>
            </w:r>
          </w:p>
        </w:tc>
        <w:tc>
          <w:tcPr>
            <w:tcW w:w="142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7"/>
              </w:rPr>
              <w:t>–</w:t>
            </w:r>
          </w:p>
        </w:tc>
        <w:tc>
          <w:tcPr>
            <w:tcW w:w="1220" w:type="dxa"/>
            <w:vAlign w:val="bottom"/>
            <w:tcBorders>
              <w:right w:val="single" w:sz="8" w:color="00000A"/>
            </w:tcBorders>
            <w:vMerge w:val="restart"/>
          </w:tcPr>
          <w:p>
            <w:pPr>
              <w:jc w:val="right"/>
              <w:ind w:right="92"/>
              <w:spacing w:after="0"/>
              <w:rPr>
                <w:sz w:val="20"/>
                <w:szCs w:val="20"/>
                <w:color w:val="auto"/>
              </w:rPr>
            </w:pPr>
            <w:r>
              <w:rPr>
                <w:rFonts w:ascii="Arial" w:cs="Arial" w:eastAsia="Arial" w:hAnsi="Arial"/>
                <w:sz w:val="22"/>
                <w:szCs w:val="22"/>
                <w:color w:val="auto"/>
              </w:rPr>
              <w:t>&gt; $92.04</w:t>
            </w:r>
          </w:p>
        </w:tc>
        <w:tc>
          <w:tcPr>
            <w:tcW w:w="0" w:type="dxa"/>
            <w:vAlign w:val="bottom"/>
          </w:tcPr>
          <w:p>
            <w:pPr>
              <w:spacing w:after="0"/>
              <w:rPr>
                <w:sz w:val="1"/>
                <w:szCs w:val="1"/>
                <w:color w:val="auto"/>
              </w:rPr>
            </w:pPr>
          </w:p>
        </w:tc>
      </w:tr>
      <w:tr>
        <w:trPr>
          <w:trHeight w:val="138"/>
        </w:trPr>
        <w:tc>
          <w:tcPr>
            <w:tcW w:w="1680" w:type="dxa"/>
            <w:vAlign w:val="bottom"/>
            <w:tcBorders>
              <w:left w:val="single" w:sz="8" w:color="00000A"/>
              <w:right w:val="single" w:sz="8" w:color="00000A"/>
            </w:tcBorders>
          </w:tcPr>
          <w:p>
            <w:pPr>
              <w:spacing w:after="0"/>
              <w:rPr>
                <w:sz w:val="12"/>
                <w:szCs w:val="12"/>
                <w:color w:val="auto"/>
              </w:rPr>
            </w:pPr>
          </w:p>
        </w:tc>
        <w:tc>
          <w:tcPr>
            <w:tcW w:w="1440" w:type="dxa"/>
            <w:vAlign w:val="bottom"/>
            <w:tcBorders>
              <w:right w:val="single" w:sz="8" w:color="00000A"/>
            </w:tcBorders>
            <w:vMerge w:val="continue"/>
          </w:tcPr>
          <w:p>
            <w:pPr>
              <w:spacing w:after="0"/>
              <w:rPr>
                <w:sz w:val="12"/>
                <w:szCs w:val="12"/>
                <w:color w:val="auto"/>
              </w:rPr>
            </w:pPr>
          </w:p>
        </w:tc>
        <w:tc>
          <w:tcPr>
            <w:tcW w:w="12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8"/>
              </w:rPr>
              <w:t>$68.72</w:t>
            </w:r>
          </w:p>
        </w:tc>
        <w:tc>
          <w:tcPr>
            <w:tcW w:w="1040" w:type="dxa"/>
            <w:vAlign w:val="bottom"/>
            <w:vMerge w:val="restart"/>
          </w:tcPr>
          <w:p>
            <w:pPr>
              <w:jc w:val="center"/>
              <w:ind w:left="52"/>
              <w:spacing w:after="0"/>
              <w:rPr>
                <w:sz w:val="20"/>
                <w:szCs w:val="20"/>
                <w:color w:val="auto"/>
              </w:rPr>
            </w:pPr>
            <w:r>
              <w:rPr>
                <w:rFonts w:ascii="Arial" w:cs="Arial" w:eastAsia="Arial" w:hAnsi="Arial"/>
                <w:sz w:val="22"/>
                <w:szCs w:val="22"/>
                <w:color w:val="auto"/>
              </w:rPr>
              <w:t>$74.41</w:t>
            </w:r>
          </w:p>
        </w:tc>
        <w:tc>
          <w:tcPr>
            <w:tcW w:w="180" w:type="dxa"/>
            <w:vAlign w:val="bottom"/>
            <w:tcBorders>
              <w:right w:val="single" w:sz="8" w:color="00000A"/>
            </w:tcBorders>
          </w:tcPr>
          <w:p>
            <w:pPr>
              <w:spacing w:after="0"/>
              <w:rPr>
                <w:sz w:val="12"/>
                <w:szCs w:val="12"/>
                <w:color w:val="auto"/>
              </w:rPr>
            </w:pP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8"/>
              </w:rPr>
              <w:t>$80.29</w:t>
            </w: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8"/>
              </w:rPr>
              <w:t>$86.17</w:t>
            </w:r>
          </w:p>
        </w:tc>
        <w:tc>
          <w:tcPr>
            <w:tcW w:w="14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8"/>
              </w:rPr>
              <w:t>$92.04</w:t>
            </w:r>
          </w:p>
        </w:tc>
        <w:tc>
          <w:tcPr>
            <w:tcW w:w="122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80" w:type="dxa"/>
            <w:vAlign w:val="bottom"/>
            <w:tcBorders>
              <w:left w:val="single" w:sz="8" w:color="00000A"/>
              <w:bottom w:val="single" w:sz="8" w:color="00000A"/>
              <w:right w:val="single" w:sz="8" w:color="00000A"/>
            </w:tcBorders>
          </w:tcPr>
          <w:p>
            <w:pPr>
              <w:spacing w:after="0"/>
              <w:rPr>
                <w:sz w:val="11"/>
                <w:szCs w:val="11"/>
                <w:color w:val="auto"/>
              </w:rPr>
            </w:pPr>
          </w:p>
        </w:tc>
        <w:tc>
          <w:tcPr>
            <w:tcW w:w="1440" w:type="dxa"/>
            <w:vAlign w:val="bottom"/>
            <w:tcBorders>
              <w:bottom w:val="single" w:sz="8" w:color="00000A"/>
              <w:right w:val="single" w:sz="8" w:color="00000A"/>
            </w:tcBorders>
          </w:tcPr>
          <w:p>
            <w:pPr>
              <w:spacing w:after="0"/>
              <w:rPr>
                <w:sz w:val="11"/>
                <w:szCs w:val="11"/>
                <w:color w:val="auto"/>
              </w:rPr>
            </w:pPr>
          </w:p>
        </w:tc>
        <w:tc>
          <w:tcPr>
            <w:tcW w:w="1240" w:type="dxa"/>
            <w:vAlign w:val="bottom"/>
            <w:tcBorders>
              <w:bottom w:val="single" w:sz="8" w:color="00000A"/>
              <w:right w:val="single" w:sz="8" w:color="00000A"/>
            </w:tcBorders>
            <w:vMerge w:val="continue"/>
          </w:tcPr>
          <w:p>
            <w:pPr>
              <w:spacing w:after="0"/>
              <w:rPr>
                <w:sz w:val="11"/>
                <w:szCs w:val="11"/>
                <w:color w:val="auto"/>
              </w:rPr>
            </w:pPr>
          </w:p>
        </w:tc>
        <w:tc>
          <w:tcPr>
            <w:tcW w:w="1040" w:type="dxa"/>
            <w:vAlign w:val="bottom"/>
            <w:tcBorders>
              <w:bottom w:val="single" w:sz="8" w:color="00000A"/>
            </w:tcBorders>
            <w:vMerge w:val="continue"/>
          </w:tcPr>
          <w:p>
            <w:pPr>
              <w:spacing w:after="0"/>
              <w:rPr>
                <w:sz w:val="11"/>
                <w:szCs w:val="11"/>
                <w:color w:val="auto"/>
              </w:rPr>
            </w:pPr>
          </w:p>
        </w:tc>
        <w:tc>
          <w:tcPr>
            <w:tcW w:w="180" w:type="dxa"/>
            <w:vAlign w:val="bottom"/>
            <w:tcBorders>
              <w:bottom w:val="single" w:sz="8" w:color="00000A"/>
              <w:right w:val="single" w:sz="8" w:color="00000A"/>
            </w:tcBorders>
          </w:tcPr>
          <w:p>
            <w:pPr>
              <w:spacing w:after="0"/>
              <w:rPr>
                <w:sz w:val="11"/>
                <w:szCs w:val="11"/>
                <w:color w:val="auto"/>
              </w:rPr>
            </w:pPr>
          </w:p>
        </w:tc>
        <w:tc>
          <w:tcPr>
            <w:tcW w:w="1440" w:type="dxa"/>
            <w:vAlign w:val="bottom"/>
            <w:tcBorders>
              <w:bottom w:val="single" w:sz="8" w:color="00000A"/>
              <w:right w:val="single" w:sz="8" w:color="00000A"/>
            </w:tcBorders>
            <w:vMerge w:val="continue"/>
          </w:tcPr>
          <w:p>
            <w:pPr>
              <w:spacing w:after="0"/>
              <w:rPr>
                <w:sz w:val="11"/>
                <w:szCs w:val="11"/>
                <w:color w:val="auto"/>
              </w:rPr>
            </w:pPr>
          </w:p>
        </w:tc>
        <w:tc>
          <w:tcPr>
            <w:tcW w:w="1440" w:type="dxa"/>
            <w:vAlign w:val="bottom"/>
            <w:tcBorders>
              <w:bottom w:val="single" w:sz="8" w:color="00000A"/>
              <w:right w:val="single" w:sz="8" w:color="00000A"/>
            </w:tcBorders>
            <w:vMerge w:val="continue"/>
          </w:tcPr>
          <w:p>
            <w:pPr>
              <w:spacing w:after="0"/>
              <w:rPr>
                <w:sz w:val="11"/>
                <w:szCs w:val="11"/>
                <w:color w:val="auto"/>
              </w:rPr>
            </w:pPr>
          </w:p>
        </w:tc>
        <w:tc>
          <w:tcPr>
            <w:tcW w:w="1420" w:type="dxa"/>
            <w:vAlign w:val="bottom"/>
            <w:tcBorders>
              <w:bottom w:val="single" w:sz="8" w:color="00000A"/>
              <w:right w:val="single" w:sz="8" w:color="00000A"/>
            </w:tcBorders>
            <w:vMerge w:val="continue"/>
          </w:tcPr>
          <w:p>
            <w:pPr>
              <w:spacing w:after="0"/>
              <w:rPr>
                <w:sz w:val="11"/>
                <w:szCs w:val="11"/>
                <w:color w:val="auto"/>
              </w:rPr>
            </w:pPr>
          </w:p>
        </w:tc>
        <w:tc>
          <w:tcPr>
            <w:tcW w:w="122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680" w:type="dxa"/>
            <w:vAlign w:val="bottom"/>
            <w:tcBorders>
              <w:left w:val="single" w:sz="8" w:color="00000A"/>
              <w:bottom w:val="single" w:sz="8" w:color="00000A"/>
              <w:right w:val="single" w:sz="8" w:color="00000A"/>
            </w:tcBorders>
          </w:tcPr>
          <w:p>
            <w:pPr>
              <w:ind w:left="240"/>
              <w:spacing w:after="0"/>
              <w:rPr>
                <w:sz w:val="20"/>
                <w:szCs w:val="20"/>
                <w:color w:val="auto"/>
              </w:rPr>
            </w:pPr>
            <w:r>
              <w:rPr>
                <w:rFonts w:ascii="Arial" w:cs="Arial" w:eastAsia="Arial" w:hAnsi="Arial"/>
                <w:sz w:val="22"/>
                <w:szCs w:val="22"/>
                <w:b w:val="1"/>
                <w:bCs w:val="1"/>
                <w:color w:val="auto"/>
              </w:rPr>
              <w:t>% of Target</w:t>
            </w:r>
          </w:p>
        </w:tc>
        <w:tc>
          <w:tcPr>
            <w:tcW w:w="1440" w:type="dxa"/>
            <w:vAlign w:val="bottom"/>
            <w:tcBorders>
              <w:bottom w:val="single" w:sz="8" w:color="00000A"/>
              <w:right w:val="single" w:sz="8" w:color="00000A"/>
            </w:tcBorders>
          </w:tcPr>
          <w:p>
            <w:pPr>
              <w:jc w:val="right"/>
              <w:ind w:right="452"/>
              <w:spacing w:after="0"/>
              <w:rPr>
                <w:sz w:val="20"/>
                <w:szCs w:val="20"/>
                <w:color w:val="auto"/>
              </w:rPr>
            </w:pPr>
            <w:r>
              <w:rPr>
                <w:rFonts w:ascii="Arial" w:cs="Arial" w:eastAsia="Arial" w:hAnsi="Arial"/>
                <w:sz w:val="22"/>
                <w:szCs w:val="22"/>
                <w:color w:val="auto"/>
              </w:rPr>
              <w:t>0%</w:t>
            </w:r>
          </w:p>
        </w:tc>
        <w:tc>
          <w:tcPr>
            <w:tcW w:w="12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40%</w:t>
            </w:r>
          </w:p>
        </w:tc>
        <w:tc>
          <w:tcPr>
            <w:tcW w:w="1040" w:type="dxa"/>
            <w:vAlign w:val="bottom"/>
            <w:tcBorders>
              <w:bottom w:val="single" w:sz="8" w:color="00000A"/>
            </w:tcBorders>
          </w:tcPr>
          <w:p>
            <w:pPr>
              <w:jc w:val="center"/>
              <w:ind w:left="52"/>
              <w:spacing w:after="0"/>
              <w:rPr>
                <w:sz w:val="20"/>
                <w:szCs w:val="20"/>
                <w:color w:val="auto"/>
              </w:rPr>
            </w:pPr>
            <w:r>
              <w:rPr>
                <w:rFonts w:ascii="Arial" w:cs="Arial" w:eastAsia="Arial" w:hAnsi="Arial"/>
                <w:sz w:val="22"/>
                <w:szCs w:val="22"/>
                <w:color w:val="auto"/>
                <w:w w:val="99"/>
              </w:rPr>
              <w:t>60%</w:t>
            </w:r>
          </w:p>
        </w:tc>
        <w:tc>
          <w:tcPr>
            <w:tcW w:w="180" w:type="dxa"/>
            <w:vAlign w:val="bottom"/>
            <w:tcBorders>
              <w:bottom w:val="single" w:sz="8" w:color="00000A"/>
              <w:right w:val="single" w:sz="8" w:color="00000A"/>
            </w:tcBorders>
          </w:tcPr>
          <w:p>
            <w:pPr>
              <w:spacing w:after="0"/>
              <w:rPr>
                <w:sz w:val="24"/>
                <w:szCs w:val="24"/>
                <w:color w:val="auto"/>
              </w:rPr>
            </w:pPr>
          </w:p>
        </w:tc>
        <w:tc>
          <w:tcPr>
            <w:tcW w:w="1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80%</w:t>
            </w:r>
          </w:p>
        </w:tc>
        <w:tc>
          <w:tcPr>
            <w:tcW w:w="1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120%</w:t>
            </w:r>
          </w:p>
        </w:tc>
        <w:tc>
          <w:tcPr>
            <w:tcW w:w="1220" w:type="dxa"/>
            <w:vAlign w:val="bottom"/>
            <w:tcBorders>
              <w:bottom w:val="single" w:sz="8" w:color="00000A"/>
              <w:right w:val="single" w:sz="8" w:color="00000A"/>
            </w:tcBorders>
          </w:tcPr>
          <w:p>
            <w:pPr>
              <w:jc w:val="right"/>
              <w:ind w:right="232"/>
              <w:spacing w:after="0"/>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847"/>
        </w:trPr>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gridSpan w:val="2"/>
          </w:tcPr>
          <w:p>
            <w:pPr>
              <w:jc w:val="right"/>
              <w:ind w:right="1332"/>
              <w:spacing w:after="0"/>
              <w:rPr>
                <w:sz w:val="20"/>
                <w:szCs w:val="20"/>
                <w:color w:val="auto"/>
              </w:rPr>
            </w:pPr>
            <w:r>
              <w:rPr>
                <w:rFonts w:ascii="Arial" w:cs="Arial" w:eastAsia="Arial" w:hAnsi="Arial"/>
                <w:sz w:val="22"/>
                <w:szCs w:val="22"/>
                <w:color w:val="auto"/>
              </w:rPr>
              <w:t>1</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171" w:name="page172"/>
    <w:bookmarkEnd w:id="171"/>
    <w:p>
      <w:pPr>
        <w:spacing w:after="0"/>
        <w:rPr>
          <w:sz w:val="20"/>
          <w:szCs w:val="20"/>
          <w:color w:val="auto"/>
        </w:rPr>
      </w:pPr>
      <w:r>
        <w:rPr>
          <w:rFonts w:ascii="Arial" w:cs="Arial" w:eastAsia="Arial" w:hAnsi="Arial"/>
          <w:sz w:val="29"/>
          <w:szCs w:val="29"/>
          <w:color w:val="auto"/>
        </w:rPr>
        <w:t>A. Recitals</w:t>
      </w:r>
    </w:p>
    <w:p>
      <w:pPr>
        <w:spacing w:after="0" w:line="89" w:lineRule="exact"/>
        <w:rPr>
          <w:sz w:val="20"/>
          <w:szCs w:val="20"/>
          <w:color w:val="auto"/>
        </w:rPr>
      </w:pPr>
    </w:p>
    <w:p>
      <w:pPr>
        <w:jc w:val="both"/>
        <w:ind w:left="420"/>
        <w:spacing w:after="0" w:line="244"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Shareholder Value Award and selected the Grantee, an Eligible Employee of the Company or one of its subsidiaries, to receive a Shareholder Value Award for the Award Period January 1, 2015 through December 31, 2016. The applicable terms of the 2002 Plan are incorporated in this Shareholder Value Award by reference, including the definitions of terms contained in the 2002 Plan. This award is granted under Section 6 of the 2002 Plan, “Performance Awards to Eligible Employees,” and shall be considered a form of Performance Award for purposes of interpretation and administration of the award under the 2002 Plan.</w:t>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color w:val="auto"/>
        </w:rPr>
        <w:t>B. Shareholder Value Award</w:t>
      </w:r>
    </w:p>
    <w:p>
      <w:pPr>
        <w:spacing w:after="0" w:line="89" w:lineRule="exact"/>
        <w:rPr>
          <w:sz w:val="20"/>
          <w:szCs w:val="20"/>
          <w:color w:val="auto"/>
        </w:rPr>
      </w:pPr>
    </w:p>
    <w:p>
      <w:pPr>
        <w:jc w:val="both"/>
        <w:ind w:left="420"/>
        <w:spacing w:after="0" w:line="261" w:lineRule="auto"/>
        <w:rPr>
          <w:sz w:val="20"/>
          <w:szCs w:val="20"/>
          <w:color w:val="auto"/>
        </w:rPr>
      </w:pPr>
      <w:r>
        <w:rPr>
          <w:rFonts w:ascii="Arial" w:cs="Arial" w:eastAsia="Arial" w:hAnsi="Arial"/>
          <w:sz w:val="21"/>
          <w:szCs w:val="21"/>
          <w:color w:val="auto"/>
        </w:rPr>
        <w:t>Lilly grants to the Grantee the right to acquire Lilly Stock by issuance or transfer to the Grantee of the Performance Shares to which he or she is entitled under this Shareholder Value Award, subject to certain restrictions and on the terms and conditions contained in this Shareholder Value Award and the 2002 Plan. In the event of any conflict between the terms of the 2002 Plan and this Shareholder Value Award, the terms of the 2002 Plan shall govern.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1. Statement of Award Period</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Award Period shall begin January 1, 2015 and end December 31,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2. Number of Shares</w:t>
      </w:r>
    </w:p>
    <w:p>
      <w:pPr>
        <w:spacing w:after="0" w:line="99" w:lineRule="exact"/>
        <w:rPr>
          <w:sz w:val="20"/>
          <w:szCs w:val="20"/>
          <w:color w:val="auto"/>
        </w:rPr>
      </w:pPr>
    </w:p>
    <w:p>
      <w:pPr>
        <w:jc w:val="both"/>
        <w:ind w:left="400"/>
        <w:spacing w:after="0" w:line="244" w:lineRule="auto"/>
        <w:rPr>
          <w:sz w:val="20"/>
          <w:szCs w:val="20"/>
          <w:color w:val="auto"/>
        </w:rPr>
      </w:pPr>
      <w:r>
        <w:rPr>
          <w:rFonts w:ascii="Arial" w:cs="Arial" w:eastAsia="Arial" w:hAnsi="Arial"/>
          <w:sz w:val="22"/>
          <w:szCs w:val="22"/>
          <w:color w:val="auto"/>
        </w:rPr>
        <w:t>The target number of Performance Shares for the Award Period shall be determined by the value approved by the Grantee’s supervisor, multiplied by the percentage determined by the Committee to be granted as a Shareholder Value Award, divided by the grant fair value determined in accordance with accounting principles currently applicable in the United States, rounded to the nearest full share. Target shares are set at Level 4. The remaining columns of the table on the first page of this Shareholder Value Award are multiples of the target shares as set forth in the % of Target row and correspond to the applicable stock price, subject to adjustment as provided below in this Section or in Section 8. Grantees may view their Shareholder Value Award by logging on to the Merrill Lynch website at http://myequity.lilly.com beginning March 1 of each grant year.</w:t>
      </w:r>
    </w:p>
    <w:p>
      <w:pPr>
        <w:spacing w:after="0" w:line="211" w:lineRule="exact"/>
        <w:rPr>
          <w:sz w:val="20"/>
          <w:szCs w:val="20"/>
          <w:color w:val="auto"/>
        </w:rPr>
      </w:pPr>
    </w:p>
    <w:p>
      <w:pPr>
        <w:jc w:val="both"/>
        <w:ind w:left="420"/>
        <w:spacing w:after="0" w:line="245" w:lineRule="auto"/>
        <w:rPr>
          <w:sz w:val="20"/>
          <w:szCs w:val="20"/>
          <w:color w:val="auto"/>
        </w:rPr>
      </w:pPr>
      <w:r>
        <w:rPr>
          <w:rFonts w:ascii="Arial" w:cs="Arial" w:eastAsia="Arial" w:hAnsi="Arial"/>
          <w:sz w:val="22"/>
          <w:szCs w:val="22"/>
          <w:color w:val="auto"/>
        </w:rPr>
        <w:t>The number of Performance Shares for the Award Period and the final stock price as described in Section 3 below, shall be subject to adjustment in accordance with the provisions of Section 4(b) of the 2002 Plan for certain corporate recapitalizations and other events. A fractional share resulting from such adjustment shall in the discretion of the Committee either be paid in cash or rounded.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3. Computation of Final Stock Price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Final Stock Price shall be computed in accordance with Section 16 and using the following procedures:</w:t>
      </w:r>
    </w:p>
    <w:p>
      <w:pPr>
        <w:spacing w:after="0" w:line="220" w:lineRule="exact"/>
        <w:rPr>
          <w:sz w:val="20"/>
          <w:szCs w:val="20"/>
          <w:color w:val="auto"/>
        </w:rPr>
      </w:pPr>
    </w:p>
    <w:p>
      <w:pPr>
        <w:ind w:left="740" w:right="20" w:hanging="247"/>
        <w:spacing w:after="0" w:line="249" w:lineRule="auto"/>
        <w:rPr>
          <w:sz w:val="20"/>
          <w:szCs w:val="20"/>
          <w:color w:val="auto"/>
        </w:rPr>
      </w:pPr>
      <w:r>
        <w:rPr>
          <w:rFonts w:ascii="Arial" w:cs="Arial" w:eastAsia="Arial" w:hAnsi="Arial"/>
          <w:sz w:val="22"/>
          <w:szCs w:val="22"/>
          <w:color w:val="auto"/>
        </w:rPr>
        <w:t>a. The closing price for Lilly Stock on the New York Stock Exchange for each trading day during the last two calendar months of the Award Period will be collected and recorded.</w:t>
      </w:r>
    </w:p>
    <w:p>
      <w:pPr>
        <w:spacing w:after="0" w:line="204" w:lineRule="exact"/>
        <w:rPr>
          <w:sz w:val="20"/>
          <w:szCs w:val="20"/>
          <w:color w:val="auto"/>
        </w:rPr>
      </w:pPr>
    </w:p>
    <w:p>
      <w:pPr>
        <w:ind w:left="740" w:hanging="247"/>
        <w:spacing w:after="0" w:line="249" w:lineRule="auto"/>
        <w:rPr>
          <w:sz w:val="20"/>
          <w:szCs w:val="20"/>
          <w:color w:val="auto"/>
        </w:rPr>
      </w:pPr>
      <w:r>
        <w:rPr>
          <w:rFonts w:ascii="Arial" w:cs="Arial" w:eastAsia="Arial" w:hAnsi="Arial"/>
          <w:sz w:val="22"/>
          <w:szCs w:val="22"/>
          <w:color w:val="auto"/>
        </w:rPr>
        <w:t>b. The stock price used to determine the payout level will be the average of the closing stock prices collected in subsection (a) above rounded to the nearest cent.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4. Determination and Announcement of Award</w:t>
      </w:r>
    </w:p>
    <w:p>
      <w:pPr>
        <w:spacing w:after="0" w:line="99" w:lineRule="exact"/>
        <w:rPr>
          <w:sz w:val="20"/>
          <w:szCs w:val="20"/>
          <w:color w:val="auto"/>
        </w:rPr>
      </w:pPr>
    </w:p>
    <w:p>
      <w:pPr>
        <w:ind w:left="420"/>
        <w:spacing w:after="0" w:line="249" w:lineRule="auto"/>
        <w:rPr>
          <w:sz w:val="20"/>
          <w:szCs w:val="20"/>
          <w:color w:val="auto"/>
        </w:rPr>
      </w:pPr>
      <w:r>
        <w:rPr>
          <w:rFonts w:ascii="Arial" w:cs="Arial" w:eastAsia="Arial" w:hAnsi="Arial"/>
          <w:sz w:val="22"/>
          <w:szCs w:val="22"/>
          <w:color w:val="auto"/>
        </w:rPr>
        <w:t>After the Final Stock Price for the Award Period is announced, the Final Stock Price and the resulting number of Performance Shares for Grantee (determined in accordance with Sections 2 and 8), together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75" w:right="239" w:bottom="1440" w:gutter="0" w:footer="0" w:header="0"/>
        </w:sectPr>
      </w:pPr>
    </w:p>
    <w:bookmarkStart w:id="172" w:name="page173"/>
    <w:bookmarkEnd w:id="172"/>
    <w:p>
      <w:pPr>
        <w:jc w:val="both"/>
        <w:ind w:left="80" w:right="20"/>
        <w:spacing w:after="0" w:line="249" w:lineRule="auto"/>
        <w:rPr>
          <w:sz w:val="20"/>
          <w:szCs w:val="20"/>
          <w:color w:val="auto"/>
        </w:rPr>
      </w:pPr>
      <w:r>
        <w:rPr>
          <w:rFonts w:ascii="Arial" w:cs="Arial" w:eastAsia="Arial" w:hAnsi="Arial"/>
          <w:sz w:val="22"/>
          <w:szCs w:val="22"/>
          <w:color w:val="auto"/>
        </w:rPr>
        <w:t>with the Committee’s election between cash and Performance Shares under Section 5, shall be communicated to Grantee.</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5. Committee Election to Pay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Award Period or until paid in accordance with Section 6, the Committee may, if it so elects, determine to pay part or all of any Shareholder Value Award in cash in lieu of issuing or transferring Performance Shares. The amount of cash shall be based upon the fair market value of Lilly Stock on a valuation date to be determined by the Committee.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6. Issuance or Transfer of Performance Shares and Payment of Cash Award</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Subject to the provisions of Section 7 and Section 12 below, Lilly shall issue or transfer to the Grantee any Performance Shares to be issued or transferred under Section 4 (and/or pay to the Grantee any cash pursuant to Section 5) within a sixty day period starting the day after the Award Period expiration and ending on the sixtieth day after the Award Period expiration as stated in Section 1. Grantee shall have no rights as a shareholder of Lilly with respect to the shares of Lilly Stock until the shares are issued or transferred on the books of Lilly.</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7. Continued Employment Requirement</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end of the Award Period except as outlined in Section 8 (c), then all rights of the Grantee under this Shareholder Value Award shall terminate with respect to the Award Period. The Company shall incur no liability to Grantee under this Shareholder Value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8. Adjustments for Certain Employment Status Changes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Award Period. Unless the Committee determines, in its sole discretion, that such adjustments are not advisable after consideration of employment laws in the country where the Grantee resides, the number of Performance Shares shall be adjusted for changes in employment status during the Award Period as follows:</w:t>
      </w:r>
    </w:p>
    <w:p>
      <w:pPr>
        <w:spacing w:after="0" w:line="186" w:lineRule="exact"/>
        <w:rPr>
          <w:sz w:val="20"/>
          <w:szCs w:val="20"/>
          <w:color w:val="auto"/>
        </w:rPr>
      </w:pPr>
    </w:p>
    <w:p>
      <w:pPr>
        <w:jc w:val="both"/>
        <w:ind w:left="400" w:hanging="247"/>
        <w:spacing w:after="0" w:line="257"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i w:val="1"/>
          <w:iCs w:val="1"/>
          <w:color w:val="auto"/>
        </w:rPr>
        <w:t>.</w:t>
      </w:r>
      <w:r>
        <w:rPr>
          <w:rFonts w:ascii="Arial" w:cs="Arial" w:eastAsia="Arial" w:hAnsi="Arial"/>
          <w:sz w:val="22"/>
          <w:szCs w:val="22"/>
          <w:color w:val="auto"/>
        </w:rPr>
        <w:t xml:space="preserve"> The number of Performance Shares shall be reduced proportionally for any portion of the total days in the Award Period during which the Grantee is on an approved unpaid leave of absence longer than ninety (90) days.</w:t>
      </w:r>
    </w:p>
    <w:p>
      <w:pPr>
        <w:spacing w:after="0" w:line="173" w:lineRule="exact"/>
        <w:rPr>
          <w:sz w:val="20"/>
          <w:szCs w:val="20"/>
          <w:color w:val="auto"/>
        </w:rPr>
      </w:pPr>
    </w:p>
    <w:p>
      <w:pPr>
        <w:jc w:val="both"/>
        <w:ind w:left="400" w:hanging="247"/>
        <w:spacing w:after="0" w:line="247"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i w:val="1"/>
          <w:iCs w:val="1"/>
          <w:color w:val="auto"/>
        </w:rPr>
        <w:t>.</w:t>
      </w:r>
      <w:r>
        <w:rPr>
          <w:rFonts w:ascii="Arial" w:cs="Arial" w:eastAsia="Arial" w:hAnsi="Arial"/>
          <w:sz w:val="22"/>
          <w:szCs w:val="22"/>
          <w:color w:val="auto"/>
        </w:rPr>
        <w:t xml:space="preserve"> The Committee may, at its discretion, cancel this Shareholder Value Award or reduce the number of Performance Shares, prorated according to time or other measure as determined appropriate by the Committee, if during any portion of the Award Period the Grantee has been (i) demoted to a job classification below those considered by the Committee to be eligible for Shareholder Value Awards, (ii) subject to disciplinary action by the Company, or (iii)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86" w:lineRule="exact"/>
        <w:rPr>
          <w:sz w:val="20"/>
          <w:szCs w:val="20"/>
          <w:color w:val="auto"/>
        </w:rPr>
      </w:pPr>
    </w:p>
    <w:p>
      <w:pPr>
        <w:jc w:val="both"/>
        <w:ind w:left="400" w:right="20" w:hanging="247"/>
        <w:spacing w:after="0" w:line="270"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Retirement, death, disability or termination due to a plant closing or reduction in workforce</w:t>
      </w:r>
      <w:r>
        <w:rPr>
          <w:rFonts w:ascii="Arial" w:cs="Arial" w:eastAsia="Arial" w:hAnsi="Arial"/>
          <w:sz w:val="22"/>
          <w:szCs w:val="22"/>
          <w:i w:val="1"/>
          <w:iCs w:val="1"/>
          <w:color w:val="auto"/>
        </w:rPr>
        <w:t>.</w:t>
      </w:r>
      <w:r>
        <w:rPr>
          <w:rFonts w:ascii="Arial" w:cs="Arial" w:eastAsia="Arial" w:hAnsi="Arial"/>
          <w:sz w:val="22"/>
          <w:szCs w:val="22"/>
          <w:color w:val="auto"/>
        </w:rPr>
        <w:t xml:space="preserve"> In the event the Grantee’s employment is terminated due to retirement as a retiree, death,</w:t>
      </w:r>
    </w:p>
    <w:p>
      <w:pPr>
        <w:spacing w:after="0" w:line="19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580" w:top="390" w:right="239" w:bottom="1440" w:gutter="0" w:footer="0" w:header="0"/>
        </w:sectPr>
      </w:pPr>
    </w:p>
    <w:bookmarkStart w:id="173" w:name="page174"/>
    <w:bookmarkEnd w:id="173"/>
    <w:p>
      <w:pPr>
        <w:jc w:val="both"/>
        <w:ind w:left="400"/>
        <w:spacing w:after="0" w:line="255" w:lineRule="auto"/>
        <w:rPr>
          <w:sz w:val="20"/>
          <w:szCs w:val="20"/>
          <w:color w:val="auto"/>
        </w:rPr>
      </w:pPr>
      <w:r>
        <w:rPr>
          <w:rFonts w:ascii="Arial" w:cs="Arial" w:eastAsia="Arial" w:hAnsi="Arial"/>
          <w:sz w:val="21"/>
          <w:szCs w:val="21"/>
          <w:color w:val="auto"/>
        </w:rPr>
        <w:t>disability, plant closing or reduction in workforce (as defined below), the number of Performance Shares shall be reduced proportionally for the portion of the total days during the Award Period in which the Grantee was not an active employee. Any payment of Performance Shares that have been reduced by operation of this Section 8(c). shall be paid following the Award Period expiration as described in Section 6. A retiree is a person who is</w:t>
      </w:r>
    </w:p>
    <w:p>
      <w:pPr>
        <w:jc w:val="both"/>
        <w:ind w:left="400" w:hanging="3"/>
        <w:spacing w:after="0" w:line="244" w:lineRule="auto"/>
        <w:tabs>
          <w:tab w:leader="none" w:pos="69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retired employee under the Lilly Retirement Plan; (ii) a retired employee under the retirement plan or program of a Lilly subsidiary; or (iii) a retired employee under a retirement program specifically approved by the Committee. Plant closing means the closing of a plant site or other corporate location that directly results in termination of employment. Reduction in workforce means the elimination of a work group, functional or business unit or other broadly applicable reduction in job positions that directly results in termination of employment. The Committee will be responsible for approving, in its discretion, what is classified as disability, a plant closing, or a reduction in workforce.</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9. Notices, Payments, and Electronic Delivery and Participation</w:t>
      </w:r>
    </w:p>
    <w:p>
      <w:pPr>
        <w:spacing w:after="0" w:line="99" w:lineRule="exact"/>
        <w:rPr>
          <w:sz w:val="20"/>
          <w:szCs w:val="20"/>
          <w:color w:val="auto"/>
        </w:rPr>
      </w:pPr>
    </w:p>
    <w:p>
      <w:pPr>
        <w:jc w:val="both"/>
        <w:ind w:left="80"/>
        <w:spacing w:after="0" w:line="257" w:lineRule="auto"/>
        <w:rPr>
          <w:sz w:val="20"/>
          <w:szCs w:val="20"/>
          <w:color w:val="auto"/>
        </w:rPr>
      </w:pPr>
      <w:r>
        <w:rPr>
          <w:rFonts w:ascii="Arial" w:cs="Arial" w:eastAsia="Arial" w:hAnsi="Arial"/>
          <w:sz w:val="21"/>
          <w:szCs w:val="21"/>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Shareholder Value Award and participation in the 2002 Plan by electronic means or request the Grantee’s consent to participate in the 2002 Plan by electronic means. By accepting this Shareholder Value Award, the Grantee hereby consents to receive such documents by electronic delivery and agrees to participate in the 2002 Plan through an on-line or electronic system established and maintained by Lilly or a third party designated by Lilly.</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10. Waiver</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11. Revocation or Modification</w:t>
      </w:r>
    </w:p>
    <w:p>
      <w:pPr>
        <w:spacing w:after="0" w:line="99"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This Shareholder Value Award shall be irrevocable except that Lilly shall have the right to revoke or modify this Shareholder Value Award under Sections 13(e) and/or 13(k) of the 2002 Plan or pursuant to Section 8(b) above.</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12. Responsibility for Taxes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Shareholder Value Award, including the grant of the Shareholder Value Award, the expiration of the Award Period, the transfer and issuance of any Performance Shares or the receipt of any cash payment pursuant to this Shareholder Value Award, the receipt of any dividends and the sale of any</w:t>
      </w: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580" w:top="390" w:right="239" w:bottom="1440" w:gutter="0" w:footer="0" w:header="0"/>
        </w:sectPr>
      </w:pPr>
    </w:p>
    <w:bookmarkStart w:id="174" w:name="page175"/>
    <w:bookmarkEnd w:id="174"/>
    <w:p>
      <w:pPr>
        <w:jc w:val="both"/>
        <w:ind w:left="20"/>
        <w:spacing w:after="0" w:line="244" w:lineRule="auto"/>
        <w:rPr>
          <w:sz w:val="20"/>
          <w:szCs w:val="20"/>
          <w:color w:val="auto"/>
        </w:rPr>
      </w:pPr>
      <w:r>
        <w:rPr>
          <w:rFonts w:ascii="Arial" w:cs="Arial" w:eastAsia="Arial" w:hAnsi="Arial"/>
          <w:sz w:val="22"/>
          <w:szCs w:val="22"/>
          <w:color w:val="auto"/>
        </w:rPr>
        <w:t>Performance Shares acquired pursuant to this Shareholder Value Award; and (b) do not commit to and are under no obligation to structure the terms of the grant or any aspect of the Shareholder Value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212" w:lineRule="exact"/>
        <w:rPr>
          <w:sz w:val="20"/>
          <w:szCs w:val="20"/>
          <w:color w:val="auto"/>
        </w:rPr>
      </w:pPr>
    </w:p>
    <w:p>
      <w:pPr>
        <w:jc w:val="both"/>
        <w:ind w:left="40"/>
        <w:spacing w:after="0" w:line="249"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45" w:lineRule="exact"/>
        <w:rPr>
          <w:sz w:val="20"/>
          <w:szCs w:val="20"/>
          <w:color w:val="auto"/>
        </w:rPr>
      </w:pPr>
    </w:p>
    <w:p>
      <w:pPr>
        <w:jc w:val="both"/>
        <w:ind w:left="340" w:hanging="334"/>
        <w:spacing w:after="0" w:line="245" w:lineRule="auto"/>
        <w:tabs>
          <w:tab w:leader="none" w:pos="3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Performance Shares, the Grantee authorizes the Company and/or the Employer, or their respective agents, at their discretion, to satisfy any obligation for Tax-Related Items by withholding from the cash amount paid to the Grantee pursuant to the Shareholder Value Award or from the Grantee’s wages or other cash compensation paid to the Grantee by the Company and/or the Employer.</w:t>
      </w:r>
    </w:p>
    <w:p>
      <w:pPr>
        <w:spacing w:after="0" w:line="207" w:lineRule="exact"/>
        <w:rPr>
          <w:rFonts w:ascii="Arial" w:cs="Arial" w:eastAsia="Arial" w:hAnsi="Arial"/>
          <w:sz w:val="22"/>
          <w:szCs w:val="22"/>
          <w:color w:val="auto"/>
        </w:rPr>
      </w:pPr>
    </w:p>
    <w:p>
      <w:pPr>
        <w:jc w:val="both"/>
        <w:ind w:left="340" w:hanging="334"/>
        <w:spacing w:after="0" w:line="255" w:lineRule="auto"/>
        <w:tabs>
          <w:tab w:leader="none" w:pos="3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the Shareholder Value Award is paid to the Grantee in Performance Shares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Performance Shares to be issued upon the expiration of the Award Period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w:t>
      </w:r>
    </w:p>
    <w:p>
      <w:pPr>
        <w:ind w:left="340" w:hanging="10"/>
        <w:spacing w:after="0" w:line="249" w:lineRule="auto"/>
        <w:tabs>
          <w:tab w:leader="none" w:pos="73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withhold in Performance Shares otherwise issuable to the Grantee pursuant to this Shareholder Value Award.</w:t>
      </w:r>
    </w:p>
    <w:p>
      <w:pPr>
        <w:spacing w:after="0" w:line="204" w:lineRule="exact"/>
        <w:rPr>
          <w:rFonts w:ascii="Arial" w:cs="Arial" w:eastAsia="Arial" w:hAnsi="Arial"/>
          <w:sz w:val="22"/>
          <w:szCs w:val="22"/>
          <w:color w:val="auto"/>
        </w:rPr>
      </w:pPr>
    </w:p>
    <w:p>
      <w:pPr>
        <w:jc w:val="both"/>
        <w:ind w:left="340" w:hanging="334"/>
        <w:spacing w:after="0" w:line="244" w:lineRule="auto"/>
        <w:tabs>
          <w:tab w:leader="none" w:pos="340"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If the Shareholder Value Award is paid to the Grantee in Performance Shares and the Grantee is subject to the short-swing profit rules of Section 16(b) of the 1934 Act, Lilly will withhold in Performance Shares otherwise issuable to the Grantee pursuant to this Shareholder Value Award, unless the use of such withholding method is prevented by applicable law or has materially adverse accounting or tax consequences, in which case the withholding obligation for Tax-Related Items may be satisfied by one or a combination of the methods set forth in Section 12(b)(i) and (ii) above.</w:t>
      </w:r>
    </w:p>
    <w:p>
      <w:pPr>
        <w:spacing w:after="0" w:line="213" w:lineRule="exact"/>
        <w:rPr>
          <w:sz w:val="20"/>
          <w:szCs w:val="20"/>
          <w:color w:val="auto"/>
        </w:rPr>
      </w:pPr>
    </w:p>
    <w:p>
      <w:pPr>
        <w:jc w:val="both"/>
        <w:ind w:left="40"/>
        <w:spacing w:after="0" w:line="256" w:lineRule="auto"/>
        <w:rPr>
          <w:sz w:val="20"/>
          <w:szCs w:val="20"/>
          <w:color w:val="auto"/>
        </w:rPr>
      </w:pPr>
      <w:r>
        <w:rPr>
          <w:rFonts w:ascii="Arial" w:cs="Arial" w:eastAsia="Arial" w:hAnsi="Arial"/>
          <w:sz w:val="21"/>
          <w:szCs w:val="21"/>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Performance Shares. If the obligation for Tax Related Items is satisfied by withholding Performance Shares as described in Section 12(b)(iii) or Section 12(c) above, for tax purposes, the Grantee will be deemed to have been issued the full number of Performance Shares to which he or she is entitled pursuant to this Shareholder Value Award, notwithstanding that a number of Performance Shares are withheld to satisfy the obligation for Tax Related Items. Lilly may require Grantee to pay Lilly and/or the Employer any amount of Tax Related Items that Lilly and/or the Employer may be required to withhold or account for as a result of any aspect of this Shareholder Value Award that cannot be satisfied by the means previously described. Lilly may refuse to deliver Performance Shares or any cash payment to the Grantee if the Grantee fails to comply with the Grantee’s obligation in connection with the Tax Related Items as described in this Section 12.</w:t>
      </w:r>
    </w:p>
    <w:p>
      <w:pPr>
        <w:spacing w:after="0" w:line="21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40"/>
          </w:cols>
          <w:pgMar w:left="620" w:top="390" w:right="239" w:bottom="1440" w:gutter="0" w:footer="0" w:header="0"/>
        </w:sectPr>
      </w:pPr>
    </w:p>
    <w:bookmarkStart w:id="175" w:name="page176"/>
    <w:bookmarkEnd w:id="175"/>
    <w:p>
      <w:pPr>
        <w:spacing w:after="0"/>
        <w:rPr>
          <w:sz w:val="20"/>
          <w:szCs w:val="20"/>
          <w:color w:val="auto"/>
        </w:rPr>
      </w:pPr>
      <w:r>
        <w:rPr>
          <w:rFonts w:ascii="Arial" w:cs="Arial" w:eastAsia="Arial" w:hAnsi="Arial"/>
          <w:sz w:val="23"/>
          <w:szCs w:val="23"/>
          <w:b w:val="1"/>
          <w:bCs w:val="1"/>
          <w:color w:val="auto"/>
        </w:rPr>
        <w:t>Section 13. Section 409A Compliance</w:t>
      </w:r>
    </w:p>
    <w:p>
      <w:pPr>
        <w:spacing w:after="0" w:line="99" w:lineRule="exact"/>
        <w:rPr>
          <w:sz w:val="20"/>
          <w:szCs w:val="20"/>
          <w:color w:val="auto"/>
        </w:rPr>
      </w:pPr>
    </w:p>
    <w:p>
      <w:pPr>
        <w:jc w:val="both"/>
        <w:ind w:left="80"/>
        <w:spacing w:after="0" w:line="259" w:lineRule="auto"/>
        <w:rPr>
          <w:sz w:val="20"/>
          <w:szCs w:val="20"/>
          <w:color w:val="auto"/>
        </w:rPr>
      </w:pPr>
      <w:r>
        <w:rPr>
          <w:rFonts w:ascii="Arial" w:cs="Arial" w:eastAsia="Arial" w:hAnsi="Arial"/>
          <w:sz w:val="21"/>
          <w:szCs w:val="21"/>
          <w:color w:val="auto"/>
        </w:rPr>
        <w:t>To the extent applicable, it is intended that this Shareholder Value Award comply with the requirements of Section 409A of the U.S. Internal Revenue Code of 1986, as amended and the Treasury Regulations and other guidance issued thereunder (“Section 409A”), and this Shareholder Value Award shall be interpreted and applied by the Committee in a manner consistent with this intent in order to avoid the imposition of any additional tax under Section 409A. This Shareholder Value Award is subject to Section 13(k) of the 2002 Plan concerning Section 409A.</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14. Prohibition Against Transfer</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right of a Grantee to receive Performance Shares (or the payment of the cash equivalent) under this Shareholder Value Award may not be transferred except by operation of law to a duly appointed guardian of the estate of Grantee or to a Successor Grantee by will or the applicable laws of descent and distribution and then only subject to the provisions of Sections 7 and 8. A Grantee may not assign, sell, pledge or otherwise transfer Performance Shares or cash to which he or she may be entitled hereunder prior to transfer or payment thereof to the Grantee, and any such attempted assignment, sale, pledge or transfer shall be void.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15. Severability and Section Headings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Shareholder Value Award and the 2002 Plan.</w:t>
      </w:r>
    </w:p>
    <w:p>
      <w:pPr>
        <w:spacing w:after="0" w:line="213"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 Determinations by Committee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the Final Stock Price, (b) whether to make an exception to the rule of Section 7 or adjustments under Section 2 or Section 3, and (c) what constitutes “misconduct” for purposes of Section 26 below and any other determinations under Section 26, shall be final and binding on the Grantee and any Successor Grantee.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17. Change in Control</w:t>
      </w:r>
    </w:p>
    <w:p>
      <w:pPr>
        <w:spacing w:after="0" w:line="99" w:lineRule="exact"/>
        <w:rPr>
          <w:sz w:val="20"/>
          <w:szCs w:val="20"/>
          <w:color w:val="auto"/>
        </w:rPr>
      </w:pPr>
    </w:p>
    <w:p>
      <w:pPr>
        <w:ind w:left="80" w:right="680"/>
        <w:spacing w:after="0" w:line="249" w:lineRule="auto"/>
        <w:rPr>
          <w:sz w:val="20"/>
          <w:szCs w:val="20"/>
          <w:color w:val="auto"/>
        </w:rPr>
      </w:pPr>
      <w:r>
        <w:rPr>
          <w:rFonts w:ascii="Arial" w:cs="Arial" w:eastAsia="Arial" w:hAnsi="Arial"/>
          <w:sz w:val="22"/>
          <w:szCs w:val="22"/>
          <w:color w:val="auto"/>
        </w:rPr>
        <w:t>The provisions of Section 12(a)(iii) of the 2002 Plan apply to this Shareholder Value Award with the following modifications:</w:t>
      </w:r>
    </w:p>
    <w:p>
      <w:pPr>
        <w:spacing w:after="0" w:line="204" w:lineRule="exact"/>
        <w:rPr>
          <w:sz w:val="20"/>
          <w:szCs w:val="20"/>
          <w:color w:val="auto"/>
        </w:rPr>
      </w:pPr>
    </w:p>
    <w:p>
      <w:pPr>
        <w:jc w:val="both"/>
        <w:ind w:left="400" w:hanging="256"/>
        <w:spacing w:after="0" w:line="246" w:lineRule="auto"/>
        <w:rPr>
          <w:sz w:val="20"/>
          <w:szCs w:val="20"/>
          <w:color w:val="auto"/>
        </w:rPr>
      </w:pPr>
      <w:r>
        <w:rPr>
          <w:rFonts w:ascii="Arial" w:cs="Arial" w:eastAsia="Arial" w:hAnsi="Arial"/>
          <w:sz w:val="22"/>
          <w:szCs w:val="22"/>
          <w:color w:val="auto"/>
        </w:rPr>
        <w:t>a. The only Change in Control event that shall result in a payment under Section 12(a)(iii) of the 2002 Plan shall be consummation of a change in ownership of the Company as defined in Section 12(b)(i) of the 2002 Plan (a “Transaction”).</w:t>
      </w:r>
    </w:p>
    <w:p>
      <w:pPr>
        <w:spacing w:after="0" w:line="208" w:lineRule="exact"/>
        <w:rPr>
          <w:sz w:val="20"/>
          <w:szCs w:val="20"/>
          <w:color w:val="auto"/>
        </w:rPr>
      </w:pPr>
    </w:p>
    <w:p>
      <w:pPr>
        <w:jc w:val="both"/>
        <w:ind w:left="400" w:hanging="256"/>
        <w:spacing w:after="0" w:line="245" w:lineRule="auto"/>
        <w:rPr>
          <w:sz w:val="20"/>
          <w:szCs w:val="20"/>
          <w:color w:val="auto"/>
        </w:rPr>
      </w:pPr>
      <w:r>
        <w:rPr>
          <w:rFonts w:ascii="Arial" w:cs="Arial" w:eastAsia="Arial" w:hAnsi="Arial"/>
          <w:sz w:val="22"/>
          <w:szCs w:val="22"/>
          <w:color w:val="auto"/>
        </w:rPr>
        <w:t>b. On the date of the consummation of such Transaction, the Grantee will be paid an amount equal to the product of (a) the Grantee's award opportunity for the Shareholder Value Award based on the value of Lilly Stock established for the consideration to be paid to holders of Lilly Stock in the Transaction, and (b) a fraction, the numerator of which is the number of days that have elapsed since the beginning of the Award Period to the date of the consummation of the</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580" w:top="567" w:right="239" w:bottom="1440" w:gutter="0" w:footer="0" w:header="0"/>
        </w:sectPr>
      </w:pPr>
    </w:p>
    <w:bookmarkStart w:id="176" w:name="page177"/>
    <w:bookmarkEnd w:id="176"/>
    <w:p>
      <w:pPr>
        <w:jc w:val="both"/>
        <w:ind w:left="400"/>
        <w:spacing w:after="0" w:line="245" w:lineRule="auto"/>
        <w:rPr>
          <w:sz w:val="20"/>
          <w:szCs w:val="20"/>
          <w:color w:val="auto"/>
        </w:rPr>
      </w:pPr>
      <w:r>
        <w:rPr>
          <w:rFonts w:ascii="Arial" w:cs="Arial" w:eastAsia="Arial" w:hAnsi="Arial"/>
          <w:sz w:val="22"/>
          <w:szCs w:val="22"/>
          <w:color w:val="auto"/>
        </w:rPr>
        <w:t>Transaction and the denominator of which is the total number of days in the Award Period. The payment shall be made in the form of shares of Lilly Stock immediately prior to the consummation of the Transaction in order to allow the Lilly Stock to be outstanding and for the Grantee to be eligible to receive the consideration being paid to Lilly shareholders in connection with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18. Grantee’s Acknowledgements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Shareholder Value Award, the Grantee acknowledges, understands and agrees that:</w:t>
      </w:r>
    </w:p>
    <w:p>
      <w:pPr>
        <w:spacing w:after="0" w:line="220" w:lineRule="exact"/>
        <w:rPr>
          <w:sz w:val="20"/>
          <w:szCs w:val="20"/>
          <w:color w:val="auto"/>
        </w:rPr>
      </w:pPr>
    </w:p>
    <w:p>
      <w:pPr>
        <w:jc w:val="both"/>
        <w:ind w:left="400" w:hanging="242"/>
        <w:spacing w:after="0" w:line="249"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b. the Shareholder Value Award is voluntary and occasional and does not create any contractual or other right to receive future Shareholder Value Awards, or benefits in lieu of Shareholder Value Awards , even if Shareholder Value Awards have been granted in the past;</w:t>
      </w:r>
    </w:p>
    <w:p>
      <w:pPr>
        <w:spacing w:after="0" w:line="208" w:lineRule="exact"/>
        <w:rPr>
          <w:sz w:val="20"/>
          <w:szCs w:val="20"/>
          <w:color w:val="auto"/>
        </w:rPr>
      </w:pPr>
    </w:p>
    <w:p>
      <w:pPr>
        <w:jc w:val="both"/>
        <w:ind w:left="400" w:right="20" w:hanging="242"/>
        <w:spacing w:after="0" w:line="249" w:lineRule="auto"/>
        <w:rPr>
          <w:sz w:val="20"/>
          <w:szCs w:val="20"/>
          <w:color w:val="auto"/>
        </w:rPr>
      </w:pPr>
      <w:r>
        <w:rPr>
          <w:rFonts w:ascii="Arial" w:cs="Arial" w:eastAsia="Arial" w:hAnsi="Arial"/>
          <w:sz w:val="22"/>
          <w:szCs w:val="22"/>
          <w:color w:val="auto"/>
        </w:rPr>
        <w:t>c. all decisions with respect to future grants of Shareholder Value Awards or other grants, if any, will be at the sole discretion of Lilly;</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 the Grantee’s participation in the 2002 Plan is voluntary;</w:t>
      </w:r>
    </w:p>
    <w:p>
      <w:pPr>
        <w:spacing w:after="0" w:line="220" w:lineRule="exact"/>
        <w:rPr>
          <w:sz w:val="20"/>
          <w:szCs w:val="20"/>
          <w:color w:val="auto"/>
        </w:rPr>
      </w:pPr>
    </w:p>
    <w:p>
      <w:pPr>
        <w:jc w:val="both"/>
        <w:ind w:left="400" w:hanging="242"/>
        <w:spacing w:after="0" w:line="249" w:lineRule="auto"/>
        <w:rPr>
          <w:sz w:val="20"/>
          <w:szCs w:val="20"/>
          <w:color w:val="auto"/>
        </w:rPr>
      </w:pPr>
      <w:r>
        <w:rPr>
          <w:rFonts w:ascii="Arial" w:cs="Arial" w:eastAsia="Arial" w:hAnsi="Arial"/>
          <w:sz w:val="22"/>
          <w:szCs w:val="22"/>
          <w:color w:val="auto"/>
        </w:rPr>
        <w:t>e. the Shareholder Value Award and any Performance Shares are not intended to replace any pension rights or compensation;</w:t>
      </w:r>
    </w:p>
    <w:p>
      <w:pPr>
        <w:spacing w:after="0" w:line="204" w:lineRule="exact"/>
        <w:rPr>
          <w:sz w:val="20"/>
          <w:szCs w:val="20"/>
          <w:color w:val="auto"/>
        </w:rPr>
      </w:pPr>
    </w:p>
    <w:p>
      <w:pPr>
        <w:jc w:val="both"/>
        <w:ind w:left="400" w:hanging="246"/>
        <w:spacing w:after="0" w:line="245" w:lineRule="auto"/>
        <w:tabs>
          <w:tab w:leader="none" w:pos="4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Shareholder Value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209" w:lineRule="exact"/>
        <w:rPr>
          <w:rFonts w:ascii="Arial" w:cs="Arial" w:eastAsia="Arial" w:hAnsi="Arial"/>
          <w:sz w:val="22"/>
          <w:szCs w:val="22"/>
          <w:color w:val="auto"/>
        </w:rPr>
      </w:pPr>
    </w:p>
    <w:p>
      <w:pPr>
        <w:jc w:val="both"/>
        <w:ind w:left="400" w:hanging="246"/>
        <w:spacing w:after="0" w:line="245" w:lineRule="auto"/>
        <w:tabs>
          <w:tab w:leader="none" w:pos="4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neither the Shareholder Value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Shareholder Value Award shall not be interpreted to form an employment contract or relationship with Lilly or any subsidiary of Lilly;</w:t>
      </w:r>
    </w:p>
    <w:p>
      <w:pPr>
        <w:spacing w:after="0" w:line="207" w:lineRule="exact"/>
        <w:rPr>
          <w:rFonts w:ascii="Arial" w:cs="Arial" w:eastAsia="Arial" w:hAnsi="Arial"/>
          <w:sz w:val="22"/>
          <w:szCs w:val="22"/>
          <w:color w:val="auto"/>
        </w:rPr>
      </w:pPr>
    </w:p>
    <w:p>
      <w:pPr>
        <w:ind w:left="400" w:hanging="246"/>
        <w:spacing w:after="0" w:line="249" w:lineRule="auto"/>
        <w:tabs>
          <w:tab w:leader="none" w:pos="4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future value of the underlying Performance Shares is unknown, indeterminable and cannot be predicted with certainty;</w:t>
      </w:r>
    </w:p>
    <w:p>
      <w:pPr>
        <w:spacing w:after="0" w:line="204" w:lineRule="exact"/>
        <w:rPr>
          <w:rFonts w:ascii="Arial" w:cs="Arial" w:eastAsia="Arial" w:hAnsi="Arial"/>
          <w:sz w:val="22"/>
          <w:szCs w:val="22"/>
          <w:color w:val="auto"/>
        </w:rPr>
      </w:pPr>
    </w:p>
    <w:p>
      <w:pPr>
        <w:ind w:left="400" w:hanging="246"/>
        <w:spacing w:after="0" w:line="249" w:lineRule="auto"/>
        <w:tabs>
          <w:tab w:leader="none" w:pos="4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value of any Performance Shares acquired upon expiration of the Award Period may increase or decrease, even below the tax valuation price;</w:t>
      </w:r>
    </w:p>
    <w:p>
      <w:pPr>
        <w:spacing w:after="0" w:line="204" w:lineRule="exact"/>
        <w:rPr>
          <w:rFonts w:ascii="Arial" w:cs="Arial" w:eastAsia="Arial" w:hAnsi="Arial"/>
          <w:sz w:val="22"/>
          <w:szCs w:val="22"/>
          <w:color w:val="auto"/>
        </w:rPr>
      </w:pPr>
    </w:p>
    <w:p>
      <w:pPr>
        <w:jc w:val="both"/>
        <w:ind w:left="400" w:hanging="246"/>
        <w:spacing w:after="0" w:line="244" w:lineRule="auto"/>
        <w:tabs>
          <w:tab w:leader="none" w:pos="4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Shareholder Value Award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 and, in consideration of the grant of the Shareholder Value Award to which the Grantee is otherwise not entitled, the Grantee agrees never to institute any claim against the Company, any subsidiary of Lilly or the Employer, waives the ability, if any, to bring any such claim and releases the Company, its subsidiaries and the Employer from any such claim; if, notwithstanding the foregoing, any such claim is allowed by</w:t>
      </w: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580" w:top="390" w:right="239" w:bottom="1440" w:gutter="0" w:footer="0" w:header="0"/>
        </w:sectPr>
      </w:pPr>
    </w:p>
    <w:bookmarkStart w:id="177" w:name="page178"/>
    <w:bookmarkEnd w:id="177"/>
    <w:p>
      <w:pPr>
        <w:jc w:val="both"/>
        <w:ind w:left="400"/>
        <w:spacing w:after="0" w:line="246" w:lineRule="auto"/>
        <w:rPr>
          <w:sz w:val="20"/>
          <w:szCs w:val="20"/>
          <w:color w:val="auto"/>
        </w:rPr>
      </w:pPr>
      <w:r>
        <w:rPr>
          <w:rFonts w:ascii="Arial" w:cs="Arial" w:eastAsia="Arial" w:hAnsi="Arial"/>
          <w:sz w:val="22"/>
          <w:szCs w:val="22"/>
          <w:color w:val="auto"/>
        </w:rPr>
        <w:t>a court of competent jurisdiction, then, by participating in the 2002 Plan, the Grantee will be deemed irrevocably to have agreed not to pursue such claim and agrees to execute any and all documents necessary to request dismissal or withdrawal of such claim;</w:t>
      </w:r>
    </w:p>
    <w:p>
      <w:pPr>
        <w:spacing w:after="0" w:line="208" w:lineRule="exact"/>
        <w:rPr>
          <w:sz w:val="20"/>
          <w:szCs w:val="20"/>
          <w:color w:val="auto"/>
        </w:rPr>
      </w:pPr>
    </w:p>
    <w:p>
      <w:pPr>
        <w:jc w:val="both"/>
        <w:ind w:left="400" w:hanging="242"/>
        <w:spacing w:after="0" w:line="244" w:lineRule="auto"/>
        <w:rPr>
          <w:sz w:val="20"/>
          <w:szCs w:val="20"/>
          <w:color w:val="auto"/>
        </w:rPr>
      </w:pPr>
      <w:r>
        <w:rPr>
          <w:rFonts w:ascii="Arial" w:cs="Arial" w:eastAsia="Arial" w:hAnsi="Arial"/>
          <w:sz w:val="22"/>
          <w:szCs w:val="22"/>
          <w:color w:val="auto"/>
        </w:rPr>
        <w:t>k. for purposes of the Shareholder Value Award, the Grantee’s employment will be considered terminated as of the date he or she is no longer actively providing services to Lilly or a subsidiary of Lilly and the Grantee’s right, if any, to earn and be paid any portion of the Shareholder Value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Shareholder Value Award (including whether the Grantee may still be considered to be actively providing services while on a leave of absence);</w:t>
      </w:r>
    </w:p>
    <w:p>
      <w:pPr>
        <w:spacing w:after="0" w:line="209" w:lineRule="exact"/>
        <w:rPr>
          <w:sz w:val="20"/>
          <w:szCs w:val="20"/>
          <w:color w:val="auto"/>
        </w:rPr>
      </w:pPr>
    </w:p>
    <w:p>
      <w:pPr>
        <w:ind w:left="400" w:hanging="246"/>
        <w:spacing w:after="0" w:line="249" w:lineRule="auto"/>
        <w:tabs>
          <w:tab w:leader="none" w:pos="4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Shareholder Value Award; and</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Performance Shares subject to, or issued pursuant to, the Shareholder Value Award;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19. No Advice Regarding Grant</w:t>
      </w:r>
    </w:p>
    <w:p>
      <w:pPr>
        <w:spacing w:after="0" w:line="99" w:lineRule="exact"/>
        <w:rPr>
          <w:sz w:val="20"/>
          <w:szCs w:val="20"/>
          <w:color w:val="auto"/>
        </w:rPr>
      </w:pPr>
    </w:p>
    <w:p>
      <w:pPr>
        <w:jc w:val="both"/>
        <w:ind w:left="160"/>
        <w:spacing w:after="0" w:line="245"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Performance Shares. The Grantee is hereby advised to consult with his or her own personal tax, legal and financial advisors regarding the Grantee’s participation in the 2002 Plan before taking any action related to the 2002 Plan.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20. Data Privacy</w:t>
      </w:r>
    </w:p>
    <w:p>
      <w:pPr>
        <w:spacing w:after="0" w:line="77" w:lineRule="exact"/>
        <w:rPr>
          <w:sz w:val="20"/>
          <w:szCs w:val="20"/>
          <w:color w:val="auto"/>
        </w:rPr>
      </w:pPr>
    </w:p>
    <w:p>
      <w:pPr>
        <w:jc w:val="both"/>
        <w:ind w:left="60"/>
        <w:spacing w:after="0" w:line="252"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Shareholder Value Award and any other Award materials by and among, as applicable, the Employer, Lilly, its subsidiaries and its affiliates for the exclusive purpose of implementing, administering and managing the Grantee’s participation in the 2002 Plan.</w:t>
      </w:r>
    </w:p>
    <w:p>
      <w:pPr>
        <w:spacing w:after="0" w:line="180"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Shareholder Value Awards or any other entitlement to shares of stock awarded, canceled, vested, unvested or outstanding in the Grantee’s favor, for the purpose of implementing, administering and managing the 2002 Plan (“Data”).</w:t>
      </w:r>
    </w:p>
    <w:p>
      <w:pPr>
        <w:spacing w:after="0" w:line="187" w:lineRule="exact"/>
        <w:rPr>
          <w:sz w:val="20"/>
          <w:szCs w:val="20"/>
          <w:color w:val="auto"/>
        </w:rPr>
      </w:pPr>
    </w:p>
    <w:p>
      <w:pPr>
        <w:jc w:val="both"/>
        <w:ind w:left="60"/>
        <w:spacing w:after="0" w:line="257"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Lilly in the future, which is assisting in the implementation, administration and management of the 2002 Plan. The Grantee understands that these</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80"/>
          </w:cols>
          <w:pgMar w:left="580" w:top="390" w:right="239" w:bottom="1440" w:gutter="0" w:footer="0" w:header="0"/>
        </w:sectPr>
      </w:pPr>
    </w:p>
    <w:bookmarkStart w:id="178" w:name="page179"/>
    <w:bookmarkEnd w:id="178"/>
    <w:p>
      <w:pPr>
        <w:jc w:val="both"/>
        <w:ind w:left="60"/>
        <w:spacing w:after="0" w:line="245" w:lineRule="auto"/>
        <w:rPr>
          <w:sz w:val="20"/>
          <w:szCs w:val="20"/>
          <w:color w:val="auto"/>
        </w:rPr>
      </w:pPr>
      <w:r>
        <w:rPr>
          <w:rFonts w:ascii="Arial" w:cs="Arial" w:eastAsia="Arial" w:hAnsi="Arial"/>
          <w:sz w:val="22"/>
          <w:szCs w:val="22"/>
          <w:i w:val="1"/>
          <w:iCs w:val="1"/>
          <w:color w:val="auto"/>
        </w:rPr>
        <w:t>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Shareholder Value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21. Effective Date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effective date of this instrument shall be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22. Governing Law and Choice of Venue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validity and construction of this Shareholder Value Award shall be governed by the laws of the State of Indiana, U.S.A. without regard to laws that might cause other law to govern under applicable principles of conflict of laws. For purposes of litigating any dispute that arises under this Shareholder Value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Shareholder Value Award is granted and/or to be performed.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23. Language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24. Imposition of Other Requirements</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relocates to another country, any special terms and conditions applicable to Shareholder Value Awards granted in such country will apply to the Grantee, to the extent the Company determines that the application of such terms and conditions is necessary or advisable for legal or administrative reasons.</w:t>
      </w:r>
    </w:p>
    <w:p>
      <w:pPr>
        <w:spacing w:after="0" w:line="208"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addition, the Company reserves the right to impose other requirements on the Shareholder Value Award and any Performance Shares acquired under the 2002 Plan, to the extent the Company determines it is necessary or advisable for legal or administrative reasons, and to require the Grantee to execute any additional agreements or undertakings that may be necessary to accomplish the foregoing.</w:t>
      </w: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580" w:top="368" w:right="239" w:bottom="1440" w:gutter="0" w:footer="0" w:header="0"/>
        </w:sectPr>
      </w:pPr>
    </w:p>
    <w:bookmarkStart w:id="179" w:name="page180"/>
    <w:bookmarkEnd w:id="179"/>
    <w:p>
      <w:pPr>
        <w:spacing w:after="0"/>
        <w:rPr>
          <w:sz w:val="20"/>
          <w:szCs w:val="20"/>
          <w:color w:val="auto"/>
        </w:rPr>
      </w:pPr>
      <w:r>
        <w:rPr>
          <w:rFonts w:ascii="Arial" w:cs="Arial" w:eastAsia="Arial" w:hAnsi="Arial"/>
          <w:sz w:val="23"/>
          <w:szCs w:val="23"/>
          <w:b w:val="1"/>
          <w:bCs w:val="1"/>
          <w:color w:val="auto"/>
        </w:rPr>
        <w:t>Section 25. Award Subject to Acknowledgement of Acceptance</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Notwithstanding any provisions of this instrument, the Shareholder Value Award is subject to acknowledgement of acceptance by the Grantee prior to 4:00 PM (EDT) April 30, 2015, through the website of Merrill Lynch, the Company’s stock plan administrator. If the Grantee does not acknowledge acceptance of the Award prior to 4:00 PM (EDT) April 30, 2015, the Shareholder Value Award will be cancelled, subject to the Committee’s discretion for unforeseen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26. Compensation Recovery</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Shareholder Value Award has been determined under Section 4 above, the Company reserves the right to and, in appropriate cases, will seek restitution of all or part of any shares of Lilly stock that have been issued or cash that has been paid pursuant to this Shareholder Value Award if:</w:t>
      </w:r>
    </w:p>
    <w:p>
      <w:pPr>
        <w:spacing w:after="0" w:line="210" w:lineRule="exact"/>
        <w:rPr>
          <w:sz w:val="20"/>
          <w:szCs w:val="20"/>
          <w:color w:val="auto"/>
        </w:rPr>
      </w:pPr>
    </w:p>
    <w:p>
      <w:pPr>
        <w:jc w:val="both"/>
        <w:ind w:left="640" w:hanging="485"/>
        <w:spacing w:after="0" w:line="246" w:lineRule="auto"/>
        <w:rPr>
          <w:sz w:val="20"/>
          <w:szCs w:val="20"/>
          <w:color w:val="auto"/>
        </w:rPr>
      </w:pPr>
      <w:r>
        <w:rPr>
          <w:rFonts w:ascii="Arial" w:cs="Arial" w:eastAsia="Arial" w:hAnsi="Arial"/>
          <w:sz w:val="22"/>
          <w:szCs w:val="22"/>
          <w:color w:val="auto"/>
        </w:rPr>
        <w:t>a. (i) the number of Performance Shares or the amount of the cash payment was calculated based, directly or indirectly, upon the achievement of financial results that were subsequently the subject of restatement of all or a portion of the Company’s financial statements;</w:t>
      </w:r>
    </w:p>
    <w:p>
      <w:pPr>
        <w:spacing w:after="0" w:line="208" w:lineRule="exact"/>
        <w:rPr>
          <w:sz w:val="20"/>
          <w:szCs w:val="20"/>
          <w:color w:val="auto"/>
        </w:rPr>
      </w:pPr>
    </w:p>
    <w:p>
      <w:pPr>
        <w:ind w:left="720" w:hanging="323"/>
        <w:spacing w:after="0" w:line="249" w:lineRule="auto"/>
        <w:tabs>
          <w:tab w:leader="none" w:pos="7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204" w:lineRule="exact"/>
        <w:rPr>
          <w:rFonts w:ascii="Arial" w:cs="Arial" w:eastAsia="Arial" w:hAnsi="Arial"/>
          <w:sz w:val="22"/>
          <w:szCs w:val="22"/>
          <w:color w:val="auto"/>
        </w:rPr>
      </w:pPr>
    </w:p>
    <w:p>
      <w:pPr>
        <w:jc w:val="both"/>
        <w:ind w:left="720" w:hanging="323"/>
        <w:spacing w:after="0" w:line="246" w:lineRule="auto"/>
        <w:tabs>
          <w:tab w:leader="none" w:pos="7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number of Performance Shares or the amount of cash payment that would have been issued or paid to the Grantee had the financial results been properly reported would have been lower than the number of Performance Shares actually issued or the amount of cash actually paid.</w:t>
      </w:r>
    </w:p>
    <w:p>
      <w:pPr>
        <w:spacing w:after="0" w:line="208"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b. 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08"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Furthermore, in the event the number of Performance Shares issued or cash paid pursuant to this Shareholder Value Award is determined to have been based on materially inaccurate financial statements or other Company performance measures or on calculation errors (without any misconduct on the part of the Grantee), the Company reserves the right to and, in appropriate cases, will :</w:t>
      </w:r>
    </w:p>
    <w:p>
      <w:pPr>
        <w:spacing w:after="0" w:line="210" w:lineRule="exact"/>
        <w:rPr>
          <w:sz w:val="20"/>
          <w:szCs w:val="20"/>
          <w:color w:val="auto"/>
        </w:rPr>
      </w:pPr>
    </w:p>
    <w:p>
      <w:pPr>
        <w:jc w:val="both"/>
        <w:ind w:left="400" w:hanging="242"/>
        <w:spacing w:after="0" w:line="245" w:lineRule="auto"/>
        <w:rPr>
          <w:sz w:val="20"/>
          <w:szCs w:val="20"/>
          <w:color w:val="auto"/>
        </w:rPr>
      </w:pPr>
      <w:r>
        <w:rPr>
          <w:rFonts w:ascii="Arial" w:cs="Arial" w:eastAsia="Arial" w:hAnsi="Arial"/>
          <w:sz w:val="22"/>
          <w:szCs w:val="22"/>
          <w:color w:val="auto"/>
        </w:rPr>
        <w:t>a. seek restitution of the Performance Shares or cash paid pursuant to this Shareholder Value Award to the extent that the number of Performance Shares issued or the amount paid exceeded the number of Performance Shares that would have been issued or the amount that would have been paid had the inaccuracy or error not occurred, or</w:t>
      </w:r>
    </w:p>
    <w:p>
      <w:pPr>
        <w:spacing w:after="0" w:line="210" w:lineRule="exact"/>
        <w:rPr>
          <w:sz w:val="20"/>
          <w:szCs w:val="20"/>
          <w:color w:val="auto"/>
        </w:rPr>
      </w:pPr>
    </w:p>
    <w:p>
      <w:pPr>
        <w:jc w:val="both"/>
        <w:ind w:left="400" w:right="20" w:hanging="256"/>
        <w:spacing w:after="0" w:line="249" w:lineRule="auto"/>
        <w:rPr>
          <w:sz w:val="20"/>
          <w:szCs w:val="20"/>
          <w:color w:val="auto"/>
        </w:rPr>
      </w:pPr>
      <w:r>
        <w:rPr>
          <w:rFonts w:ascii="Arial" w:cs="Arial" w:eastAsia="Arial" w:hAnsi="Arial"/>
          <w:sz w:val="22"/>
          <w:szCs w:val="22"/>
          <w:color w:val="auto"/>
        </w:rPr>
        <w:t>b. issue additional Performance Shares or make additional payment to the extent that the number of Performance Shares issued or the amount paid was less than the correct amount,</w:t>
      </w:r>
    </w:p>
    <w:p>
      <w:pPr>
        <w:spacing w:after="0" w:line="204"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This Section 26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80"/>
          </w:cols>
          <w:pgMar w:left="580" w:top="567" w:right="239" w:bottom="1440" w:gutter="0" w:footer="0" w:header="0"/>
        </w:sectPr>
      </w:pPr>
    </w:p>
    <w:bookmarkStart w:id="180" w:name="page181"/>
    <w:bookmarkEnd w:id="180"/>
    <w:p>
      <w:pPr>
        <w:spacing w:after="0" w:line="249" w:lineRule="auto"/>
        <w:rPr>
          <w:sz w:val="20"/>
          <w:szCs w:val="20"/>
          <w:color w:val="auto"/>
        </w:rPr>
      </w:pPr>
      <w:r>
        <w:rPr>
          <w:rFonts w:ascii="Arial" w:cs="Arial" w:eastAsia="Arial" w:hAnsi="Arial"/>
          <w:sz w:val="22"/>
          <w:szCs w:val="22"/>
          <w:color w:val="auto"/>
        </w:rPr>
        <w:t>IN WITNESS WHEREOF, Lilly has caused this Shareholder Value Award to be executed and granted in Indianapolis, Indiana, by its proper officer.</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307340</wp:posOffset>
            </wp:positionV>
            <wp:extent cx="1646555" cy="445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465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John C. Lechleiter</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Chairman of the Board, President and</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80"/>
          </w:cols>
          <w:pgMar w:left="580" w:top="390" w:right="239" w:bottom="1440" w:gutter="0" w:footer="0" w:header="0"/>
        </w:sectPr>
      </w:pPr>
    </w:p>
    <w:bookmarkStart w:id="181" w:name="page182"/>
    <w:bookmarkEnd w:id="181"/>
    <w:p>
      <w:pPr>
        <w:jc w:val="center"/>
        <w:ind w:right="-59"/>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r>
      <w:tr>
        <w:trPr>
          <w:trHeight w:val="250"/>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(Dollars in millions)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Consolidated pretax income</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3,000.3</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5,889.3</w:t>
            </w:r>
          </w:p>
        </w:tc>
        <w:tc>
          <w:tcPr>
            <w:tcW w:w="4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5,408.2</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5,349.5</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6,525.2</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Interest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187.1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w:t>
            </w:r>
          </w:p>
        </w:tc>
        <w:tc>
          <w:tcPr>
            <w:tcW w:w="40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198.8</w:t>
            </w:r>
          </w:p>
        </w:tc>
        <w:tc>
          <w:tcPr>
            <w:tcW w:w="3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211.7</w:t>
            </w:r>
          </w:p>
        </w:tc>
        <w:tc>
          <w:tcPr>
            <w:tcW w:w="3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211.5</w:t>
            </w:r>
          </w:p>
        </w:tc>
      </w:tr>
      <w:tr>
        <w:trPr>
          <w:trHeight w:val="270"/>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26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(38.3)</w:t>
            </w:r>
          </w:p>
        </w:tc>
        <w:tc>
          <w:tcPr>
            <w:tcW w:w="34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(24.1)</w:t>
            </w:r>
          </w:p>
        </w:tc>
        <w:tc>
          <w:tcPr>
            <w:tcW w:w="40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(21.0)</w:t>
            </w:r>
          </w:p>
        </w:tc>
        <w:tc>
          <w:tcPr>
            <w:tcW w:w="38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(25.7)</w:t>
            </w:r>
          </w:p>
        </w:tc>
        <w:tc>
          <w:tcPr>
            <w:tcW w:w="32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(26.0)</w:t>
            </w:r>
          </w:p>
        </w:tc>
      </w:tr>
      <w:tr>
        <w:trPr>
          <w:trHeight w:val="277"/>
        </w:trPr>
        <w:tc>
          <w:tcPr>
            <w:tcW w:w="52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3,149.1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5,586.0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5,535.5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6,710.7</w:t>
            </w:r>
          </w:p>
        </w:tc>
      </w:tr>
      <w:tr>
        <w:trPr>
          <w:trHeight w:val="277"/>
        </w:trPr>
        <w:tc>
          <w:tcPr>
            <w:tcW w:w="52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187.1</w:t>
            </w:r>
          </w:p>
        </w:tc>
        <w:tc>
          <w:tcPr>
            <w:tcW w:w="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184.2</w:t>
            </w:r>
          </w:p>
        </w:tc>
        <w:tc>
          <w:tcPr>
            <w:tcW w:w="4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198.8</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211.7</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211.5</w:t>
            </w:r>
          </w:p>
        </w:tc>
      </w:tr>
      <w:tr>
        <w:trPr>
          <w:trHeight w:val="271"/>
        </w:trPr>
        <w:tc>
          <w:tcPr>
            <w:tcW w:w="52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28.1</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26.1</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w:t>
            </w:r>
          </w:p>
        </w:tc>
      </w:tr>
    </w:tbl>
    <w:p>
      <w:pPr>
        <w:spacing w:after="0" w:line="200" w:lineRule="exact"/>
        <w:rPr>
          <w:sz w:val="20"/>
          <w:szCs w:val="20"/>
          <w:color w:val="auto"/>
        </w:rPr>
      </w:pPr>
    </w:p>
    <w:p>
      <w:pPr>
        <w:spacing w:after="0" w:line="339" w:lineRule="exact"/>
        <w:rPr>
          <w:sz w:val="20"/>
          <w:szCs w:val="20"/>
          <w:color w:val="auto"/>
        </w:rPr>
      </w:pPr>
    </w:p>
    <w:p>
      <w:pPr>
        <w:ind w:left="380" w:right="2420" w:hanging="158"/>
        <w:spacing w:after="0" w:line="218" w:lineRule="auto"/>
        <w:tabs>
          <w:tab w:leader="none" w:pos="380"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statements of operations and does not include any interest related to unrecognized tax benefits, which is included in income tax expense.</w:t>
      </w:r>
    </w:p>
    <w:p>
      <w:pPr>
        <w:sectPr>
          <w:pgSz w:w="11900" w:h="16838" w:orient="portrait"/>
          <w:cols w:equalWidth="0" w:num="1">
            <w:col w:w="11360"/>
          </w:cols>
          <w:pgMar w:left="240" w:top="598" w:right="299" w:bottom="1440" w:gutter="0" w:footer="0" w:header="0"/>
        </w:sectPr>
      </w:pPr>
    </w:p>
    <w:bookmarkStart w:id="182" w:name="page183"/>
    <w:bookmarkEnd w:id="182"/>
    <w:p>
      <w:pPr>
        <w:ind w:left="378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2014.</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Agri Stats Brasil Servicos Informacoes Gerenciais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Agri Stats,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240" w:type="dxa"/>
            <w:vAlign w:val="bottom"/>
          </w:tcPr>
          <w:p>
            <w:pPr>
              <w:jc w:val="center"/>
              <w:spacing w:after="0"/>
              <w:rPr>
                <w:sz w:val="20"/>
                <w:szCs w:val="20"/>
                <w:color w:val="auto"/>
              </w:rPr>
            </w:pPr>
            <w:r>
              <w:rPr>
                <w:rFonts w:ascii="Arial" w:cs="Arial" w:eastAsia="Arial" w:hAnsi="Arial"/>
                <w:sz w:val="18"/>
                <w:szCs w:val="18"/>
                <w:color w:val="auto"/>
              </w:rPr>
              <w:t>Peru</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Applied Molecular Evolution,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Avian Holding Group,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Pennsylvania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ChemGen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del Sol Financial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Bangladesh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Bangladesh</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Canada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Netherlands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Rus Ltd.</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Switzerland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Trading (Shanghai)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Elanco-Valquimica,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Dominicana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International Sales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U.S. Virgin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Management,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(B.V.I.) Holding Company Unlimited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Philippines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(Suisse)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and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New Zealand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380"/>
          </w:cols>
          <w:pgMar w:left="280" w:top="576" w:right="23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Eli Lilly Asia,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Benelux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B-H d.o.o.</w:t>
            </w:r>
          </w:p>
        </w:tc>
        <w:tc>
          <w:tcPr>
            <w:tcW w:w="5240" w:type="dxa"/>
            <w:vAlign w:val="bottom"/>
          </w:tcPr>
          <w:p>
            <w:pPr>
              <w:jc w:val="center"/>
              <w:spacing w:after="0"/>
              <w:rPr>
                <w:sz w:val="20"/>
                <w:szCs w:val="20"/>
                <w:color w:val="auto"/>
              </w:rPr>
            </w:pPr>
            <w:r>
              <w:rPr>
                <w:rFonts w:ascii="Arial" w:cs="Arial" w:eastAsia="Arial" w:hAnsi="Arial"/>
                <w:sz w:val="18"/>
                <w:szCs w:val="18"/>
                <w:color w:val="auto"/>
              </w:rPr>
              <w:t>Bosnia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Canada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CR s.r.o.</w:t>
            </w:r>
          </w:p>
        </w:tc>
        <w:tc>
          <w:tcPr>
            <w:tcW w:w="5240" w:type="dxa"/>
            <w:vAlign w:val="bottom"/>
          </w:tcPr>
          <w:p>
            <w:pPr>
              <w:jc w:val="center"/>
              <w:spacing w:after="0"/>
              <w:rPr>
                <w:sz w:val="20"/>
                <w:szCs w:val="20"/>
                <w:color w:val="auto"/>
              </w:rPr>
            </w:pPr>
            <w:r>
              <w:rPr>
                <w:rFonts w:ascii="Arial" w:cs="Arial" w:eastAsia="Arial" w:hAnsi="Arial"/>
                <w:sz w:val="18"/>
                <w:szCs w:val="18"/>
                <w:color w:val="auto"/>
              </w:rPr>
              <w:t>Czech Republic</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Danmark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de Centro America,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Egypt,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Export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Finance,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Ges.m.b.H.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Holdings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240" w:type="dxa"/>
            <w:vAlign w:val="bottom"/>
          </w:tcPr>
          <w:p>
            <w:pPr>
              <w:jc w:val="center"/>
              <w:spacing w:after="0"/>
              <w:rPr>
                <w:sz w:val="20"/>
                <w:szCs w:val="20"/>
                <w:color w:val="auto"/>
              </w:rPr>
            </w:pPr>
            <w:r>
              <w:rPr>
                <w:rFonts w:ascii="Arial" w:cs="Arial" w:eastAsia="Arial" w:hAnsi="Arial"/>
                <w:sz w:val="18"/>
                <w:szCs w:val="18"/>
                <w:color w:val="auto"/>
              </w:rPr>
              <w:t>Croatia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Industries,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Israel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Nigeria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Nigeria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Norge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Norway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Pakistan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Romania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 -- Ireland Branch</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Spain Holding ETVE,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Sweden AB</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Sweden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Trading (Shanghai)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Trading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bl>
    <w:p>
      <w:pPr>
        <w:sectPr>
          <w:pgSz w:w="11900" w:h="16838" w:orient="portrait"/>
          <w:cols w:equalWidth="0" w:num="1">
            <w:col w:w="11380"/>
          </w:cols>
          <w:pgMar w:left="280" w:top="748" w:right="23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Express Markets,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GEMS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GEMS Services S.A. -- CC Branch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Genetics 2014 Corp.</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ICOS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Iisagen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Systems International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Systems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Immuno-Vet Services (Pty) Ltd. South Africa</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IMMUNOVET Services Zambia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Irisfarma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Ivy Animal Health,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Kinsale Financial Services</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LAH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Cayman Holdings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del Caribe,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Holdings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Holdings,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Hungaria KFT</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Ilac Ticaret Limited Sirketi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Pharma Fertigung &amp; Distribution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Pharma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Pharma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Pharma Produktion GmbH &amp; Co. KG</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Trading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USA, LLC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Lilly-NUS Centre for Clinical Pharmacology</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Lohcexc Services Spain,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bl>
    <w:p>
      <w:pPr>
        <w:sectPr>
          <w:pgSz w:w="11900" w:h="16838" w:orient="portrait"/>
          <w:cols w:equalWidth="0" w:num="1">
            <w:col w:w="11380"/>
          </w:cols>
          <w:pgMar w:left="280" w:top="748" w:right="23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20" w:type="dxa"/>
            <w:vAlign w:val="bottom"/>
          </w:tcPr>
          <w:p>
            <w:pPr>
              <w:spacing w:after="0"/>
              <w:rPr>
                <w:sz w:val="17"/>
                <w:szCs w:val="17"/>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20" w:type="dxa"/>
            <w:vAlign w:val="bottom"/>
          </w:tcPr>
          <w:p>
            <w:pPr>
              <w:spacing w:after="0"/>
              <w:rPr>
                <w:sz w:val="20"/>
                <w:szCs w:val="20"/>
                <w:color w:val="auto"/>
              </w:rPr>
            </w:pPr>
            <w:r>
              <w:rPr>
                <w:rFonts w:ascii="Arial" w:cs="Arial" w:eastAsia="Arial" w:hAnsi="Arial"/>
                <w:sz w:val="18"/>
                <w:szCs w:val="18"/>
                <w:color w:val="auto"/>
              </w:rPr>
              <w:t>Lohmann Animal Health (Formosa)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(Malaysia) Sdn. Bhd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(Thailand)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Asia Holding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Espana S.L.L.</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Hungaria Kereskedelmi Kft., Hungary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International Inc.</w:t>
            </w:r>
          </w:p>
        </w:tc>
        <w:tc>
          <w:tcPr>
            <w:tcW w:w="5220" w:type="dxa"/>
            <w:vAlign w:val="bottom"/>
          </w:tcPr>
          <w:p>
            <w:pPr>
              <w:jc w:val="center"/>
              <w:spacing w:after="0"/>
              <w:rPr>
                <w:sz w:val="20"/>
                <w:szCs w:val="20"/>
                <w:color w:val="auto"/>
              </w:rPr>
            </w:pPr>
            <w:r>
              <w:rPr>
                <w:rFonts w:ascii="Arial" w:cs="Arial" w:eastAsia="Arial" w:hAnsi="Arial"/>
                <w:sz w:val="18"/>
                <w:szCs w:val="18"/>
                <w:color w:val="auto"/>
              </w:rPr>
              <w:t>Maine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Mexico, S.A. de C.V.</w:t>
            </w:r>
          </w:p>
        </w:tc>
        <w:tc>
          <w:tcPr>
            <w:tcW w:w="522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Phils. Corp.</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Polska sp. z.o.o.</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South Africa (Pty)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Ukraine TOV</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Ukraine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Beteiligungs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Saude Animal LTDA</w:t>
            </w:r>
          </w:p>
        </w:tc>
        <w:tc>
          <w:tcPr>
            <w:tcW w:w="522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SE</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Europe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Services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Taiwan Co. Ltd., Taiwan</w:t>
            </w: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Veteriner Urunleri Sanayi Ticaret A.S.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ooo Lohmann Animal Health (Russia)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Pharmabrand, S.A.I.C.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Pharmaserve-Lilly S.A.C.I.</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Lohmann Animal Health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Spaly Bioquimica,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Sunrise Farms, Inc.</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UAB Eli Lilly Lietuva</w:t>
            </w:r>
          </w:p>
        </w:tc>
        <w:tc>
          <w:tcPr>
            <w:tcW w:w="522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340"/>
          </w:cols>
          <w:pgMar w:left="300" w:top="747" w:right="2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72"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color w:val="auto"/>
        </w:rPr>
        <w:t>We consent to the incorporation by reference in the Registration Statements (Form S-3ASR No. 333-186979; and Form S-8 Nos. 333-104057 and 333-172422) of Eli Lilly and Company and subsidiaries and in the related Prospectus of our reports dated February 19, 2015, with respect to the consolidated financial statements of Eli Lilly and Company and subsidiaries, and the effectiveness of internal control over financial reporting of Eli Lilly and Company and subsidiaries, included in this Annual Report (Form 10-K) for the year ended December 31, 2014.</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2015</w:t>
      </w:r>
    </w:p>
    <w:p>
      <w:pPr>
        <w:sectPr>
          <w:pgSz w:w="11900" w:h="16838" w:orient="portrait"/>
          <w:cols w:equalWidth="0" w:num="1">
            <w:col w:w="11420"/>
          </w:cols>
          <w:pgMar w:left="240" w:top="387"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EXHIBIT 31.1 Rule 13a-14(a) Certification of John C. Lechleiter, Ph.D., Chairman of the Board, President, and Chief Executive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Ph.D., Chairman of the Board, President, and Chief Executive Officer, certify that:</w:t>
      </w:r>
    </w:p>
    <w:p>
      <w:pPr>
        <w:spacing w:after="0" w:line="90"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left="660" w:right="200" w:hanging="328"/>
        <w:spacing w:after="0" w:line="25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660" w:right="260" w:hanging="328"/>
        <w:spacing w:after="0" w:line="25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660" w:right="40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2015</w:t>
      </w:r>
    </w:p>
    <w:p>
      <w:pPr>
        <w:spacing w:after="0" w:line="17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0784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John C. Lechleiter, Ph.D.</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Chairman of the Board, President, and</w:t>
      </w:r>
    </w:p>
    <w:p>
      <w:pPr>
        <w:ind w:left="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80"/>
          </w:cols>
          <w:pgMar w:left="240" w:top="598" w:right="2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Executive Vice President, Global Services, and Chief Financial Officer, certify that:</w:t>
      </w:r>
    </w:p>
    <w:p>
      <w:pPr>
        <w:spacing w:after="0" w:line="90"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left="660" w:right="20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660" w:right="26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660" w:right="400" w:hanging="328"/>
        <w:spacing w:after="0" w:line="262"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2015</w:t>
      </w:r>
    </w:p>
    <w:p>
      <w:pPr>
        <w:spacing w:after="0" w:line="17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016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Executive Vice President, Global Services, and Chief</w:t>
      </w:r>
    </w:p>
    <w:p>
      <w:pPr>
        <w:ind w:left="6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380"/>
          </w:cols>
          <w:pgMar w:left="240" w:top="598" w:right="2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Annual Report on Form 10-K for the year ended December 31, 2014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337"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2015</w:t>
      </w:r>
      <w:r>
        <w:rPr>
          <w:sz w:val="20"/>
          <w:szCs w:val="20"/>
          <w:color w:val="auto"/>
        </w:rPr>
        <w:tab/>
      </w:r>
      <w:r>
        <w:rPr>
          <w:rFonts w:ascii="Arial" w:cs="Arial" w:eastAsia="Arial" w:hAnsi="Arial"/>
          <w:sz w:val="17"/>
          <w:szCs w:val="17"/>
          <w:color w:val="auto"/>
        </w:rPr>
        <w:t>/s/ 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John C. Lechleiter, Ph.D.</w:t>
      </w:r>
    </w:p>
    <w:p>
      <w:pPr>
        <w:spacing w:after="0" w:line="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of the Board, President, and</w:t>
      </w:r>
    </w:p>
    <w:p>
      <w:pPr>
        <w:ind w:left="55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2015</w:t>
      </w:r>
      <w:r>
        <w:rPr>
          <w:sz w:val="20"/>
          <w:szCs w:val="20"/>
          <w:color w:val="auto"/>
        </w:rPr>
        <w:tab/>
      </w:r>
      <w:r>
        <w:rPr>
          <w:rFonts w:ascii="Arial" w:cs="Arial" w:eastAsia="Arial" w:hAnsi="Arial"/>
          <w:sz w:val="17"/>
          <w:szCs w:val="17"/>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Global Services and</w:t>
      </w: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5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decimal"/>
      <w:start w:val="317"/>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lvl w:ilvl="1">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1"/>
      <w:numFmt w:val="bullet"/>
      <w:start w:val="1"/>
    </w:lvl>
  </w:abstractNum>
  <w:abstractNum w:abstractNumId="36">
    <w:nsid w:val="BF72B14"/>
    <w:multiLevelType w:val="hybridMultilevel"/>
    <w:lvl w:ilvl="0">
      <w:lvlJc w:val="left"/>
      <w:lvlText w:val="2"/>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bullet"/>
      <w:start w:val="1"/>
    </w:lvl>
  </w:abstractNum>
  <w:abstractNum w:abstractNumId="40">
    <w:nsid w:val="8F2B15E"/>
    <w:multiLevelType w:val="hybridMultilevel"/>
    <w:lvl w:ilvl="0">
      <w:lvlJc w:val="left"/>
      <w:lvlText w:val="2"/>
      <w:numFmt w:val="bullet"/>
      <w:start w:val="1"/>
    </w:lvl>
  </w:abstractNum>
  <w:abstractNum w:abstractNumId="41">
    <w:nsid w:val="1A32234B"/>
    <w:multiLevelType w:val="hybridMultilevel"/>
    <w:lvl w:ilvl="0">
      <w:lvlJc w:val="left"/>
      <w:lvlText w:val="1"/>
      <w:numFmt w:val="bullet"/>
      <w:start w:val="1"/>
    </w:lvl>
  </w:abstractNum>
  <w:abstractNum w:abstractNumId="42">
    <w:nsid w:val="3B0FD379"/>
    <w:multiLevelType w:val="hybridMultilevel"/>
    <w:lvl w:ilvl="0">
      <w:lvlJc w:val="left"/>
      <w:lvlText w:val="2"/>
      <w:numFmt w:val="bullet"/>
      <w:start w:val="1"/>
    </w:lvl>
    <w:lvl w:ilvl="1">
      <w:lvlJc w:val="left"/>
      <w:lvlText w:val="•"/>
      <w:numFmt w:val="bullet"/>
      <w:start w:val="1"/>
    </w:lvl>
  </w:abstractNum>
  <w:abstractNum w:abstractNumId="43">
    <w:nsid w:val="68EB2F63"/>
    <w:multiLevelType w:val="hybridMultilevel"/>
    <w:lvl w:ilvl="0">
      <w:lvlJc w:val="left"/>
      <w:lvlText w:val="3"/>
      <w:numFmt w:val="bullet"/>
      <w:start w:val="1"/>
    </w:lvl>
  </w:abstractNum>
  <w:abstractNum w:abstractNumId="44">
    <w:nsid w:val="4962813B"/>
    <w:multiLevelType w:val="hybridMultilevel"/>
    <w:lvl w:ilvl="0">
      <w:lvlJc w:val="left"/>
      <w:lvlText w:val="1"/>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bullet"/>
      <w:start w:val="1"/>
    </w:lvl>
  </w:abstractNum>
  <w:abstractNum w:abstractNumId="47">
    <w:nsid w:val="14330624"/>
    <w:multiLevelType w:val="hybridMultilevel"/>
    <w:lvl w:ilvl="0">
      <w:lvlJc w:val="left"/>
      <w:lvlText w:val="1"/>
      <w:numFmt w:val="bullet"/>
      <w:start w:val="1"/>
    </w:lvl>
  </w:abstractNum>
  <w:abstractNum w:abstractNumId="48">
    <w:nsid w:val="7FFFCA11"/>
    <w:multiLevelType w:val="hybridMultilevel"/>
    <w:lvl w:ilvl="0">
      <w:lvlJc w:val="left"/>
      <w:lvlText w:val="1"/>
      <w:numFmt w:val="bullet"/>
      <w:start w:val="1"/>
    </w:lvl>
  </w:abstractNum>
  <w:abstractNum w:abstractNumId="49">
    <w:nsid w:val="1A27709E"/>
    <w:multiLevelType w:val="hybridMultilevel"/>
    <w:lvl w:ilvl="0">
      <w:lvlJc w:val="left"/>
      <w:lvlText w:val="1"/>
      <w:numFmt w:val="bullet"/>
      <w:start w:val="1"/>
    </w:lvl>
  </w:abstractNum>
  <w:abstractNum w:abstractNumId="50">
    <w:nsid w:val="71EA1109"/>
    <w:multiLevelType w:val="hybridMultilevel"/>
    <w:lvl w:ilvl="0">
      <w:lvlJc w:val="left"/>
      <w:lvlText w:val="2"/>
      <w:numFmt w:val="bullet"/>
      <w:start w:val="1"/>
    </w:lvl>
  </w:abstractNum>
  <w:abstractNum w:abstractNumId="51">
    <w:nsid w:val="100F59DC"/>
    <w:multiLevelType w:val="hybridMultilevel"/>
    <w:lvl w:ilvl="0">
      <w:lvlJc w:val="left"/>
      <w:lvlText w:val="1"/>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1"/>
      <w:numFmt w:val="bullet"/>
      <w:start w:val="1"/>
    </w:lvl>
  </w:abstractNum>
  <w:abstractNum w:abstractNumId="55">
    <w:nsid w:val="94211F2"/>
    <w:multiLevelType w:val="hybridMultilevel"/>
    <w:lvl w:ilvl="0">
      <w:lvlJc w:val="left"/>
      <w:lvlText w:val="%1"/>
      <w:numFmt w:val="decimal"/>
      <w:start w:val="32"/>
    </w:lvl>
  </w:abstractNum>
  <w:abstractNum w:abstractNumId="56">
    <w:nsid w:val="885E1B"/>
    <w:multiLevelType w:val="hybridMultilevel"/>
    <w:lvl w:ilvl="0">
      <w:lvlJc w:val="left"/>
      <w:lvlText w:val="%1"/>
      <w:numFmt w:val="decimal"/>
      <w:start w:val="101"/>
    </w:lvl>
  </w:abstractNum>
  <w:abstractNum w:abstractNumId="57">
    <w:nsid w:val="76272110"/>
    <w:multiLevelType w:val="hybridMultilevel"/>
    <w:lvl w:ilvl="0">
      <w:lvlJc w:val="left"/>
      <w:lvlText w:val="%1."/>
      <w:numFmt w:val="upperLetter"/>
      <w:start w:val="1"/>
    </w:lvl>
  </w:abstractNum>
  <w:abstractNum w:abstractNumId="58">
    <w:nsid w:val="4C04A8AF"/>
    <w:multiLevelType w:val="hybridMultilevel"/>
    <w:lvl w:ilvl="0">
      <w:lvlJc w:val="left"/>
      <w:lvlText w:val="(%1)"/>
      <w:numFmt w:val="lowerLetter"/>
      <w:start w:val="1"/>
    </w:lvl>
  </w:abstractNum>
  <w:abstractNum w:abstractNumId="59">
    <w:nsid w:val="1716703B"/>
    <w:multiLevelType w:val="hybridMultilevel"/>
    <w:lvl w:ilvl="0">
      <w:lvlJc w:val="left"/>
      <w:lvlText w:val="(%1)"/>
      <w:numFmt w:val="lowerRoman"/>
      <w:start w:val="1"/>
    </w:lvl>
  </w:abstractNum>
  <w:abstractNum w:abstractNumId="60">
    <w:nsid w:val="14E17E33"/>
    <w:multiLevelType w:val="hybridMultilevel"/>
    <w:lvl w:ilvl="0">
      <w:lvlJc w:val="left"/>
      <w:lvlText w:val="(%1)"/>
      <w:numFmt w:val="lowerRoman"/>
      <w:start w:val="6"/>
    </w:lvl>
  </w:abstractNum>
  <w:abstractNum w:abstractNumId="61">
    <w:nsid w:val="3222E7CD"/>
    <w:multiLevelType w:val="hybridMultilevel"/>
    <w:lvl w:ilvl="0">
      <w:lvlJc w:val="left"/>
      <w:lvlText w:val="%1"/>
      <w:numFmt w:val="lowerLetter"/>
      <w:start w:val="1"/>
    </w:lvl>
    <w:lvl w:ilvl="1">
      <w:lvlJc w:val="left"/>
      <w:lvlText w:val="%2."/>
      <w:numFmt w:val="lowerRoman"/>
      <w:start w:val="1"/>
    </w:lvl>
  </w:abstractNum>
  <w:abstractNum w:abstractNumId="62">
    <w:nsid w:val="74DE0EE3"/>
    <w:multiLevelType w:val="hybridMultilevel"/>
    <w:lvl w:ilvl="0">
      <w:lvlJc w:val="left"/>
      <w:lvlText w:val="(%1)"/>
      <w:numFmt w:val="lowerLetter"/>
      <w:start w:val="3"/>
    </w:lvl>
    <w:lvl w:ilvl="1">
      <w:lvlJc w:val="left"/>
      <w:lvlText w:val="%2"/>
      <w:numFmt w:val="lowerRoman"/>
      <w:start w:val="1"/>
    </w:lvl>
  </w:abstractNum>
  <w:abstractNum w:abstractNumId="63">
    <w:nsid w:val="68EBC550"/>
    <w:multiLevelType w:val="hybridMultilevel"/>
    <w:lvl w:ilvl="0">
      <w:lvlJc w:val="left"/>
      <w:lvlText w:val="(%1)"/>
      <w:numFmt w:val="lowerRoman"/>
      <w:start w:val="1"/>
    </w:lvl>
    <w:lvl w:ilvl="1">
      <w:lvlJc w:val="left"/>
      <w:lvlText w:val="(%2)"/>
      <w:numFmt w:val="upperLetter"/>
      <w:start w:val="1"/>
    </w:lvl>
  </w:abstractNum>
  <w:abstractNum w:abstractNumId="64">
    <w:nsid w:val="2DF6D648"/>
    <w:multiLevelType w:val="hybridMultilevel"/>
    <w:lvl w:ilvl="0">
      <w:lvlJc w:val="left"/>
      <w:lvlText w:val="%1"/>
      <w:numFmt w:val="lowerRoman"/>
      <w:start w:val="1"/>
    </w:lvl>
    <w:lvl w:ilvl="1">
      <w:lvlJc w:val="left"/>
      <w:lvlText w:val="(%2)"/>
      <w:numFmt w:val="upperLetter"/>
      <w:start w:val="6"/>
    </w:lvl>
  </w:abstractNum>
  <w:abstractNum w:abstractNumId="65">
    <w:nsid w:val="46B7D447"/>
    <w:multiLevelType w:val="hybridMultilevel"/>
    <w:lvl w:ilvl="0">
      <w:lvlJc w:val="left"/>
      <w:lvlText w:val="(%1)"/>
      <w:numFmt w:val="lowerRoman"/>
      <w:start w:val="2"/>
    </w:lvl>
    <w:lvl w:ilvl="1">
      <w:lvlJc w:val="left"/>
      <w:lvlText w:val="(%2)"/>
      <w:numFmt w:val="upperLetter"/>
      <w:start w:val="1"/>
    </w:lvl>
  </w:abstractNum>
  <w:abstractNum w:abstractNumId="66">
    <w:nsid w:val="4A2AC315"/>
    <w:multiLevelType w:val="hybridMultilevel"/>
    <w:lvl w:ilvl="0">
      <w:lvlJc w:val="left"/>
      <w:lvlText w:val="%1."/>
      <w:numFmt w:val="upperLetter"/>
      <w:start w:val="1"/>
    </w:lvl>
    <w:lvl w:ilvl="1">
      <w:lvlJc w:val="left"/>
      <w:lvlText w:val="%2."/>
      <w:numFmt w:val="lowerRoman"/>
      <w:start w:val="1"/>
    </w:lvl>
  </w:abstractNum>
  <w:abstractNum w:abstractNumId="67">
    <w:nsid w:val="39EE015C"/>
    <w:multiLevelType w:val="hybridMultilevel"/>
    <w:lvl w:ilvl="0">
      <w:lvlJc w:val="left"/>
      <w:lvlText w:val="%1"/>
      <w:numFmt w:val="upperLetter"/>
      <w:start w:val="1"/>
    </w:lvl>
    <w:lvl w:ilvl="1">
      <w:lvlJc w:val="left"/>
      <w:lvlText w:val="%2."/>
      <w:numFmt w:val="lowerRoman"/>
      <w:start w:val="3"/>
    </w:lvl>
  </w:abstractNum>
  <w:abstractNum w:abstractNumId="68">
    <w:nsid w:val="57FC4FBB"/>
    <w:multiLevelType w:val="hybridMultilevel"/>
    <w:lvl w:ilvl="0">
      <w:lvlJc w:val="left"/>
      <w:lvlText w:val="%1."/>
      <w:numFmt w:val="upperLetter"/>
      <w:start w:val="2"/>
    </w:lvl>
    <w:lvl w:ilvl="1">
      <w:lvlJc w:val="left"/>
      <w:lvlText w:val="%2"/>
      <w:numFmt w:val="lowerRoman"/>
      <w:start w:val="1"/>
    </w:lvl>
  </w:abstractNum>
  <w:abstractNum w:abstractNumId="69">
    <w:nsid w:val="CC1016F"/>
    <w:multiLevelType w:val="hybridMultilevel"/>
    <w:lvl w:ilvl="0">
      <w:lvlJc w:val="left"/>
      <w:lvlText w:val="%1."/>
      <w:numFmt w:val="upperLetter"/>
      <w:start w:val="4"/>
    </w:lvl>
    <w:lvl w:ilvl="1">
      <w:lvlJc w:val="left"/>
      <w:lvlText w:val="%2."/>
      <w:numFmt w:val="lowerRoman"/>
      <w:start w:val="1"/>
    </w:lvl>
  </w:abstractNum>
  <w:abstractNum w:abstractNumId="70">
    <w:nsid w:val="43F18422"/>
    <w:multiLevelType w:val="hybridMultilevel"/>
    <w:lvl w:ilvl="0">
      <w:lvlJc w:val="left"/>
      <w:lvlText w:val="%1."/>
      <w:numFmt w:val="upperLetter"/>
      <w:start w:val="1"/>
    </w:lvl>
  </w:abstractNum>
  <w:abstractNum w:abstractNumId="71">
    <w:nsid w:val="60EF0119"/>
    <w:multiLevelType w:val="hybridMultilevel"/>
    <w:lvl w:ilvl="0">
      <w:lvlJc w:val="left"/>
      <w:lvlText w:val="(%1)"/>
      <w:numFmt w:val="lowerRoman"/>
      <w:start w:val="1"/>
    </w:lvl>
  </w:abstractNum>
  <w:abstractNum w:abstractNumId="72">
    <w:nsid w:val="26F324BA"/>
    <w:multiLevelType w:val="hybridMultilevel"/>
    <w:lvl w:ilvl="0">
      <w:lvlJc w:val="left"/>
      <w:lvlText w:val="%1."/>
      <w:numFmt w:val="upperLetter"/>
      <w:start w:val="2"/>
    </w:lvl>
    <w:lvl w:ilvl="1">
      <w:lvlJc w:val="left"/>
      <w:lvlText w:val="%2."/>
      <w:numFmt w:val="lowerRoman"/>
      <w:start w:val="1"/>
    </w:lvl>
  </w:abstractNum>
  <w:abstractNum w:abstractNumId="73">
    <w:nsid w:val="7F01579B"/>
    <w:multiLevelType w:val="hybridMultilevel"/>
    <w:lvl w:ilvl="0">
      <w:lvlJc w:val="left"/>
      <w:lvlText w:val="(%1)"/>
      <w:numFmt w:val="lowerLetter"/>
      <w:start w:val="1"/>
    </w:lvl>
  </w:abstractNum>
  <w:abstractNum w:abstractNumId="74">
    <w:nsid w:val="49DA307D"/>
    <w:multiLevelType w:val="hybridMultilevel"/>
    <w:lvl w:ilvl="0">
      <w:lvlJc w:val="left"/>
      <w:lvlText w:val="(%1)"/>
      <w:numFmt w:val="lowerLetter"/>
      <w:start w:val="3"/>
    </w:lvl>
    <w:lvl w:ilvl="1">
      <w:lvlJc w:val="left"/>
      <w:lvlText w:val="(%2)"/>
      <w:numFmt w:val="lowerRoman"/>
      <w:start w:val="1"/>
    </w:lvl>
  </w:abstractNum>
  <w:abstractNum w:abstractNumId="75">
    <w:nsid w:val="7055A5F5"/>
    <w:multiLevelType w:val="hybridMultilevel"/>
    <w:lvl w:ilvl="0">
      <w:lvlJc w:val="left"/>
      <w:lvlText w:val="(%1)"/>
      <w:numFmt w:val="lowerLetter"/>
      <w:start w:val="6"/>
    </w:lvl>
  </w:abstractNum>
  <w:abstractNum w:abstractNumId="76">
    <w:nsid w:val="5FB8370B"/>
    <w:multiLevelType w:val="hybridMultilevel"/>
    <w:lvl w:ilvl="0">
      <w:lvlJc w:val="left"/>
      <w:lvlText w:val="(%1)"/>
      <w:numFmt w:val="lowerLetter"/>
      <w:start w:val="1"/>
    </w:lvl>
  </w:abstractNum>
  <w:abstractNum w:abstractNumId="77">
    <w:nsid w:val="50801EE1"/>
    <w:multiLevelType w:val="hybridMultilevel"/>
    <w:lvl w:ilvl="0">
      <w:lvlJc w:val="left"/>
      <w:lvlText w:val="(%1)"/>
      <w:numFmt w:val="lowerLetter"/>
      <w:start w:val="5"/>
    </w:lvl>
  </w:abstractNum>
  <w:abstractNum w:abstractNumId="78">
    <w:nsid w:val="488AC1A"/>
    <w:multiLevelType w:val="hybridMultilevel"/>
    <w:lvl w:ilvl="0">
      <w:lvlJc w:val="left"/>
      <w:lvlText w:val="(%1)"/>
      <w:numFmt w:val="lowerLetter"/>
      <w:start w:val="7"/>
    </w:lvl>
  </w:abstractNum>
  <w:abstractNum w:abstractNumId="79">
    <w:nsid w:val="5FB8011C"/>
    <w:multiLevelType w:val="hybridMultilevel"/>
    <w:lvl w:ilvl="0">
      <w:lvlJc w:val="left"/>
      <w:lvlText w:val="(%1)"/>
      <w:numFmt w:val="lowerLetter"/>
      <w:start w:val="7"/>
    </w:lvl>
  </w:abstractNum>
  <w:abstractNum w:abstractNumId="80">
    <w:nsid w:val="6AA78F7F"/>
    <w:multiLevelType w:val="hybridMultilevel"/>
    <w:lvl w:ilvl="0">
      <w:lvlJc w:val="left"/>
      <w:lvlText w:val="(%1)"/>
      <w:numFmt w:val="lowerLetter"/>
      <w:start w:val="1"/>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1"/>
      <w:numFmt w:val="lowerLetter"/>
      <w:start w:val="1"/>
    </w:lvl>
    <w:lvl w:ilvl="1">
      <w:lvlJc w:val="left"/>
      <w:lvlText w:val="(%2)"/>
      <w:numFmt w:val="lowerLetter"/>
      <w:start w:val="1"/>
    </w:lvl>
  </w:abstractNum>
  <w:abstractNum w:abstractNumId="83">
    <w:nsid w:val="6A5F7029"/>
    <w:multiLevelType w:val="hybridMultilevel"/>
    <w:lvl w:ilvl="0">
      <w:lvlJc w:val="left"/>
      <w:lvlText w:val="(%1)"/>
      <w:numFmt w:val="lowerLetter"/>
      <w:start w:val="2"/>
    </w:lvl>
    <w:lvl w:ilvl="1">
      <w:lvlJc w:val="left"/>
      <w:lvlText w:val="(%2)"/>
      <w:numFmt w:val="lowerLetter"/>
      <w:start w:val="9"/>
    </w:lvl>
  </w:abstractNum>
  <w:abstractNum w:abstractNumId="84">
    <w:nsid w:val="7D5E18F8"/>
    <w:multiLevelType w:val="hybridMultilevel"/>
    <w:lvl w:ilvl="0">
      <w:lvlJc w:val="left"/>
      <w:lvlText w:val="(%1)"/>
      <w:numFmt w:val="lowerRoman"/>
      <w:start w:val="2"/>
    </w:lvl>
  </w:abstractNum>
  <w:abstractNum w:abstractNumId="85">
    <w:nsid w:val="5F3534A4"/>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86">
    <w:nsid w:val="73A1821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7">
    <w:nsid w:val="7DE67713"/>
    <w:multiLevelType w:val="hybridMultilevel"/>
    <w:lvl w:ilvl="0">
      <w:lvlJc w:val="left"/>
      <w:lvlText w:val="%1"/>
      <w:numFmt w:val="lowerLetter"/>
      <w:start w:val="1"/>
    </w:lvl>
    <w:lvl w:ilvl="1">
      <w:lvlJc w:val="left"/>
      <w:lvlText w:val="(%2)"/>
      <w:numFmt w:val="lowerRoman"/>
      <w:start w:val="2"/>
    </w:lvl>
  </w:abstractNum>
  <w:abstractNum w:abstractNumId="88">
    <w:nsid w:val="555C55B5"/>
    <w:multiLevelType w:val="hybridMultilevel"/>
    <w:lvl w:ilvl="0">
      <w:lvlJc w:val="left"/>
      <w:lvlText w:val="(%1)"/>
      <w:numFmt w:val="lowerLetter"/>
      <w:start w:val="4"/>
    </w:lvl>
    <w:lvl w:ilvl="1">
      <w:lvlJc w:val="left"/>
      <w:lvlText w:val="%2"/>
      <w:numFmt w:val="lowerRoman"/>
      <w:start w:val="1"/>
    </w:lvl>
  </w:abstractNum>
  <w:abstractNum w:abstractNumId="89">
    <w:nsid w:val="3FA62ACA"/>
    <w:multiLevelType w:val="hybridMultilevel"/>
    <w:lvl w:ilvl="0">
      <w:lvlJc w:val="left"/>
      <w:lvlText w:val="(%1)"/>
      <w:numFmt w:val="lowerLetter"/>
      <w:start w:val="5"/>
    </w:lvl>
    <w:lvl w:ilvl="1">
      <w:lvlJc w:val="left"/>
      <w:lvlText w:val="(%2)"/>
      <w:numFmt w:val="lowerRoman"/>
      <w:start w:val="1"/>
    </w:lvl>
  </w:abstractNum>
  <w:abstractNum w:abstractNumId="90">
    <w:nsid w:val="14FCE74E"/>
    <w:multiLevelType w:val="hybridMultilevel"/>
    <w:lvl w:ilvl="0">
      <w:lvlJc w:val="left"/>
      <w:lvlText w:val="(%1)"/>
      <w:numFmt w:val="lowerLetter"/>
      <w:start w:val="1"/>
    </w:lvl>
    <w:lvl w:ilvl="1">
      <w:lvlJc w:val="left"/>
      <w:lvlText w:val="(%2)"/>
      <w:numFmt w:val="lowerRoman"/>
      <w:start w:val="1"/>
    </w:lvl>
  </w:abstractNum>
  <w:abstractNum w:abstractNumId="91">
    <w:nsid w:val="6A3DD3E8"/>
    <w:multiLevelType w:val="hybridMultilevel"/>
    <w:lvl w:ilvl="0">
      <w:lvlJc w:val="left"/>
      <w:lvlText w:val="(%1)"/>
      <w:numFmt w:val="lowerLetter"/>
      <w:start w:val="1"/>
    </w:lvl>
  </w:abstractNum>
  <w:abstractNum w:abstractNumId="92">
    <w:nsid w:val="71C91298"/>
    <w:multiLevelType w:val="hybridMultilevel"/>
    <w:lvl w:ilvl="0">
      <w:lvlJc w:val="left"/>
      <w:lvlText w:val="(%1)"/>
      <w:numFmt w:val="lowerLetter"/>
      <w:start w:val="3"/>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upperLetter"/>
      <w:start w:val="2"/>
    </w:lvl>
  </w:abstractNum>
  <w:abstractNum w:abstractNumId="95">
    <w:nsid w:val="1FBFE8E0"/>
    <w:multiLevelType w:val="hybridMultilevel"/>
    <w:lvl w:ilvl="0">
      <w:lvlJc w:val="left"/>
      <w:lvlText w:val="%1."/>
      <w:numFmt w:val="lowerLetter"/>
      <w:start w:val="2"/>
    </w:lvl>
  </w:abstractNum>
  <w:abstractNum w:abstractNumId="96">
    <w:nsid w:val="5092CA79"/>
    <w:multiLevelType w:val="hybridMultilevel"/>
    <w:lvl w:ilvl="0">
      <w:lvlJc w:val="left"/>
      <w:lvlText w:val="(%1)"/>
      <w:numFmt w:val="lowerRoman"/>
      <w:start w:val="2"/>
    </w:lvl>
  </w:abstractNum>
  <w:abstractNum w:abstractNumId="97">
    <w:nsid w:val="1D545C4D"/>
    <w:multiLevelType w:val="hybridMultilevel"/>
    <w:lvl w:ilvl="0">
      <w:lvlJc w:val="left"/>
      <w:lvlText w:val="%1."/>
      <w:numFmt w:val="lowerLetter"/>
      <w:start w:val="3"/>
    </w:lvl>
  </w:abstractNum>
  <w:abstractNum w:abstractNumId="98">
    <w:nsid w:val="59ADEA3D"/>
    <w:multiLevelType w:val="hybridMultilevel"/>
    <w:lvl w:ilvl="0">
      <w:lvlJc w:val="left"/>
      <w:lvlText w:val="%1."/>
      <w:numFmt w:val="lowerLetter"/>
      <w:start w:val="1"/>
    </w:lvl>
  </w:abstractNum>
  <w:abstractNum w:abstractNumId="99">
    <w:nsid w:val="288F1A34"/>
    <w:multiLevelType w:val="hybridMultilevel"/>
    <w:lvl w:ilvl="0">
      <w:lvlJc w:val="left"/>
      <w:lvlText w:val="%1."/>
      <w:numFmt w:val="lowerLetter"/>
      <w:start w:val="3"/>
    </w:lvl>
  </w:abstractNum>
  <w:abstractNum w:abstractNumId="100">
    <w:nsid w:val="2A155DBC"/>
    <w:multiLevelType w:val="hybridMultilevel"/>
    <w:lvl w:ilvl="0">
      <w:lvlJc w:val="left"/>
      <w:lvlText w:val="%1."/>
      <w:numFmt w:val="lowerLetter"/>
      <w:start w:val="4"/>
    </w:lvl>
  </w:abstractNum>
  <w:abstractNum w:abstractNumId="101">
    <w:nsid w:val="1D9F6E5F"/>
    <w:multiLevelType w:val="hybridMultilevel"/>
    <w:lvl w:ilvl="0">
      <w:lvlJc w:val="left"/>
      <w:lvlText w:val="%1."/>
      <w:numFmt w:val="lowerLetter"/>
      <w:start w:val="12"/>
    </w:lvl>
  </w:abstractNum>
  <w:abstractNum w:abstractNumId="102">
    <w:nsid w:val="97E1B4E"/>
    <w:multiLevelType w:val="hybridMultilevel"/>
    <w:lvl w:ilvl="0">
      <w:lvlJc w:val="left"/>
      <w:lvlText w:val="(%1)"/>
      <w:numFmt w:val="lowerRoman"/>
      <w:start w:val="1"/>
    </w:lvl>
  </w:abstractNum>
  <w:abstractNum w:abstractNumId="103">
    <w:nsid w:val="51088277"/>
    <w:multiLevelType w:val="hybridMultilevel"/>
    <w:lvl w:ilvl="0">
      <w:lvlJc w:val="left"/>
      <w:lvlText w:val="%1."/>
      <w:numFmt w:val="lowerLetter"/>
      <w:start w:val="1"/>
    </w:lvl>
    <w:lvl w:ilvl="1">
      <w:lvlJc w:val="left"/>
      <w:lvlText w:val="(%2)"/>
      <w:numFmt w:val="lowerRoman"/>
      <w:start w:val="3"/>
    </w:lvl>
  </w:abstractNum>
  <w:abstractNum w:abstractNumId="104">
    <w:nsid w:val="1CA0C5FA"/>
    <w:multiLevelType w:val="hybridMultilevel"/>
    <w:lvl w:ilvl="0">
      <w:lvlJc w:val="left"/>
      <w:lvlText w:val="%1."/>
      <w:numFmt w:val="lowerLetter"/>
      <w:start w:val="6"/>
    </w:lvl>
  </w:abstractNum>
  <w:abstractNum w:abstractNumId="105">
    <w:nsid w:val="53584BCB"/>
    <w:multiLevelType w:val="hybridMultilevel"/>
    <w:lvl w:ilvl="0">
      <w:lvlJc w:val="left"/>
      <w:lvlText w:val="%1."/>
      <w:numFmt w:val="lowerLetter"/>
      <w:start w:val="12"/>
    </w:lvl>
  </w:abstractNum>
  <w:abstractNum w:abstractNumId="106">
    <w:nsid w:val="415E286C"/>
    <w:multiLevelType w:val="hybridMultilevel"/>
    <w:lvl w:ilvl="0">
      <w:lvlJc w:val="left"/>
      <w:lvlText w:val="(%1)"/>
      <w:numFmt w:val="lowerRoman"/>
      <w:start w:val="2"/>
    </w:lvl>
  </w:abstractNum>
  <w:abstractNum w:abstractNumId="107">
    <w:nsid w:val="7C58FD05"/>
    <w:multiLevelType w:val="hybridMultilevel"/>
    <w:lvl w:ilvl="0">
      <w:lvlJc w:val="left"/>
      <w:lvlText w:val="1"/>
      <w:numFmt w:val="bullet"/>
      <w:start w:val="1"/>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decimal"/>
      <w:start w:val="5"/>
    </w:lvl>
  </w:abstractNum>
  <w:abstractNum w:abstractNumId="111">
    <w:nsid w:val="E7FFA2B"/>
    <w:multiLevelType w:val="hybridMultilevel"/>
    <w:lvl w:ilvl="0">
      <w:lvlJc w:val="left"/>
      <w:lvlText w:val="%1."/>
      <w:numFmt w:val="lowerLetter"/>
      <w:start w:val="1"/>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lowerLetter"/>
      <w:start w:val="1"/>
    </w:lvl>
  </w:abstractNum>
  <w:abstractNum w:abstractNumId="114">
    <w:nsid w:val="78DF6A55"/>
    <w:multiLevelType w:val="hybridMultilevel"/>
    <w:lvl w:ilvl="0">
      <w:lvlJc w:val="left"/>
      <w:lvlText w:val="%1."/>
      <w:numFmt w:val="decimal"/>
      <w:start w:val="5"/>
    </w:lvl>
  </w:abstractNum>
  <w:abstractNum w:abstractNumId="115">
    <w:nsid w:val="39B7AAA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2019-12-29T19:13:32Z</dcterms:created>
  <dcterms:modified xsi:type="dcterms:W3CDTF">2019-12-29T19:13:32Z</dcterms:modified>
</cp:coreProperties>
</file>