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a_1788553319.xml.htm"/>
      <w:bookmarkStart w:id="1" w:name="kswkform3a_178855331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1"/>
        <w:gridCol w:w="2552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Brown Adrienne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11/07/2025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President LLY Imm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11/14/2025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7,045.237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4"/>
        <w:gridCol w:w="1221"/>
        <w:gridCol w:w="1127"/>
        <w:gridCol w:w="1336"/>
        <w:gridCol w:w="976"/>
        <w:gridCol w:w="1263"/>
        <w:gridCol w:w="1225"/>
        <w:gridCol w:w="137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02/16/2026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02/16/2026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11/01/2026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11/01/2026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2,530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02/16/2027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02/16/2027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394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02/16/2028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02/16/2028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354.091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Corrects the number of shares previously reported to account for additional shares that were unintentionally omitted from the original Form 3 filing, and subsequent Forms 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Eli Lilly and Company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Adrienne Brown,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96888" TargetMode="External"/><Relationship Id="rId3" Type="http://schemas.openxmlformats.org/officeDocument/2006/relationships/hyperlink" Target="http://www.sec.gov/cgi-bin/browse-edgar?action=getcompany&amp;CIK=000005947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486</Words>
  <Characters>2702</Characters>
  <CharactersWithSpaces>3111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