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17"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UNITED STATES</w:t>
      </w:r>
    </w:p>
    <w:p>
      <w:pPr>
        <w:spacing w:after="0" w:line="186"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spacing w:after="0" w:line="169" w:lineRule="exact"/>
        <w:rPr>
          <w:sz w:val="24"/>
          <w:szCs w:val="24"/>
          <w:color w:val="auto"/>
        </w:rPr>
      </w:pPr>
    </w:p>
    <w:p>
      <w:pPr>
        <w:jc w:val="center"/>
        <w:ind w:right="-39"/>
        <w:spacing w:after="0"/>
        <w:rPr>
          <w:sz w:val="20"/>
          <w:szCs w:val="20"/>
          <w:color w:val="auto"/>
        </w:rPr>
      </w:pPr>
      <w:r>
        <w:rPr>
          <w:rFonts w:ascii="Arial" w:cs="Arial" w:eastAsia="Arial" w:hAnsi="Arial"/>
          <w:sz w:val="20"/>
          <w:szCs w:val="20"/>
          <w:color w:val="auto"/>
        </w:rPr>
        <w:t>Washington, D.C. 20549</w:t>
      </w:r>
    </w:p>
    <w:p>
      <w:pPr>
        <w:spacing w:after="0" w:line="362"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FORM 11-K</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2" w:lineRule="exact"/>
        <w:rPr>
          <w:sz w:val="24"/>
          <w:szCs w:val="24"/>
          <w:color w:val="auto"/>
        </w:rPr>
      </w:pPr>
    </w:p>
    <w:p>
      <w:pPr>
        <w:ind w:right="2740" w:firstLine="8"/>
        <w:spacing w:after="0" w:line="261" w:lineRule="auto"/>
        <w:tabs>
          <w:tab w:leader="none" w:pos="207"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15(d) OF THE SECURITIES EXCHANGE ACT OF 1934 For the fiscal year ended December 31, 2019</w:t>
      </w:r>
      <w:r>
        <w:rPr>
          <w:rFonts w:ascii="Arial" w:cs="Arial" w:eastAsia="Arial" w:hAnsi="Arial"/>
          <w:sz w:val="18"/>
          <w:szCs w:val="18"/>
          <w:color w:val="auto"/>
        </w:rPr>
        <w:t>.</w:t>
      </w:r>
    </w:p>
    <w:p>
      <w:pPr>
        <w:jc w:val="center"/>
        <w:ind w:right="-39"/>
        <w:spacing w:after="0"/>
        <w:rPr>
          <w:sz w:val="20"/>
          <w:szCs w:val="20"/>
          <w:color w:val="auto"/>
        </w:rPr>
      </w:pPr>
      <w:r>
        <w:rPr>
          <w:rFonts w:ascii="Arial" w:cs="Arial" w:eastAsia="Arial" w:hAnsi="Arial"/>
          <w:sz w:val="18"/>
          <w:szCs w:val="18"/>
          <w:color w:val="auto"/>
        </w:rPr>
        <w:t>OR</w:t>
      </w:r>
    </w:p>
    <w:p>
      <w:pPr>
        <w:spacing w:after="0" w:line="8" w:lineRule="exact"/>
        <w:rPr>
          <w:sz w:val="24"/>
          <w:szCs w:val="24"/>
          <w:color w:val="auto"/>
        </w:rPr>
      </w:pPr>
    </w:p>
    <w:p>
      <w:pPr>
        <w:ind w:left="360" w:right="2420" w:hanging="359"/>
        <w:spacing w:after="0" w:line="261" w:lineRule="auto"/>
        <w:rPr>
          <w:sz w:val="20"/>
          <w:szCs w:val="20"/>
          <w:color w:val="auto"/>
        </w:rPr>
      </w:pPr>
      <w:r>
        <w:rPr>
          <w:rFonts w:ascii="Arial" w:cs="Arial" w:eastAsia="Arial" w:hAnsi="Arial"/>
          <w:sz w:val="18"/>
          <w:szCs w:val="18"/>
          <w:color w:val="auto"/>
        </w:rPr>
        <w:t xml:space="preserve">o </w:t>
      </w:r>
      <w:r>
        <w:rPr>
          <w:rFonts w:ascii="Arial" w:cs="Arial" w:eastAsia="Arial" w:hAnsi="Arial"/>
          <w:sz w:val="18"/>
          <w:szCs w:val="18"/>
          <w:b w:val="1"/>
          <w:bCs w:val="1"/>
          <w:color w:val="auto"/>
        </w:rPr>
        <w:t>TRANSITION REPORT PURSUANT TO SECTION 15(d) OF THE SECURITIES EXCHANGE ACT OF 1934</w:t>
      </w:r>
      <w:r>
        <w:rPr>
          <w:rFonts w:ascii="Arial" w:cs="Arial" w:eastAsia="Arial" w:hAnsi="Arial"/>
          <w:sz w:val="18"/>
          <w:szCs w:val="18"/>
          <w:color w:val="auto"/>
        </w:rPr>
        <w:t xml:space="preserve"> For the transition period from __________________________to __________________________</w:t>
      </w:r>
    </w:p>
    <w:p>
      <w:pPr>
        <w:spacing w:after="0" w:line="20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Commission file number 001-06351</w:t>
      </w:r>
    </w:p>
    <w:p>
      <w:pPr>
        <w:spacing w:after="0" w:line="243" w:lineRule="exact"/>
        <w:rPr>
          <w:sz w:val="24"/>
          <w:szCs w:val="24"/>
          <w:color w:val="auto"/>
        </w:rPr>
      </w:pPr>
    </w:p>
    <w:p>
      <w:pPr>
        <w:ind w:left="4460"/>
        <w:spacing w:after="0"/>
        <w:rPr>
          <w:sz w:val="20"/>
          <w:szCs w:val="20"/>
          <w:color w:val="auto"/>
        </w:rPr>
      </w:pPr>
      <w:r>
        <w:rPr>
          <w:rFonts w:ascii="Arial" w:cs="Arial" w:eastAsia="Arial" w:hAnsi="Arial"/>
          <w:sz w:val="18"/>
          <w:szCs w:val="18"/>
          <w:color w:val="auto"/>
        </w:rPr>
        <w:t>__________________________</w:t>
      </w:r>
    </w:p>
    <w:p>
      <w:pPr>
        <w:spacing w:after="0" w:line="63" w:lineRule="exact"/>
        <w:rPr>
          <w:sz w:val="24"/>
          <w:szCs w:val="24"/>
          <w:color w:val="auto"/>
        </w:rPr>
      </w:pPr>
    </w:p>
    <w:p>
      <w:pPr>
        <w:spacing w:after="0"/>
        <w:tabs>
          <w:tab w:leader="none" w:pos="32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Full title of the plan and the address of the plan, if different from that of the issuer named below:</w:t>
      </w:r>
    </w:p>
    <w:p>
      <w:pPr>
        <w:spacing w:after="0" w:line="347"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The Lilly Employee 401(k) Plan</w:t>
      </w:r>
    </w:p>
    <w:p>
      <w:pPr>
        <w:spacing w:after="0" w:line="58"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The Savings Plan for Lilly Affiliate Employees in Puerto Rico</w:t>
      </w:r>
    </w:p>
    <w:p>
      <w:pPr>
        <w:spacing w:after="0" w:line="57" w:lineRule="exact"/>
        <w:rPr>
          <w:sz w:val="24"/>
          <w:szCs w:val="24"/>
          <w:color w:val="auto"/>
        </w:rPr>
      </w:pPr>
    </w:p>
    <w:p>
      <w:pPr>
        <w:spacing w:after="0"/>
        <w:tabs>
          <w:tab w:leader="none" w:pos="300" w:val="left"/>
        </w:tabs>
        <w:rPr>
          <w:sz w:val="20"/>
          <w:szCs w:val="20"/>
          <w:color w:val="auto"/>
        </w:rPr>
      </w:pPr>
      <w:r>
        <w:rPr>
          <w:rFonts w:ascii="Arial" w:cs="Arial" w:eastAsia="Arial" w:hAnsi="Arial"/>
          <w:sz w:val="18"/>
          <w:szCs w:val="18"/>
          <w:color w:val="auto"/>
        </w:rPr>
        <w:t>B.</w:t>
      </w:r>
      <w:r>
        <w:rPr>
          <w:sz w:val="20"/>
          <w:szCs w:val="20"/>
          <w:color w:val="auto"/>
        </w:rPr>
        <w:tab/>
      </w:r>
      <w:r>
        <w:rPr>
          <w:rFonts w:ascii="Arial" w:cs="Arial" w:eastAsia="Arial" w:hAnsi="Arial"/>
          <w:sz w:val="16"/>
          <w:szCs w:val="16"/>
          <w:color w:val="auto"/>
        </w:rPr>
        <w:t>Name of issuer of the securities held pursuant to the plan and the address of its principal executive office:</w:t>
      </w:r>
    </w:p>
    <w:p>
      <w:pPr>
        <w:spacing w:after="0" w:line="50"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Eli Lilly and Company</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Lilly Corporate Center</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Indianapolis, Indiana 46285</w:t>
      </w:r>
    </w:p>
    <w:p>
      <w:pPr>
        <w:spacing w:after="0" w:line="223" w:lineRule="exact"/>
        <w:rPr>
          <w:sz w:val="24"/>
          <w:szCs w:val="24"/>
          <w:color w:val="auto"/>
        </w:rPr>
      </w:pPr>
    </w:p>
    <w:p>
      <w:pPr>
        <w:ind w:left="4220"/>
        <w:spacing w:after="0"/>
        <w:rPr>
          <w:sz w:val="20"/>
          <w:szCs w:val="20"/>
          <w:color w:val="auto"/>
        </w:rPr>
      </w:pPr>
      <w:r>
        <w:rPr>
          <w:rFonts w:ascii="Arial" w:cs="Arial" w:eastAsia="Arial" w:hAnsi="Arial"/>
          <w:sz w:val="22"/>
          <w:szCs w:val="22"/>
          <w:b w:val="1"/>
          <w:bCs w:val="1"/>
          <w:color w:val="auto"/>
        </w:rPr>
        <w:t>REQUIRED INFORMATION</w:t>
      </w:r>
    </w:p>
    <w:p>
      <w:pPr>
        <w:spacing w:after="0" w:line="57" w:lineRule="exact"/>
        <w:rPr>
          <w:sz w:val="24"/>
          <w:szCs w:val="24"/>
          <w:color w:val="auto"/>
        </w:rPr>
      </w:pPr>
    </w:p>
    <w:p>
      <w:pPr>
        <w:spacing w:after="0"/>
        <w:rPr>
          <w:sz w:val="20"/>
          <w:szCs w:val="20"/>
          <w:color w:val="auto"/>
        </w:rPr>
      </w:pPr>
      <w:r>
        <w:rPr>
          <w:rFonts w:ascii="Arial" w:cs="Arial" w:eastAsia="Arial" w:hAnsi="Arial"/>
          <w:sz w:val="18"/>
          <w:szCs w:val="18"/>
          <w:color w:val="auto"/>
        </w:rPr>
        <w:t>The following financial statements shall be furnished for the plan:</w:t>
      </w:r>
    </w:p>
    <w:p>
      <w:pPr>
        <w:spacing w:after="0" w:line="252" w:lineRule="exact"/>
        <w:rPr>
          <w:sz w:val="24"/>
          <w:szCs w:val="24"/>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9" w:lineRule="exact"/>
        <w:rPr>
          <w:rFonts w:ascii="Arial" w:cs="Arial" w:eastAsia="Arial" w:hAnsi="Arial"/>
          <w:sz w:val="18"/>
          <w:szCs w:val="18"/>
          <w:color w:val="auto"/>
        </w:rPr>
      </w:pPr>
    </w:p>
    <w:p>
      <w:pPr>
        <w:ind w:left="340" w:hanging="332"/>
        <w:spacing w:after="0" w:line="255"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Lilly Employee 401(k) Plan and The Savings Plan for Lilly Affiliate Employees in Puerto Rico (the “Plans”) are subject to the requirements of the Employee Retirement Income Security Act of 1974 (ERISA). Attached hereto are copies of the most recent financial statements and schedule of the Plans prepared in accordance with the financial reporting requirements of ERISA.</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00"/>
          </w:cols>
          <w:pgMar w:left="320" w:top="1440" w:right="379" w:bottom="1440" w:gutter="0" w:footer="0" w:header="0"/>
        </w:sectPr>
      </w:pPr>
    </w:p>
    <w:bookmarkStart w:id="1" w:name="page2"/>
    <w:bookmarkEnd w:id="1"/>
    <w:p>
      <w:pPr>
        <w:jc w:val="center"/>
        <w:spacing w:after="0"/>
        <w:rPr>
          <w:sz w:val="20"/>
          <w:szCs w:val="20"/>
          <w:color w:val="auto"/>
        </w:rPr>
      </w:pPr>
      <w:r>
        <w:rPr>
          <w:rFonts w:ascii="Arial" w:cs="Arial" w:eastAsia="Arial" w:hAnsi="Arial"/>
          <w:sz w:val="25"/>
          <w:szCs w:val="25"/>
          <w:b w:val="1"/>
          <w:bCs w:val="1"/>
          <w:color w:val="auto"/>
        </w:rPr>
        <w:t>The Lilly Employee 401(k) Plan and</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The Savings Plan for Lilly Affiliate Employees in Puerto Rico</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Financial Statements and Supplemental Schedules</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December 31, 2019 and 2018 and for the Year Ended December 31, 2019</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Table of Contents</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9900" w:type="dxa"/>
            <w:vAlign w:val="bottom"/>
          </w:tcPr>
          <w:p>
            <w:pPr>
              <w:ind w:left="20"/>
              <w:spacing w:after="0"/>
              <w:rPr>
                <w:sz w:val="20"/>
                <w:szCs w:val="20"/>
                <w:color w:val="auto"/>
              </w:rPr>
            </w:pPr>
            <w:r>
              <w:rPr>
                <w:rFonts w:ascii="Arial" w:cs="Arial" w:eastAsia="Arial" w:hAnsi="Arial"/>
                <w:sz w:val="18"/>
                <w:szCs w:val="18"/>
                <w:color w:val="auto"/>
              </w:rPr>
              <w:t>Report of Independent Registered Public Accounting Firm</w:t>
            </w:r>
          </w:p>
        </w:tc>
        <w:tc>
          <w:tcPr>
            <w:tcW w:w="460" w:type="dxa"/>
            <w:vAlign w:val="bottom"/>
          </w:tcPr>
          <w:p>
            <w:pPr>
              <w:jc w:val="right"/>
              <w:spacing w:after="0"/>
              <w:rPr>
                <w:rFonts w:ascii="Arial" w:cs="Arial" w:eastAsia="Arial" w:hAnsi="Arial"/>
                <w:sz w:val="18"/>
                <w:szCs w:val="18"/>
                <w:color w:val="auto"/>
              </w:rPr>
            </w:pPr>
            <w:hyperlink w:anchor="page2">
              <w:r>
                <w:rPr>
                  <w:rFonts w:ascii="Arial" w:cs="Arial" w:eastAsia="Arial" w:hAnsi="Arial"/>
                  <w:sz w:val="18"/>
                  <w:szCs w:val="18"/>
                  <w:color w:val="auto"/>
                </w:rPr>
                <w:t>3</w:t>
              </w:r>
            </w:hyperlink>
          </w:p>
        </w:tc>
      </w:tr>
      <w:tr>
        <w:trPr>
          <w:trHeight w:val="148"/>
        </w:trPr>
        <w:tc>
          <w:tcPr>
            <w:tcW w:w="99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250"/>
        </w:trPr>
        <w:tc>
          <w:tcPr>
            <w:tcW w:w="9900" w:type="dxa"/>
            <w:vAlign w:val="bottom"/>
            <w:tcBorders>
              <w:bottom w:val="single" w:sz="8" w:color="B3B3B3"/>
            </w:tcBorders>
            <w:shd w:val="clear" w:color="auto" w:fill="B3B3B3"/>
          </w:tcPr>
          <w:p>
            <w:pPr>
              <w:ind w:left="20"/>
              <w:spacing w:after="0"/>
              <w:rPr>
                <w:sz w:val="20"/>
                <w:szCs w:val="20"/>
                <w:color w:val="auto"/>
              </w:rPr>
            </w:pPr>
            <w:r>
              <w:rPr>
                <w:rFonts w:ascii="Arial" w:cs="Arial" w:eastAsia="Arial" w:hAnsi="Arial"/>
                <w:sz w:val="18"/>
                <w:szCs w:val="18"/>
                <w:color w:val="auto"/>
              </w:rPr>
              <w:t>Financial Statements</w:t>
            </w:r>
          </w:p>
        </w:tc>
        <w:tc>
          <w:tcPr>
            <w:tcW w:w="460" w:type="dxa"/>
            <w:vAlign w:val="bottom"/>
          </w:tcPr>
          <w:p>
            <w:pPr>
              <w:spacing w:after="0"/>
              <w:rPr>
                <w:sz w:val="21"/>
                <w:szCs w:val="21"/>
                <w:color w:val="auto"/>
              </w:rPr>
            </w:pPr>
          </w:p>
        </w:tc>
      </w:tr>
      <w:tr>
        <w:trPr>
          <w:trHeight w:val="418"/>
        </w:trPr>
        <w:tc>
          <w:tcPr>
            <w:tcW w:w="9900" w:type="dxa"/>
            <w:vAlign w:val="bottom"/>
          </w:tcPr>
          <w:p>
            <w:pPr>
              <w:ind w:left="20"/>
              <w:spacing w:after="0"/>
              <w:rPr>
                <w:sz w:val="20"/>
                <w:szCs w:val="20"/>
                <w:color w:val="auto"/>
              </w:rPr>
            </w:pPr>
            <w:r>
              <w:rPr>
                <w:rFonts w:ascii="Arial" w:cs="Arial" w:eastAsia="Arial" w:hAnsi="Arial"/>
                <w:sz w:val="18"/>
                <w:szCs w:val="18"/>
                <w:color w:val="auto"/>
              </w:rPr>
              <w:t>Statements of Net Assets Available for Benefits - 2019</w:t>
            </w:r>
          </w:p>
        </w:tc>
        <w:tc>
          <w:tcPr>
            <w:tcW w:w="460" w:type="dxa"/>
            <w:vAlign w:val="bottom"/>
          </w:tcPr>
          <w:p>
            <w:pPr>
              <w:jc w:val="right"/>
              <w:spacing w:after="0"/>
              <w:rPr>
                <w:rFonts w:ascii="Arial" w:cs="Arial" w:eastAsia="Arial" w:hAnsi="Arial"/>
                <w:sz w:val="18"/>
                <w:szCs w:val="18"/>
                <w:color w:val="auto"/>
              </w:rPr>
            </w:pPr>
            <w:hyperlink w:anchor="page5">
              <w:r>
                <w:rPr>
                  <w:rFonts w:ascii="Arial" w:cs="Arial" w:eastAsia="Arial" w:hAnsi="Arial"/>
                  <w:sz w:val="18"/>
                  <w:szCs w:val="18"/>
                  <w:color w:val="auto"/>
                </w:rPr>
                <w:t>5</w:t>
              </w:r>
            </w:hyperlink>
          </w:p>
        </w:tc>
      </w:tr>
      <w:tr>
        <w:trPr>
          <w:trHeight w:val="270"/>
        </w:trPr>
        <w:tc>
          <w:tcPr>
            <w:tcW w:w="9900" w:type="dxa"/>
            <w:vAlign w:val="bottom"/>
          </w:tcPr>
          <w:p>
            <w:pPr>
              <w:ind w:left="20"/>
              <w:spacing w:after="0"/>
              <w:rPr>
                <w:sz w:val="20"/>
                <w:szCs w:val="20"/>
                <w:color w:val="auto"/>
              </w:rPr>
            </w:pPr>
            <w:r>
              <w:rPr>
                <w:rFonts w:ascii="Arial" w:cs="Arial" w:eastAsia="Arial" w:hAnsi="Arial"/>
                <w:sz w:val="18"/>
                <w:szCs w:val="18"/>
                <w:color w:val="auto"/>
              </w:rPr>
              <w:t>Statements of Net Assets Available for Benefits - 2018</w:t>
            </w:r>
          </w:p>
        </w:tc>
        <w:tc>
          <w:tcPr>
            <w:tcW w:w="460" w:type="dxa"/>
            <w:vAlign w:val="bottom"/>
          </w:tcPr>
          <w:p>
            <w:pPr>
              <w:jc w:val="right"/>
              <w:spacing w:after="0"/>
              <w:rPr>
                <w:rFonts w:ascii="Arial" w:cs="Arial" w:eastAsia="Arial" w:hAnsi="Arial"/>
                <w:sz w:val="18"/>
                <w:szCs w:val="18"/>
                <w:color w:val="auto"/>
              </w:rPr>
            </w:pPr>
            <w:hyperlink w:anchor="page5">
              <w:r>
                <w:rPr>
                  <w:rFonts w:ascii="Arial" w:cs="Arial" w:eastAsia="Arial" w:hAnsi="Arial"/>
                  <w:sz w:val="18"/>
                  <w:szCs w:val="18"/>
                  <w:color w:val="auto"/>
                </w:rPr>
                <w:t>6</w:t>
              </w:r>
            </w:hyperlink>
          </w:p>
        </w:tc>
      </w:tr>
      <w:tr>
        <w:trPr>
          <w:trHeight w:val="270"/>
        </w:trPr>
        <w:tc>
          <w:tcPr>
            <w:tcW w:w="9900" w:type="dxa"/>
            <w:vAlign w:val="bottom"/>
          </w:tcPr>
          <w:p>
            <w:pPr>
              <w:ind w:left="20"/>
              <w:spacing w:after="0"/>
              <w:rPr>
                <w:sz w:val="20"/>
                <w:szCs w:val="20"/>
                <w:color w:val="auto"/>
              </w:rPr>
            </w:pPr>
            <w:r>
              <w:rPr>
                <w:rFonts w:ascii="Arial" w:cs="Arial" w:eastAsia="Arial" w:hAnsi="Arial"/>
                <w:sz w:val="18"/>
                <w:szCs w:val="18"/>
                <w:color w:val="auto"/>
              </w:rPr>
              <w:t>Statements of Changes in Net Assets Available for Benefits</w:t>
            </w:r>
          </w:p>
        </w:tc>
        <w:tc>
          <w:tcPr>
            <w:tcW w:w="460" w:type="dxa"/>
            <w:vAlign w:val="bottom"/>
          </w:tcPr>
          <w:p>
            <w:pPr>
              <w:jc w:val="right"/>
              <w:spacing w:after="0"/>
              <w:rPr>
                <w:rFonts w:ascii="Arial" w:cs="Arial" w:eastAsia="Arial" w:hAnsi="Arial"/>
                <w:sz w:val="18"/>
                <w:szCs w:val="18"/>
                <w:color w:val="auto"/>
              </w:rPr>
            </w:pPr>
            <w:hyperlink w:anchor="page6">
              <w:r>
                <w:rPr>
                  <w:rFonts w:ascii="Arial" w:cs="Arial" w:eastAsia="Arial" w:hAnsi="Arial"/>
                  <w:sz w:val="18"/>
                  <w:szCs w:val="18"/>
                  <w:color w:val="auto"/>
                </w:rPr>
                <w:t>7</w:t>
              </w:r>
            </w:hyperlink>
          </w:p>
        </w:tc>
      </w:tr>
      <w:tr>
        <w:trPr>
          <w:trHeight w:val="270"/>
        </w:trPr>
        <w:tc>
          <w:tcPr>
            <w:tcW w:w="9900" w:type="dxa"/>
            <w:vAlign w:val="bottom"/>
          </w:tcPr>
          <w:p>
            <w:pPr>
              <w:ind w:left="20"/>
              <w:spacing w:after="0"/>
              <w:rPr>
                <w:sz w:val="20"/>
                <w:szCs w:val="20"/>
                <w:color w:val="auto"/>
              </w:rPr>
            </w:pPr>
            <w:r>
              <w:rPr>
                <w:rFonts w:ascii="Arial" w:cs="Arial" w:eastAsia="Arial" w:hAnsi="Arial"/>
                <w:sz w:val="18"/>
                <w:szCs w:val="18"/>
                <w:color w:val="auto"/>
              </w:rPr>
              <w:t>Notes to Financial Statements</w:t>
            </w:r>
          </w:p>
        </w:tc>
        <w:tc>
          <w:tcPr>
            <w:tcW w:w="460" w:type="dxa"/>
            <w:vAlign w:val="bottom"/>
          </w:tcPr>
          <w:p>
            <w:pPr>
              <w:jc w:val="right"/>
              <w:spacing w:after="0"/>
              <w:rPr>
                <w:rFonts w:ascii="Arial" w:cs="Arial" w:eastAsia="Arial" w:hAnsi="Arial"/>
                <w:sz w:val="18"/>
                <w:szCs w:val="18"/>
                <w:color w:val="auto"/>
              </w:rPr>
            </w:pPr>
            <w:hyperlink w:anchor="page7">
              <w:r>
                <w:rPr>
                  <w:rFonts w:ascii="Arial" w:cs="Arial" w:eastAsia="Arial" w:hAnsi="Arial"/>
                  <w:sz w:val="18"/>
                  <w:szCs w:val="18"/>
                  <w:color w:val="auto"/>
                </w:rPr>
                <w:t>8</w:t>
              </w:r>
            </w:hyperlink>
          </w:p>
        </w:tc>
      </w:tr>
      <w:tr>
        <w:trPr>
          <w:trHeight w:val="162"/>
        </w:trPr>
        <w:tc>
          <w:tcPr>
            <w:tcW w:w="9900" w:type="dxa"/>
            <w:vAlign w:val="bottom"/>
          </w:tcPr>
          <w:p>
            <w:pPr>
              <w:spacing w:after="0"/>
              <w:rPr>
                <w:sz w:val="14"/>
                <w:szCs w:val="14"/>
                <w:color w:val="auto"/>
              </w:rPr>
            </w:pPr>
          </w:p>
        </w:tc>
        <w:tc>
          <w:tcPr>
            <w:tcW w:w="460" w:type="dxa"/>
            <w:vAlign w:val="bottom"/>
          </w:tcPr>
          <w:p>
            <w:pPr>
              <w:spacing w:after="0"/>
              <w:rPr>
                <w:sz w:val="14"/>
                <w:szCs w:val="14"/>
                <w:color w:val="auto"/>
              </w:rPr>
            </w:pPr>
          </w:p>
        </w:tc>
      </w:tr>
      <w:tr>
        <w:trPr>
          <w:trHeight w:val="250"/>
        </w:trPr>
        <w:tc>
          <w:tcPr>
            <w:tcW w:w="9900" w:type="dxa"/>
            <w:vAlign w:val="bottom"/>
            <w:tcBorders>
              <w:bottom w:val="single" w:sz="8" w:color="B3B3B3"/>
            </w:tcBorders>
            <w:shd w:val="clear" w:color="auto" w:fill="B3B3B3"/>
          </w:tcPr>
          <w:p>
            <w:pPr>
              <w:ind w:left="20"/>
              <w:spacing w:after="0"/>
              <w:rPr>
                <w:sz w:val="20"/>
                <w:szCs w:val="20"/>
                <w:color w:val="auto"/>
              </w:rPr>
            </w:pPr>
            <w:r>
              <w:rPr>
                <w:rFonts w:ascii="Arial" w:cs="Arial" w:eastAsia="Arial" w:hAnsi="Arial"/>
                <w:sz w:val="18"/>
                <w:szCs w:val="18"/>
                <w:color w:val="auto"/>
              </w:rPr>
              <w:t>Supplemental Schedules</w:t>
            </w:r>
          </w:p>
        </w:tc>
        <w:tc>
          <w:tcPr>
            <w:tcW w:w="460" w:type="dxa"/>
            <w:vAlign w:val="bottom"/>
          </w:tcPr>
          <w:p>
            <w:pPr>
              <w:spacing w:after="0"/>
              <w:rPr>
                <w:sz w:val="21"/>
                <w:szCs w:val="21"/>
                <w:color w:val="auto"/>
              </w:rPr>
            </w:pPr>
          </w:p>
        </w:tc>
      </w:tr>
      <w:tr>
        <w:trPr>
          <w:trHeight w:val="431"/>
        </w:trPr>
        <w:tc>
          <w:tcPr>
            <w:tcW w:w="9900" w:type="dxa"/>
            <w:vAlign w:val="bottom"/>
          </w:tcPr>
          <w:p>
            <w:pPr>
              <w:ind w:left="20"/>
              <w:spacing w:after="0"/>
              <w:rPr>
                <w:sz w:val="20"/>
                <w:szCs w:val="20"/>
                <w:color w:val="auto"/>
              </w:rPr>
            </w:pPr>
            <w:r>
              <w:rPr>
                <w:rFonts w:ascii="Arial" w:cs="Arial" w:eastAsia="Arial" w:hAnsi="Arial"/>
                <w:sz w:val="18"/>
                <w:szCs w:val="18"/>
                <w:color w:val="auto"/>
              </w:rPr>
              <w:t>Schedule of Assets (Held at End of Year) -</w:t>
            </w:r>
          </w:p>
        </w:tc>
        <w:tc>
          <w:tcPr>
            <w:tcW w:w="460" w:type="dxa"/>
            <w:vAlign w:val="bottom"/>
          </w:tcPr>
          <w:p>
            <w:pPr>
              <w:spacing w:after="0"/>
              <w:rPr>
                <w:sz w:val="24"/>
                <w:szCs w:val="24"/>
                <w:color w:val="auto"/>
              </w:rPr>
            </w:pPr>
          </w:p>
        </w:tc>
      </w:tr>
      <w:tr>
        <w:trPr>
          <w:trHeight w:val="257"/>
        </w:trPr>
        <w:tc>
          <w:tcPr>
            <w:tcW w:w="9900" w:type="dxa"/>
            <w:vAlign w:val="bottom"/>
          </w:tcPr>
          <w:p>
            <w:pPr>
              <w:ind w:left="20"/>
              <w:spacing w:after="0"/>
              <w:rPr>
                <w:sz w:val="20"/>
                <w:szCs w:val="20"/>
                <w:color w:val="auto"/>
              </w:rPr>
            </w:pPr>
            <w:r>
              <w:rPr>
                <w:rFonts w:ascii="Arial" w:cs="Arial" w:eastAsia="Arial" w:hAnsi="Arial"/>
                <w:sz w:val="18"/>
                <w:szCs w:val="18"/>
                <w:color w:val="auto"/>
              </w:rPr>
              <w:t>The Lilly Employee 401(k) Plan</w:t>
            </w:r>
          </w:p>
        </w:tc>
        <w:tc>
          <w:tcPr>
            <w:tcW w:w="460" w:type="dxa"/>
            <w:vAlign w:val="bottom"/>
          </w:tcPr>
          <w:p>
            <w:pPr>
              <w:jc w:val="right"/>
              <w:spacing w:after="0"/>
              <w:rPr>
                <w:rFonts w:ascii="Arial" w:cs="Arial" w:eastAsia="Arial" w:hAnsi="Arial"/>
                <w:sz w:val="18"/>
                <w:szCs w:val="18"/>
                <w:color w:val="auto"/>
              </w:rPr>
            </w:pPr>
            <w:hyperlink w:anchor="page19">
              <w:r>
                <w:rPr>
                  <w:rFonts w:ascii="Arial" w:cs="Arial" w:eastAsia="Arial" w:hAnsi="Arial"/>
                  <w:sz w:val="18"/>
                  <w:szCs w:val="18"/>
                  <w:color w:val="auto"/>
                </w:rPr>
                <w:t>20</w:t>
              </w:r>
            </w:hyperlink>
          </w:p>
        </w:tc>
      </w:tr>
      <w:tr>
        <w:trPr>
          <w:trHeight w:val="229"/>
        </w:trPr>
        <w:tc>
          <w:tcPr>
            <w:tcW w:w="9900" w:type="dxa"/>
            <w:vAlign w:val="bottom"/>
          </w:tcPr>
          <w:p>
            <w:pPr>
              <w:ind w:left="20"/>
              <w:spacing w:after="0"/>
              <w:rPr>
                <w:sz w:val="20"/>
                <w:szCs w:val="20"/>
                <w:color w:val="auto"/>
              </w:rPr>
            </w:pPr>
            <w:r>
              <w:rPr>
                <w:rFonts w:ascii="Arial" w:cs="Arial" w:eastAsia="Arial" w:hAnsi="Arial"/>
                <w:sz w:val="18"/>
                <w:szCs w:val="18"/>
                <w:color w:val="auto"/>
              </w:rPr>
              <w:t>Schedule of Assets (Held at End of Year) -</w:t>
            </w:r>
          </w:p>
        </w:tc>
        <w:tc>
          <w:tcPr>
            <w:tcW w:w="460" w:type="dxa"/>
            <w:vAlign w:val="bottom"/>
          </w:tcPr>
          <w:p>
            <w:pPr>
              <w:spacing w:after="0"/>
              <w:rPr>
                <w:sz w:val="19"/>
                <w:szCs w:val="19"/>
                <w:color w:val="auto"/>
              </w:rPr>
            </w:pPr>
          </w:p>
        </w:tc>
      </w:tr>
      <w:tr>
        <w:trPr>
          <w:trHeight w:val="257"/>
        </w:trPr>
        <w:tc>
          <w:tcPr>
            <w:tcW w:w="9900" w:type="dxa"/>
            <w:vAlign w:val="bottom"/>
          </w:tcPr>
          <w:p>
            <w:pPr>
              <w:ind w:left="20"/>
              <w:spacing w:after="0"/>
              <w:rPr>
                <w:sz w:val="20"/>
                <w:szCs w:val="20"/>
                <w:color w:val="auto"/>
              </w:rPr>
            </w:pPr>
            <w:r>
              <w:rPr>
                <w:rFonts w:ascii="Arial" w:cs="Arial" w:eastAsia="Arial" w:hAnsi="Arial"/>
                <w:sz w:val="18"/>
                <w:szCs w:val="18"/>
                <w:color w:val="auto"/>
              </w:rPr>
              <w:t>The Savings Plan for Lilly Affiliate Employees in Puerto Rico</w:t>
            </w:r>
          </w:p>
        </w:tc>
        <w:tc>
          <w:tcPr>
            <w:tcW w:w="460" w:type="dxa"/>
            <w:vAlign w:val="bottom"/>
          </w:tcPr>
          <w:p>
            <w:pPr>
              <w:jc w:val="right"/>
              <w:spacing w:after="0"/>
              <w:rPr>
                <w:rFonts w:ascii="Arial" w:cs="Arial" w:eastAsia="Arial" w:hAnsi="Arial"/>
                <w:sz w:val="18"/>
                <w:szCs w:val="18"/>
                <w:color w:val="auto"/>
              </w:rPr>
            </w:pPr>
            <w:hyperlink w:anchor="page20">
              <w:r>
                <w:rPr>
                  <w:rFonts w:ascii="Arial" w:cs="Arial" w:eastAsia="Arial" w:hAnsi="Arial"/>
                  <w:sz w:val="18"/>
                  <w:szCs w:val="18"/>
                  <w:color w:val="auto"/>
                </w:rPr>
                <w:t>21</w:t>
              </w:r>
            </w:hyperlink>
          </w:p>
        </w:tc>
      </w:tr>
      <w:tr>
        <w:trPr>
          <w:trHeight w:val="270"/>
        </w:trPr>
        <w:tc>
          <w:tcPr>
            <w:tcW w:w="9900" w:type="dxa"/>
            <w:vAlign w:val="bottom"/>
          </w:tcPr>
          <w:p>
            <w:pPr>
              <w:ind w:left="20"/>
              <w:spacing w:after="0"/>
              <w:rPr>
                <w:sz w:val="20"/>
                <w:szCs w:val="20"/>
                <w:color w:val="auto"/>
              </w:rPr>
            </w:pPr>
            <w:r>
              <w:rPr>
                <w:rFonts w:ascii="Arial" w:cs="Arial" w:eastAsia="Arial" w:hAnsi="Arial"/>
                <w:sz w:val="18"/>
                <w:szCs w:val="18"/>
                <w:color w:val="auto"/>
              </w:rPr>
              <w:t>Signatures</w:t>
            </w:r>
          </w:p>
        </w:tc>
        <w:tc>
          <w:tcPr>
            <w:tcW w:w="460" w:type="dxa"/>
            <w:vAlign w:val="bottom"/>
          </w:tcPr>
          <w:p>
            <w:pPr>
              <w:jc w:val="right"/>
              <w:spacing w:after="0"/>
              <w:rPr>
                <w:rFonts w:ascii="Arial" w:cs="Arial" w:eastAsia="Arial" w:hAnsi="Arial"/>
                <w:sz w:val="18"/>
                <w:szCs w:val="18"/>
                <w:color w:val="auto"/>
              </w:rPr>
            </w:pPr>
            <w:hyperlink w:anchor="page21">
              <w:r>
                <w:rPr>
                  <w:rFonts w:ascii="Arial" w:cs="Arial" w:eastAsia="Arial" w:hAnsi="Arial"/>
                  <w:sz w:val="18"/>
                  <w:szCs w:val="18"/>
                  <w:color w:val="auto"/>
                </w:rPr>
                <w:t>22</w:t>
              </w:r>
            </w:hyperlink>
          </w:p>
        </w:tc>
      </w:tr>
      <w:tr>
        <w:trPr>
          <w:trHeight w:val="270"/>
        </w:trPr>
        <w:tc>
          <w:tcPr>
            <w:tcW w:w="9900" w:type="dxa"/>
            <w:vAlign w:val="bottom"/>
          </w:tcPr>
          <w:p>
            <w:pPr>
              <w:ind w:left="20"/>
              <w:spacing w:after="0"/>
              <w:rPr>
                <w:sz w:val="20"/>
                <w:szCs w:val="20"/>
                <w:color w:val="auto"/>
              </w:rPr>
            </w:pPr>
            <w:r>
              <w:rPr>
                <w:rFonts w:ascii="Arial" w:cs="Arial" w:eastAsia="Arial" w:hAnsi="Arial"/>
                <w:sz w:val="18"/>
                <w:szCs w:val="18"/>
                <w:color w:val="auto"/>
              </w:rPr>
              <w:t>Exhibit 23 Consent of Independent Registered Public Accounting Firm</w:t>
            </w:r>
          </w:p>
        </w:tc>
        <w:tc>
          <w:tcPr>
            <w:tcW w:w="460" w:type="dxa"/>
            <w:vAlign w:val="bottom"/>
          </w:tcPr>
          <w:p>
            <w:pPr>
              <w:jc w:val="right"/>
              <w:spacing w:after="0"/>
              <w:rPr>
                <w:rFonts w:ascii="Arial" w:cs="Arial" w:eastAsia="Arial" w:hAnsi="Arial"/>
                <w:sz w:val="18"/>
                <w:szCs w:val="18"/>
                <w:color w:val="auto"/>
              </w:rPr>
            </w:pPr>
            <w:hyperlink w:anchor="page23">
              <w:r>
                <w:rPr>
                  <w:rFonts w:ascii="Arial" w:cs="Arial" w:eastAsia="Arial" w:hAnsi="Arial"/>
                  <w:sz w:val="18"/>
                  <w:szCs w:val="18"/>
                  <w:color w:val="auto"/>
                </w:rPr>
                <w:t>24</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360"/>
          </w:cols>
          <w:pgMar w:left="760" w:top="954" w:right="779" w:bottom="1440" w:gutter="0" w:footer="0" w:header="0"/>
        </w:sectPr>
      </w:pPr>
    </w:p>
    <w:bookmarkStart w:id="2" w:name="page3"/>
    <w:bookmarkEnd w:id="2"/>
    <w:p>
      <w:pPr>
        <w:jc w:val="center"/>
        <w:spacing w:after="0"/>
        <w:rPr>
          <w:sz w:val="20"/>
          <w:szCs w:val="20"/>
          <w:color w:val="auto"/>
        </w:rPr>
      </w:pPr>
      <w:r>
        <w:rPr>
          <w:rFonts w:ascii="Arial" w:cs="Arial" w:eastAsia="Arial" w:hAnsi="Arial"/>
          <w:sz w:val="25"/>
          <w:szCs w:val="25"/>
          <w:b w:val="1"/>
          <w:bCs w:val="1"/>
          <w:color w:val="auto"/>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22"/>
          <w:szCs w:val="22"/>
          <w:color w:val="auto"/>
        </w:rPr>
        <w:t>To the Plan Participants and the Employee Benefits Committee</w:t>
      </w:r>
    </w:p>
    <w:p>
      <w:pPr>
        <w:spacing w:after="0" w:line="34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Opinion on the Financial Statements</w:t>
      </w:r>
    </w:p>
    <w:p>
      <w:pPr>
        <w:spacing w:after="0" w:line="212"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We have audited each of the accompanying statements of net assets available for benefits of The Lilly Employee 401(k) Plan and The Savings Plan for Lilly Affiliate Employees in Puerto Rico (the Plans) as of December 31, 2019 and 2018, and the related statements of changes in net assets available for benefits for the year ended December 31, 2019, and the related notes (collectively referred to as the “financial statements”). In our opinion, the financial statements present fairly, in all material respects, the net assets available for benefits of the Plans at December 31, 2019 and 2018, and the changes in net assets available for benefits for the year ended December 31, 2019, in conformity with U.S. generally accepted accounting principles.</w:t>
      </w:r>
    </w:p>
    <w:p>
      <w:pPr>
        <w:spacing w:after="0" w:line="29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Basis for Opinion</w:t>
      </w:r>
    </w:p>
    <w:p>
      <w:pPr>
        <w:spacing w:after="0" w:line="212"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These financial statements are the responsibility of the Plans’ management. Our responsibility is to express an opinion on the Plans’ financial statements based on our audits. We are a public accounting firm registered with the Public Company Accounting Oversight Board (United States) (PCAOB) and are required to be independent with respect to the Plans in accordance with the U.S. federal securities laws and the applicable rules and regulations of the Securities and Exchange Commission and the PCAOB.</w:t>
      </w:r>
    </w:p>
    <w:p>
      <w:pPr>
        <w:spacing w:after="0" w:line="170"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Plans are not required to have, nor were we engaged to perform, an audit of their internal control over financial reporting. As part of our audits we are required to obtain an understanding of internal control over financial reporting but not for the purpose of expressing an opinion on the effectiveness of the Plans’ internal control over financial reporting. Accordingly, we express no such opinion.</w:t>
      </w:r>
    </w:p>
    <w:p>
      <w:pPr>
        <w:spacing w:after="0" w:line="215"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9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Supplemental Schedules</w:t>
      </w:r>
    </w:p>
    <w:p>
      <w:pPr>
        <w:spacing w:after="0" w:line="212"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The accompanying supplemental schedules of assets (held at end of year) as of December 31, 2019, have been subjected to audit procedures performed in conjunction with the audit of the Plans’ financial statements. The information in the supplemental schedules is the responsibility of the Plans’ management. Our audit procedures included determining whether the information reconciles to the financial statements or the underlying accounting and other records, as applicable, and performing procedures to test the completeness and accuracy of the information presented in the supplemental schedules. In forming our opinion on the information, we evaluated whether such information, including its form and content, is presented in conformity with the Department of Labor’s Rules and Regulations for Reporting and</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062" w:right="339" w:bottom="1440" w:gutter="0" w:footer="0" w:header="0"/>
        </w:sectPr>
      </w:pPr>
    </w:p>
    <w:bookmarkStart w:id="3" w:name="page4"/>
    <w:bookmarkEnd w:id="3"/>
    <w:p>
      <w:pPr>
        <w:spacing w:after="0" w:line="250" w:lineRule="auto"/>
        <w:rPr>
          <w:sz w:val="20"/>
          <w:szCs w:val="20"/>
          <w:color w:val="auto"/>
        </w:rPr>
      </w:pPr>
      <w:r>
        <w:rPr>
          <w:rFonts w:ascii="Arial" w:cs="Arial" w:eastAsia="Arial" w:hAnsi="Arial"/>
          <w:sz w:val="22"/>
          <w:szCs w:val="22"/>
          <w:color w:val="auto"/>
        </w:rPr>
        <w:t>Disclosure under the Employee Retirement Income Security Act of 1974. In our opinion, the information is fairly stated, in all material respects, in relation to the financial statements as a whole.</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22"/>
          <w:szCs w:val="22"/>
          <w:color w:val="auto"/>
        </w:rPr>
        <w:t>/s/ Ernst &amp; Young LLP</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We have served as the Plans’ auditor since at least 1990, but we are unable to determine the specific year.</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Indianapolis, Indiana</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June 16,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888" w:right="339" w:bottom="1440" w:gutter="0" w:footer="0" w:header="0"/>
        </w:sectPr>
      </w:pPr>
    </w:p>
    <w:bookmarkStart w:id="4" w:name="page5"/>
    <w:bookmarkEnd w:id="4"/>
    <w:p>
      <w:pPr>
        <w:jc w:val="center"/>
        <w:ind w:right="20"/>
        <w:spacing w:after="0"/>
        <w:rPr>
          <w:sz w:val="20"/>
          <w:szCs w:val="20"/>
          <w:color w:val="auto"/>
        </w:rPr>
      </w:pPr>
      <w:r>
        <w:rPr>
          <w:rFonts w:ascii="Arial" w:cs="Arial" w:eastAsia="Arial" w:hAnsi="Arial"/>
          <w:sz w:val="22"/>
          <w:szCs w:val="22"/>
          <w:color w:val="auto"/>
        </w:rPr>
        <w:t>The Lilly Employee 401(k) Plan and</w:t>
      </w:r>
    </w:p>
    <w:p>
      <w:pPr>
        <w:spacing w:after="0" w:line="44"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The Savings Plan for Lilly Affiliate Employees in Puerto Rico</w:t>
      </w:r>
    </w:p>
    <w:p>
      <w:pPr>
        <w:spacing w:after="0" w:line="314"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Statements of Net Assets Available for Benefits</w:t>
      </w:r>
    </w:p>
    <w:p>
      <w:pPr>
        <w:spacing w:after="0" w:line="319"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December 31, 2019</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tcPr>
          <w:p>
            <w:pPr>
              <w:jc w:val="right"/>
              <w:ind w:right="370"/>
              <w:spacing w:after="0"/>
              <w:rPr>
                <w:sz w:val="20"/>
                <w:szCs w:val="20"/>
                <w:color w:val="auto"/>
              </w:rPr>
            </w:pPr>
            <w:r>
              <w:rPr>
                <w:rFonts w:ascii="Arial" w:cs="Arial" w:eastAsia="Arial" w:hAnsi="Arial"/>
                <w:sz w:val="18"/>
                <w:szCs w:val="18"/>
                <w:b w:val="1"/>
                <w:bCs w:val="1"/>
                <w:color w:val="auto"/>
              </w:rPr>
              <w:t>The Savings</w:t>
            </w:r>
          </w:p>
        </w:tc>
        <w:tc>
          <w:tcPr>
            <w:tcW w:w="0" w:type="dxa"/>
            <w:vAlign w:val="bottom"/>
          </w:tcPr>
          <w:p>
            <w:pPr>
              <w:spacing w:after="0"/>
              <w:rPr>
                <w:sz w:val="1"/>
                <w:szCs w:val="1"/>
                <w:color w:val="auto"/>
              </w:rPr>
            </w:pPr>
          </w:p>
        </w:tc>
      </w:tr>
      <w:tr>
        <w:trPr>
          <w:trHeight w:val="216"/>
        </w:trPr>
        <w:tc>
          <w:tcPr>
            <w:tcW w:w="5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tcPr>
          <w:p>
            <w:pPr>
              <w:jc w:val="right"/>
              <w:ind w:right="310"/>
              <w:spacing w:after="0"/>
              <w:rPr>
                <w:sz w:val="20"/>
                <w:szCs w:val="20"/>
                <w:color w:val="auto"/>
              </w:rPr>
            </w:pPr>
            <w:r>
              <w:rPr>
                <w:rFonts w:ascii="Arial" w:cs="Arial" w:eastAsia="Arial" w:hAnsi="Arial"/>
                <w:sz w:val="18"/>
                <w:szCs w:val="18"/>
                <w:b w:val="1"/>
                <w:bCs w:val="1"/>
                <w:color w:val="auto"/>
              </w:rPr>
              <w:t>Plan for Lilly</w:t>
            </w:r>
          </w:p>
        </w:tc>
        <w:tc>
          <w:tcPr>
            <w:tcW w:w="0" w:type="dxa"/>
            <w:vAlign w:val="bottom"/>
          </w:tcPr>
          <w:p>
            <w:pPr>
              <w:spacing w:after="0"/>
              <w:rPr>
                <w:sz w:val="1"/>
                <w:szCs w:val="1"/>
                <w:color w:val="auto"/>
              </w:rPr>
            </w:pPr>
          </w:p>
        </w:tc>
      </w:tr>
      <w:tr>
        <w:trPr>
          <w:trHeight w:val="216"/>
        </w:trPr>
        <w:tc>
          <w:tcPr>
            <w:tcW w:w="5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20" w:type="dxa"/>
            <w:vAlign w:val="bottom"/>
            <w:gridSpan w:val="2"/>
          </w:tcPr>
          <w:p>
            <w:pPr>
              <w:jc w:val="center"/>
              <w:ind w:right="880"/>
              <w:spacing w:after="0"/>
              <w:rPr>
                <w:sz w:val="20"/>
                <w:szCs w:val="20"/>
                <w:color w:val="auto"/>
              </w:rPr>
            </w:pPr>
            <w:r>
              <w:rPr>
                <w:rFonts w:ascii="Arial" w:cs="Arial" w:eastAsia="Arial" w:hAnsi="Arial"/>
                <w:sz w:val="18"/>
                <w:szCs w:val="18"/>
                <w:b w:val="1"/>
                <w:bCs w:val="1"/>
                <w:color w:val="auto"/>
                <w:w w:val="91"/>
              </w:rPr>
              <w:t>The Lilly Employee</w:t>
            </w:r>
          </w:p>
        </w:tc>
        <w:tc>
          <w:tcPr>
            <w:tcW w:w="1800" w:type="dxa"/>
            <w:vAlign w:val="bottom"/>
            <w:gridSpan w:val="2"/>
          </w:tcPr>
          <w:p>
            <w:pPr>
              <w:jc w:val="right"/>
              <w:spacing w:after="0"/>
              <w:rPr>
                <w:sz w:val="20"/>
                <w:szCs w:val="20"/>
                <w:color w:val="auto"/>
              </w:rPr>
            </w:pPr>
            <w:r>
              <w:rPr>
                <w:rFonts w:ascii="Arial" w:cs="Arial" w:eastAsia="Arial" w:hAnsi="Arial"/>
                <w:sz w:val="18"/>
                <w:szCs w:val="18"/>
                <w:b w:val="1"/>
                <w:bCs w:val="1"/>
                <w:color w:val="auto"/>
                <w:w w:val="91"/>
              </w:rPr>
              <w:t>Affiliate Employees in</w:t>
            </w:r>
          </w:p>
        </w:tc>
        <w:tc>
          <w:tcPr>
            <w:tcW w:w="0" w:type="dxa"/>
            <w:vAlign w:val="bottom"/>
          </w:tcPr>
          <w:p>
            <w:pPr>
              <w:spacing w:after="0"/>
              <w:rPr>
                <w:sz w:val="1"/>
                <w:szCs w:val="1"/>
                <w:color w:val="auto"/>
              </w:rPr>
            </w:pPr>
          </w:p>
        </w:tc>
      </w:tr>
      <w:tr>
        <w:trPr>
          <w:trHeight w:val="234"/>
        </w:trPr>
        <w:tc>
          <w:tcPr>
            <w:tcW w:w="5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20" w:type="dxa"/>
            <w:vAlign w:val="bottom"/>
            <w:gridSpan w:val="2"/>
          </w:tcPr>
          <w:p>
            <w:pPr>
              <w:jc w:val="center"/>
              <w:ind w:right="900"/>
              <w:spacing w:after="0"/>
              <w:rPr>
                <w:sz w:val="20"/>
                <w:szCs w:val="20"/>
                <w:color w:val="auto"/>
              </w:rPr>
            </w:pPr>
            <w:r>
              <w:rPr>
                <w:rFonts w:ascii="Arial" w:cs="Arial" w:eastAsia="Arial" w:hAnsi="Arial"/>
                <w:sz w:val="18"/>
                <w:szCs w:val="18"/>
                <w:b w:val="1"/>
                <w:bCs w:val="1"/>
                <w:color w:val="auto"/>
                <w:w w:val="92"/>
              </w:rPr>
              <w:t>401(k) Plan</w:t>
            </w:r>
          </w:p>
        </w:tc>
        <w:tc>
          <w:tcPr>
            <w:tcW w:w="240" w:type="dxa"/>
            <w:vAlign w:val="bottom"/>
          </w:tcPr>
          <w:p>
            <w:pPr>
              <w:spacing w:after="0"/>
              <w:rPr>
                <w:sz w:val="20"/>
                <w:szCs w:val="20"/>
                <w:color w:val="auto"/>
              </w:rPr>
            </w:pPr>
          </w:p>
        </w:tc>
        <w:tc>
          <w:tcPr>
            <w:tcW w:w="1560" w:type="dxa"/>
            <w:vAlign w:val="bottom"/>
          </w:tcPr>
          <w:p>
            <w:pPr>
              <w:jc w:val="right"/>
              <w:ind w:right="350"/>
              <w:spacing w:after="0"/>
              <w:rPr>
                <w:sz w:val="20"/>
                <w:szCs w:val="20"/>
                <w:color w:val="auto"/>
              </w:rPr>
            </w:pPr>
            <w:r>
              <w:rPr>
                <w:rFonts w:ascii="Arial" w:cs="Arial" w:eastAsia="Arial" w:hAnsi="Arial"/>
                <w:sz w:val="18"/>
                <w:szCs w:val="18"/>
                <w:b w:val="1"/>
                <w:bCs w:val="1"/>
                <w:color w:val="auto"/>
              </w:rPr>
              <w:t>Puerto Rico</w:t>
            </w:r>
          </w:p>
        </w:tc>
        <w:tc>
          <w:tcPr>
            <w:tcW w:w="0" w:type="dxa"/>
            <w:vAlign w:val="bottom"/>
          </w:tcPr>
          <w:p>
            <w:pPr>
              <w:spacing w:after="0"/>
              <w:rPr>
                <w:sz w:val="1"/>
                <w:szCs w:val="1"/>
                <w:color w:val="auto"/>
              </w:rPr>
            </w:pPr>
          </w:p>
        </w:tc>
      </w:tr>
      <w:tr>
        <w:trPr>
          <w:trHeight w:val="27"/>
        </w:trPr>
        <w:tc>
          <w:tcPr>
            <w:tcW w:w="5200" w:type="dxa"/>
            <w:vAlign w:val="bottom"/>
            <w:vMerge w:val="restart"/>
          </w:tcPr>
          <w:p>
            <w:pPr>
              <w:spacing w:after="0"/>
              <w:rPr>
                <w:sz w:val="20"/>
                <w:szCs w:val="20"/>
                <w:color w:val="auto"/>
              </w:rPr>
            </w:pPr>
            <w:r>
              <w:rPr>
                <w:rFonts w:ascii="Arial" w:cs="Arial" w:eastAsia="Arial" w:hAnsi="Arial"/>
                <w:sz w:val="18"/>
                <w:szCs w:val="18"/>
                <w:color w:val="auto"/>
              </w:rPr>
              <w:t>Assets</w:t>
            </w:r>
          </w:p>
        </w:tc>
        <w:tc>
          <w:tcPr>
            <w:tcW w:w="1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2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5200" w:type="dxa"/>
            <w:vAlign w:val="bottom"/>
          </w:tcPr>
          <w:p>
            <w:pPr>
              <w:spacing w:after="0"/>
              <w:rPr>
                <w:sz w:val="20"/>
                <w:szCs w:val="20"/>
                <w:color w:val="auto"/>
              </w:rPr>
            </w:pPr>
            <w:r>
              <w:rPr>
                <w:rFonts w:ascii="Arial" w:cs="Arial" w:eastAsia="Arial" w:hAnsi="Arial"/>
                <w:sz w:val="18"/>
                <w:szCs w:val="18"/>
                <w:color w:val="auto"/>
              </w:rPr>
              <w:t>Investments - Plan's interest in net assets of The Lilly Employee</w:t>
            </w:r>
          </w:p>
        </w:tc>
        <w:tc>
          <w:tcPr>
            <w:tcW w:w="12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5200" w:type="dxa"/>
            <w:vAlign w:val="bottom"/>
          </w:tcPr>
          <w:p>
            <w:pPr>
              <w:spacing w:after="0"/>
              <w:rPr>
                <w:sz w:val="20"/>
                <w:szCs w:val="20"/>
                <w:color w:val="auto"/>
              </w:rPr>
            </w:pPr>
            <w:r>
              <w:rPr>
                <w:rFonts w:ascii="Arial" w:cs="Arial" w:eastAsia="Arial" w:hAnsi="Arial"/>
                <w:sz w:val="18"/>
                <w:szCs w:val="18"/>
                <w:color w:val="auto"/>
              </w:rPr>
              <w:t>Savings Plan Master Trust: (Notes 3 and 4)</w:t>
            </w:r>
          </w:p>
        </w:tc>
        <w:tc>
          <w:tcPr>
            <w:tcW w:w="1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5200" w:type="dxa"/>
            <w:vAlign w:val="bottom"/>
          </w:tcPr>
          <w:p>
            <w:pPr>
              <w:ind w:left="340"/>
              <w:spacing w:after="0"/>
              <w:rPr>
                <w:sz w:val="20"/>
                <w:szCs w:val="20"/>
                <w:color w:val="auto"/>
              </w:rPr>
            </w:pPr>
            <w:r>
              <w:rPr>
                <w:rFonts w:ascii="Arial" w:cs="Arial" w:eastAsia="Arial" w:hAnsi="Arial"/>
                <w:sz w:val="18"/>
                <w:szCs w:val="18"/>
                <w:color w:val="auto"/>
              </w:rPr>
              <w:t>Registered investment companies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Pr>
          <w:p>
            <w:pPr>
              <w:jc w:val="right"/>
              <w:ind w:right="70"/>
              <w:spacing w:after="0"/>
              <w:rPr>
                <w:sz w:val="20"/>
                <w:szCs w:val="20"/>
                <w:color w:val="auto"/>
              </w:rPr>
            </w:pPr>
            <w:r>
              <w:rPr>
                <w:rFonts w:ascii="Arial" w:cs="Arial" w:eastAsia="Arial" w:hAnsi="Arial"/>
                <w:sz w:val="18"/>
                <w:szCs w:val="18"/>
                <w:color w:val="auto"/>
              </w:rPr>
              <w:t>290,614,672</w:t>
            </w:r>
          </w:p>
        </w:tc>
        <w:tc>
          <w:tcPr>
            <w:tcW w:w="740" w:type="dxa"/>
            <w:vAlign w:val="bottom"/>
          </w:tcPr>
          <w:p>
            <w:pPr>
              <w:spacing w:after="0"/>
              <w:rPr>
                <w:sz w:val="24"/>
                <w:szCs w:val="24"/>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ind w:right="50"/>
              <w:spacing w:after="0"/>
              <w:rPr>
                <w:sz w:val="20"/>
                <w:szCs w:val="20"/>
                <w:color w:val="auto"/>
              </w:rPr>
            </w:pPr>
            <w:r>
              <w:rPr>
                <w:rFonts w:ascii="Arial" w:cs="Arial" w:eastAsia="Arial" w:hAnsi="Arial"/>
                <w:sz w:val="18"/>
                <w:szCs w:val="18"/>
                <w:color w:val="auto"/>
              </w:rPr>
              <w:t>4,003,566</w:t>
            </w:r>
          </w:p>
        </w:tc>
        <w:tc>
          <w:tcPr>
            <w:tcW w:w="0" w:type="dxa"/>
            <w:vAlign w:val="bottom"/>
          </w:tcPr>
          <w:p>
            <w:pPr>
              <w:spacing w:after="0"/>
              <w:rPr>
                <w:sz w:val="1"/>
                <w:szCs w:val="1"/>
                <w:color w:val="auto"/>
              </w:rPr>
            </w:pPr>
          </w:p>
        </w:tc>
      </w:tr>
      <w:tr>
        <w:trPr>
          <w:trHeight w:val="243"/>
        </w:trPr>
        <w:tc>
          <w:tcPr>
            <w:tcW w:w="5200" w:type="dxa"/>
            <w:vAlign w:val="bottom"/>
          </w:tcPr>
          <w:p>
            <w:pPr>
              <w:ind w:left="320"/>
              <w:spacing w:after="0"/>
              <w:rPr>
                <w:sz w:val="20"/>
                <w:szCs w:val="20"/>
                <w:color w:val="auto"/>
              </w:rPr>
            </w:pPr>
            <w:r>
              <w:rPr>
                <w:rFonts w:ascii="Arial" w:cs="Arial" w:eastAsia="Arial" w:hAnsi="Arial"/>
                <w:sz w:val="18"/>
                <w:szCs w:val="18"/>
                <w:color w:val="auto"/>
              </w:rPr>
              <w:t>Self-directed brokerage accounts</w:t>
            </w:r>
          </w:p>
        </w:tc>
        <w:tc>
          <w:tcPr>
            <w:tcW w:w="120" w:type="dxa"/>
            <w:vAlign w:val="bottom"/>
          </w:tcPr>
          <w:p>
            <w:pPr>
              <w:spacing w:after="0"/>
              <w:rPr>
                <w:sz w:val="21"/>
                <w:szCs w:val="21"/>
                <w:color w:val="auto"/>
              </w:rPr>
            </w:pPr>
          </w:p>
        </w:tc>
        <w:tc>
          <w:tcPr>
            <w:tcW w:w="1680" w:type="dxa"/>
            <w:vAlign w:val="bottom"/>
          </w:tcPr>
          <w:p>
            <w:pPr>
              <w:jc w:val="right"/>
              <w:ind w:right="70"/>
              <w:spacing w:after="0"/>
              <w:rPr>
                <w:sz w:val="20"/>
                <w:szCs w:val="20"/>
                <w:color w:val="auto"/>
              </w:rPr>
            </w:pPr>
            <w:r>
              <w:rPr>
                <w:rFonts w:ascii="Arial" w:cs="Arial" w:eastAsia="Arial" w:hAnsi="Arial"/>
                <w:sz w:val="18"/>
                <w:szCs w:val="18"/>
                <w:color w:val="auto"/>
              </w:rPr>
              <w:t>219,935,732</w:t>
            </w:r>
          </w:p>
        </w:tc>
        <w:tc>
          <w:tcPr>
            <w:tcW w:w="7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60" w:type="dxa"/>
            <w:vAlign w:val="bottom"/>
          </w:tcPr>
          <w:p>
            <w:pPr>
              <w:jc w:val="right"/>
              <w:ind w:right="50"/>
              <w:spacing w:after="0"/>
              <w:rPr>
                <w:sz w:val="20"/>
                <w:szCs w:val="20"/>
                <w:color w:val="auto"/>
              </w:rPr>
            </w:pPr>
            <w:r>
              <w:rPr>
                <w:rFonts w:ascii="Arial" w:cs="Arial" w:eastAsia="Arial" w:hAnsi="Arial"/>
                <w:sz w:val="18"/>
                <w:szCs w:val="18"/>
                <w:color w:val="auto"/>
              </w:rPr>
              <w:t>589,103</w:t>
            </w:r>
          </w:p>
        </w:tc>
        <w:tc>
          <w:tcPr>
            <w:tcW w:w="0" w:type="dxa"/>
            <w:vAlign w:val="bottom"/>
          </w:tcPr>
          <w:p>
            <w:pPr>
              <w:spacing w:after="0"/>
              <w:rPr>
                <w:sz w:val="1"/>
                <w:szCs w:val="1"/>
                <w:color w:val="auto"/>
              </w:rPr>
            </w:pPr>
          </w:p>
        </w:tc>
      </w:tr>
      <w:tr>
        <w:trPr>
          <w:trHeight w:val="270"/>
        </w:trPr>
        <w:tc>
          <w:tcPr>
            <w:tcW w:w="5200" w:type="dxa"/>
            <w:vAlign w:val="bottom"/>
          </w:tcPr>
          <w:p>
            <w:pPr>
              <w:ind w:left="320"/>
              <w:spacing w:after="0"/>
              <w:rPr>
                <w:sz w:val="20"/>
                <w:szCs w:val="20"/>
                <w:color w:val="auto"/>
              </w:rPr>
            </w:pPr>
            <w:r>
              <w:rPr>
                <w:rFonts w:ascii="Arial" w:cs="Arial" w:eastAsia="Arial" w:hAnsi="Arial"/>
                <w:sz w:val="18"/>
                <w:szCs w:val="18"/>
                <w:color w:val="auto"/>
              </w:rPr>
              <w:t>Eli Lilly and Company common stock</w:t>
            </w:r>
          </w:p>
        </w:tc>
        <w:tc>
          <w:tcPr>
            <w:tcW w:w="120" w:type="dxa"/>
            <w:vAlign w:val="bottom"/>
          </w:tcPr>
          <w:p>
            <w:pPr>
              <w:spacing w:after="0"/>
              <w:rPr>
                <w:sz w:val="23"/>
                <w:szCs w:val="23"/>
                <w:color w:val="auto"/>
              </w:rPr>
            </w:pPr>
          </w:p>
        </w:tc>
        <w:tc>
          <w:tcPr>
            <w:tcW w:w="1680" w:type="dxa"/>
            <w:vAlign w:val="bottom"/>
          </w:tcPr>
          <w:p>
            <w:pPr>
              <w:jc w:val="right"/>
              <w:ind w:right="70"/>
              <w:spacing w:after="0"/>
              <w:rPr>
                <w:sz w:val="20"/>
                <w:szCs w:val="20"/>
                <w:color w:val="auto"/>
              </w:rPr>
            </w:pPr>
            <w:r>
              <w:rPr>
                <w:rFonts w:ascii="Arial" w:cs="Arial" w:eastAsia="Arial" w:hAnsi="Arial"/>
                <w:sz w:val="18"/>
                <w:szCs w:val="18"/>
                <w:color w:val="auto"/>
              </w:rPr>
              <w:t>766,793,420</w:t>
            </w:r>
          </w:p>
        </w:tc>
        <w:tc>
          <w:tcPr>
            <w:tcW w:w="7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560" w:type="dxa"/>
            <w:vAlign w:val="bottom"/>
          </w:tcPr>
          <w:p>
            <w:pPr>
              <w:jc w:val="right"/>
              <w:ind w:right="50"/>
              <w:spacing w:after="0"/>
              <w:rPr>
                <w:sz w:val="20"/>
                <w:szCs w:val="20"/>
                <w:color w:val="auto"/>
              </w:rPr>
            </w:pPr>
            <w:r>
              <w:rPr>
                <w:rFonts w:ascii="Arial" w:cs="Arial" w:eastAsia="Arial" w:hAnsi="Arial"/>
                <w:sz w:val="18"/>
                <w:szCs w:val="18"/>
                <w:color w:val="auto"/>
              </w:rPr>
              <w:t>45,583,187</w:t>
            </w:r>
          </w:p>
        </w:tc>
        <w:tc>
          <w:tcPr>
            <w:tcW w:w="0" w:type="dxa"/>
            <w:vAlign w:val="bottom"/>
          </w:tcPr>
          <w:p>
            <w:pPr>
              <w:spacing w:after="0"/>
              <w:rPr>
                <w:sz w:val="1"/>
                <w:szCs w:val="1"/>
                <w:color w:val="auto"/>
              </w:rPr>
            </w:pPr>
          </w:p>
        </w:tc>
      </w:tr>
      <w:tr>
        <w:trPr>
          <w:trHeight w:val="270"/>
        </w:trPr>
        <w:tc>
          <w:tcPr>
            <w:tcW w:w="5200" w:type="dxa"/>
            <w:vAlign w:val="bottom"/>
          </w:tcPr>
          <w:p>
            <w:pPr>
              <w:ind w:left="320"/>
              <w:spacing w:after="0"/>
              <w:rPr>
                <w:sz w:val="20"/>
                <w:szCs w:val="20"/>
                <w:color w:val="auto"/>
              </w:rPr>
            </w:pPr>
            <w:r>
              <w:rPr>
                <w:rFonts w:ascii="Arial" w:cs="Arial" w:eastAsia="Arial" w:hAnsi="Arial"/>
                <w:sz w:val="18"/>
                <w:szCs w:val="18"/>
                <w:color w:val="auto"/>
              </w:rPr>
              <w:t>Interest in common/collective trusts</w:t>
            </w:r>
          </w:p>
        </w:tc>
        <w:tc>
          <w:tcPr>
            <w:tcW w:w="120" w:type="dxa"/>
            <w:vAlign w:val="bottom"/>
          </w:tcPr>
          <w:p>
            <w:pPr>
              <w:spacing w:after="0"/>
              <w:rPr>
                <w:sz w:val="23"/>
                <w:szCs w:val="23"/>
                <w:color w:val="auto"/>
              </w:rPr>
            </w:pPr>
          </w:p>
        </w:tc>
        <w:tc>
          <w:tcPr>
            <w:tcW w:w="1680" w:type="dxa"/>
            <w:vAlign w:val="bottom"/>
          </w:tcPr>
          <w:p>
            <w:pPr>
              <w:jc w:val="right"/>
              <w:ind w:right="70"/>
              <w:spacing w:after="0"/>
              <w:rPr>
                <w:sz w:val="20"/>
                <w:szCs w:val="20"/>
                <w:color w:val="auto"/>
              </w:rPr>
            </w:pPr>
            <w:r>
              <w:rPr>
                <w:rFonts w:ascii="Arial" w:cs="Arial" w:eastAsia="Arial" w:hAnsi="Arial"/>
                <w:sz w:val="18"/>
                <w:szCs w:val="18"/>
                <w:color w:val="auto"/>
              </w:rPr>
              <w:t>4,961,376,162</w:t>
            </w:r>
          </w:p>
        </w:tc>
        <w:tc>
          <w:tcPr>
            <w:tcW w:w="7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560" w:type="dxa"/>
            <w:vAlign w:val="bottom"/>
          </w:tcPr>
          <w:p>
            <w:pPr>
              <w:jc w:val="right"/>
              <w:ind w:right="50"/>
              <w:spacing w:after="0"/>
              <w:rPr>
                <w:sz w:val="20"/>
                <w:szCs w:val="20"/>
                <w:color w:val="auto"/>
              </w:rPr>
            </w:pPr>
            <w:r>
              <w:rPr>
                <w:rFonts w:ascii="Arial" w:cs="Arial" w:eastAsia="Arial" w:hAnsi="Arial"/>
                <w:sz w:val="18"/>
                <w:szCs w:val="18"/>
                <w:color w:val="auto"/>
              </w:rPr>
              <w:t>147,208,353</w:t>
            </w:r>
          </w:p>
        </w:tc>
        <w:tc>
          <w:tcPr>
            <w:tcW w:w="0" w:type="dxa"/>
            <w:vAlign w:val="bottom"/>
          </w:tcPr>
          <w:p>
            <w:pPr>
              <w:spacing w:after="0"/>
              <w:rPr>
                <w:sz w:val="1"/>
                <w:szCs w:val="1"/>
                <w:color w:val="auto"/>
              </w:rPr>
            </w:pPr>
          </w:p>
        </w:tc>
      </w:tr>
      <w:tr>
        <w:trPr>
          <w:trHeight w:val="270"/>
        </w:trPr>
        <w:tc>
          <w:tcPr>
            <w:tcW w:w="5200" w:type="dxa"/>
            <w:vAlign w:val="bottom"/>
          </w:tcPr>
          <w:p>
            <w:pPr>
              <w:ind w:left="320"/>
              <w:spacing w:after="0"/>
              <w:rPr>
                <w:sz w:val="20"/>
                <w:szCs w:val="20"/>
                <w:color w:val="auto"/>
              </w:rPr>
            </w:pPr>
            <w:r>
              <w:rPr>
                <w:rFonts w:ascii="Arial" w:cs="Arial" w:eastAsia="Arial" w:hAnsi="Arial"/>
                <w:sz w:val="18"/>
                <w:szCs w:val="18"/>
                <w:color w:val="auto"/>
              </w:rPr>
              <w:t>Other common stock</w:t>
            </w:r>
          </w:p>
        </w:tc>
        <w:tc>
          <w:tcPr>
            <w:tcW w:w="120" w:type="dxa"/>
            <w:vAlign w:val="bottom"/>
          </w:tcPr>
          <w:p>
            <w:pPr>
              <w:spacing w:after="0"/>
              <w:rPr>
                <w:sz w:val="23"/>
                <w:szCs w:val="23"/>
                <w:color w:val="auto"/>
              </w:rPr>
            </w:pPr>
          </w:p>
        </w:tc>
        <w:tc>
          <w:tcPr>
            <w:tcW w:w="1680" w:type="dxa"/>
            <w:vAlign w:val="bottom"/>
          </w:tcPr>
          <w:p>
            <w:pPr>
              <w:jc w:val="right"/>
              <w:ind w:right="70"/>
              <w:spacing w:after="0"/>
              <w:rPr>
                <w:sz w:val="20"/>
                <w:szCs w:val="20"/>
                <w:color w:val="auto"/>
              </w:rPr>
            </w:pPr>
            <w:r>
              <w:rPr>
                <w:rFonts w:ascii="Arial" w:cs="Arial" w:eastAsia="Arial" w:hAnsi="Arial"/>
                <w:sz w:val="18"/>
                <w:szCs w:val="18"/>
                <w:color w:val="auto"/>
              </w:rPr>
              <w:t>76,166,068</w:t>
            </w:r>
          </w:p>
        </w:tc>
        <w:tc>
          <w:tcPr>
            <w:tcW w:w="7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560" w:type="dxa"/>
            <w:vAlign w:val="bottom"/>
          </w:tcPr>
          <w:p>
            <w:pPr>
              <w:jc w:val="right"/>
              <w:ind w:right="50"/>
              <w:spacing w:after="0"/>
              <w:rPr>
                <w:sz w:val="20"/>
                <w:szCs w:val="20"/>
                <w:color w:val="auto"/>
              </w:rPr>
            </w:pPr>
            <w:r>
              <w:rPr>
                <w:rFonts w:ascii="Arial" w:cs="Arial" w:eastAsia="Arial" w:hAnsi="Arial"/>
                <w:sz w:val="18"/>
                <w:szCs w:val="18"/>
                <w:color w:val="auto"/>
              </w:rPr>
              <w:t>2,214,670</w:t>
            </w:r>
          </w:p>
        </w:tc>
        <w:tc>
          <w:tcPr>
            <w:tcW w:w="0" w:type="dxa"/>
            <w:vAlign w:val="bottom"/>
          </w:tcPr>
          <w:p>
            <w:pPr>
              <w:spacing w:after="0"/>
              <w:rPr>
                <w:sz w:val="1"/>
                <w:szCs w:val="1"/>
                <w:color w:val="auto"/>
              </w:rPr>
            </w:pPr>
          </w:p>
        </w:tc>
      </w:tr>
      <w:tr>
        <w:trPr>
          <w:trHeight w:val="270"/>
        </w:trPr>
        <w:tc>
          <w:tcPr>
            <w:tcW w:w="5200" w:type="dxa"/>
            <w:vAlign w:val="bottom"/>
          </w:tcPr>
          <w:p>
            <w:pPr>
              <w:ind w:left="320"/>
              <w:spacing w:after="0"/>
              <w:rPr>
                <w:sz w:val="20"/>
                <w:szCs w:val="20"/>
                <w:color w:val="auto"/>
              </w:rPr>
            </w:pPr>
            <w:r>
              <w:rPr>
                <w:rFonts w:ascii="Arial" w:cs="Arial" w:eastAsia="Arial" w:hAnsi="Arial"/>
                <w:sz w:val="18"/>
                <w:szCs w:val="18"/>
                <w:color w:val="auto"/>
              </w:rPr>
              <w:t>Synthetic GICs, at contract value</w:t>
            </w:r>
          </w:p>
        </w:tc>
        <w:tc>
          <w:tcPr>
            <w:tcW w:w="120" w:type="dxa"/>
            <w:vAlign w:val="bottom"/>
          </w:tcPr>
          <w:p>
            <w:pPr>
              <w:spacing w:after="0"/>
              <w:rPr>
                <w:sz w:val="23"/>
                <w:szCs w:val="23"/>
                <w:color w:val="auto"/>
              </w:rPr>
            </w:pPr>
          </w:p>
        </w:tc>
        <w:tc>
          <w:tcPr>
            <w:tcW w:w="1680" w:type="dxa"/>
            <w:vAlign w:val="bottom"/>
          </w:tcPr>
          <w:p>
            <w:pPr>
              <w:jc w:val="right"/>
              <w:ind w:right="70"/>
              <w:spacing w:after="0"/>
              <w:rPr>
                <w:sz w:val="20"/>
                <w:szCs w:val="20"/>
                <w:color w:val="auto"/>
              </w:rPr>
            </w:pPr>
            <w:r>
              <w:rPr>
                <w:rFonts w:ascii="Arial" w:cs="Arial" w:eastAsia="Arial" w:hAnsi="Arial"/>
                <w:sz w:val="18"/>
                <w:szCs w:val="18"/>
                <w:color w:val="auto"/>
              </w:rPr>
              <w:t>852,877,120</w:t>
            </w:r>
          </w:p>
        </w:tc>
        <w:tc>
          <w:tcPr>
            <w:tcW w:w="7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560" w:type="dxa"/>
            <w:vAlign w:val="bottom"/>
          </w:tcPr>
          <w:p>
            <w:pPr>
              <w:jc w:val="right"/>
              <w:ind w:right="50"/>
              <w:spacing w:after="0"/>
              <w:rPr>
                <w:sz w:val="20"/>
                <w:szCs w:val="20"/>
                <w:color w:val="auto"/>
              </w:rPr>
            </w:pPr>
            <w:r>
              <w:rPr>
                <w:rFonts w:ascii="Arial" w:cs="Arial" w:eastAsia="Arial" w:hAnsi="Arial"/>
                <w:sz w:val="18"/>
                <w:szCs w:val="18"/>
                <w:color w:val="auto"/>
              </w:rPr>
              <w:t>42,624,857</w:t>
            </w:r>
          </w:p>
        </w:tc>
        <w:tc>
          <w:tcPr>
            <w:tcW w:w="0" w:type="dxa"/>
            <w:vAlign w:val="bottom"/>
          </w:tcPr>
          <w:p>
            <w:pPr>
              <w:spacing w:after="0"/>
              <w:rPr>
                <w:sz w:val="1"/>
                <w:szCs w:val="1"/>
                <w:color w:val="auto"/>
              </w:rPr>
            </w:pPr>
          </w:p>
        </w:tc>
      </w:tr>
      <w:tr>
        <w:trPr>
          <w:trHeight w:val="270"/>
        </w:trPr>
        <w:tc>
          <w:tcPr>
            <w:tcW w:w="5200" w:type="dxa"/>
            <w:vAlign w:val="bottom"/>
          </w:tcPr>
          <w:p>
            <w:pPr>
              <w:ind w:left="320"/>
              <w:spacing w:after="0"/>
              <w:rPr>
                <w:sz w:val="20"/>
                <w:szCs w:val="20"/>
                <w:color w:val="auto"/>
              </w:rPr>
            </w:pPr>
            <w:r>
              <w:rPr>
                <w:rFonts w:ascii="Arial" w:cs="Arial" w:eastAsia="Arial" w:hAnsi="Arial"/>
                <w:sz w:val="18"/>
                <w:szCs w:val="18"/>
                <w:color w:val="auto"/>
              </w:rPr>
              <w:t>Accrued income and pending trades - Sales</w:t>
            </w:r>
          </w:p>
        </w:tc>
        <w:tc>
          <w:tcPr>
            <w:tcW w:w="120" w:type="dxa"/>
            <w:vAlign w:val="bottom"/>
          </w:tcPr>
          <w:p>
            <w:pPr>
              <w:spacing w:after="0"/>
              <w:rPr>
                <w:sz w:val="23"/>
                <w:szCs w:val="23"/>
                <w:color w:val="auto"/>
              </w:rPr>
            </w:pPr>
          </w:p>
        </w:tc>
        <w:tc>
          <w:tcPr>
            <w:tcW w:w="1680" w:type="dxa"/>
            <w:vAlign w:val="bottom"/>
          </w:tcPr>
          <w:p>
            <w:pPr>
              <w:jc w:val="right"/>
              <w:ind w:right="70"/>
              <w:spacing w:after="0"/>
              <w:rPr>
                <w:sz w:val="20"/>
                <w:szCs w:val="20"/>
                <w:color w:val="auto"/>
              </w:rPr>
            </w:pPr>
            <w:r>
              <w:rPr>
                <w:rFonts w:ascii="Arial" w:cs="Arial" w:eastAsia="Arial" w:hAnsi="Arial"/>
                <w:sz w:val="18"/>
                <w:szCs w:val="18"/>
                <w:color w:val="auto"/>
              </w:rPr>
              <w:t>17,368,735</w:t>
            </w:r>
          </w:p>
        </w:tc>
        <w:tc>
          <w:tcPr>
            <w:tcW w:w="7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560" w:type="dxa"/>
            <w:vAlign w:val="bottom"/>
          </w:tcPr>
          <w:p>
            <w:pPr>
              <w:jc w:val="right"/>
              <w:ind w:right="50"/>
              <w:spacing w:after="0"/>
              <w:rPr>
                <w:sz w:val="20"/>
                <w:szCs w:val="20"/>
                <w:color w:val="auto"/>
              </w:rPr>
            </w:pPr>
            <w:r>
              <w:rPr>
                <w:rFonts w:ascii="Arial" w:cs="Arial" w:eastAsia="Arial" w:hAnsi="Arial"/>
                <w:sz w:val="18"/>
                <w:szCs w:val="18"/>
                <w:color w:val="auto"/>
              </w:rPr>
              <w:t>279,965</w:t>
            </w:r>
          </w:p>
        </w:tc>
        <w:tc>
          <w:tcPr>
            <w:tcW w:w="0" w:type="dxa"/>
            <w:vAlign w:val="bottom"/>
          </w:tcPr>
          <w:p>
            <w:pPr>
              <w:spacing w:after="0"/>
              <w:rPr>
                <w:sz w:val="1"/>
                <w:szCs w:val="1"/>
                <w:color w:val="auto"/>
              </w:rPr>
            </w:pPr>
          </w:p>
        </w:tc>
      </w:tr>
      <w:tr>
        <w:trPr>
          <w:trHeight w:val="270"/>
        </w:trPr>
        <w:tc>
          <w:tcPr>
            <w:tcW w:w="5200" w:type="dxa"/>
            <w:vAlign w:val="bottom"/>
          </w:tcPr>
          <w:p>
            <w:pPr>
              <w:ind w:left="320"/>
              <w:spacing w:after="0"/>
              <w:rPr>
                <w:sz w:val="20"/>
                <w:szCs w:val="20"/>
                <w:color w:val="auto"/>
              </w:rPr>
            </w:pPr>
            <w:r>
              <w:rPr>
                <w:rFonts w:ascii="Arial" w:cs="Arial" w:eastAsia="Arial" w:hAnsi="Arial"/>
                <w:sz w:val="18"/>
                <w:szCs w:val="18"/>
                <w:color w:val="auto"/>
              </w:rPr>
              <w:t>Accrued expenses and pending trades - Purchases</w:t>
            </w:r>
          </w:p>
        </w:tc>
        <w:tc>
          <w:tcPr>
            <w:tcW w:w="120" w:type="dxa"/>
            <w:vAlign w:val="bottom"/>
          </w:tcPr>
          <w:p>
            <w:pPr>
              <w:spacing w:after="0"/>
              <w:rPr>
                <w:sz w:val="23"/>
                <w:szCs w:val="23"/>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(2,411,768)</w:t>
            </w:r>
          </w:p>
        </w:tc>
        <w:tc>
          <w:tcPr>
            <w:tcW w:w="7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(74,598)</w:t>
            </w:r>
          </w:p>
        </w:tc>
        <w:tc>
          <w:tcPr>
            <w:tcW w:w="0" w:type="dxa"/>
            <w:vAlign w:val="bottom"/>
          </w:tcPr>
          <w:p>
            <w:pPr>
              <w:spacing w:after="0"/>
              <w:rPr>
                <w:sz w:val="1"/>
                <w:szCs w:val="1"/>
                <w:color w:val="auto"/>
              </w:rPr>
            </w:pPr>
          </w:p>
        </w:tc>
      </w:tr>
      <w:tr>
        <w:trPr>
          <w:trHeight w:val="27"/>
        </w:trPr>
        <w:tc>
          <w:tcPr>
            <w:tcW w:w="5200" w:type="dxa"/>
            <w:vAlign w:val="bottom"/>
            <w:vMerge w:val="restart"/>
          </w:tcPr>
          <w:p>
            <w:pPr>
              <w:spacing w:after="0"/>
              <w:rPr>
                <w:sz w:val="20"/>
                <w:szCs w:val="20"/>
                <w:color w:val="auto"/>
              </w:rPr>
            </w:pPr>
            <w:r>
              <w:rPr>
                <w:rFonts w:ascii="Arial" w:cs="Arial" w:eastAsia="Arial" w:hAnsi="Arial"/>
                <w:sz w:val="18"/>
                <w:szCs w:val="18"/>
                <w:color w:val="auto"/>
              </w:rPr>
              <w:t>Plan's total interest in The Lilly Employee</w:t>
            </w:r>
          </w:p>
        </w:tc>
        <w:tc>
          <w:tcPr>
            <w:tcW w:w="1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25"/>
        </w:trPr>
        <w:tc>
          <w:tcPr>
            <w:tcW w:w="52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200" w:type="dxa"/>
            <w:vAlign w:val="bottom"/>
          </w:tcPr>
          <w:p>
            <w:pPr>
              <w:spacing w:after="0"/>
              <w:rPr>
                <w:sz w:val="20"/>
                <w:szCs w:val="20"/>
                <w:color w:val="auto"/>
              </w:rPr>
            </w:pPr>
            <w:r>
              <w:rPr>
                <w:rFonts w:ascii="Arial" w:cs="Arial" w:eastAsia="Arial" w:hAnsi="Arial"/>
                <w:sz w:val="18"/>
                <w:szCs w:val="18"/>
                <w:color w:val="auto"/>
              </w:rPr>
              <w:t>Savings Plan Master Trust</w:t>
            </w:r>
          </w:p>
        </w:tc>
        <w:tc>
          <w:tcPr>
            <w:tcW w:w="120" w:type="dxa"/>
            <w:vAlign w:val="bottom"/>
          </w:tcPr>
          <w:p>
            <w:pPr>
              <w:spacing w:after="0"/>
              <w:rPr>
                <w:sz w:val="20"/>
                <w:szCs w:val="20"/>
                <w:color w:val="auto"/>
              </w:rPr>
            </w:pPr>
          </w:p>
        </w:tc>
        <w:tc>
          <w:tcPr>
            <w:tcW w:w="1680" w:type="dxa"/>
            <w:vAlign w:val="bottom"/>
          </w:tcPr>
          <w:p>
            <w:pPr>
              <w:jc w:val="right"/>
              <w:ind w:right="70"/>
              <w:spacing w:after="0"/>
              <w:rPr>
                <w:sz w:val="20"/>
                <w:szCs w:val="20"/>
                <w:color w:val="auto"/>
              </w:rPr>
            </w:pPr>
            <w:r>
              <w:rPr>
                <w:rFonts w:ascii="Arial" w:cs="Arial" w:eastAsia="Arial" w:hAnsi="Arial"/>
                <w:sz w:val="18"/>
                <w:szCs w:val="18"/>
                <w:color w:val="auto"/>
              </w:rPr>
              <w:t>7,182,720,141</w:t>
            </w: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60" w:type="dxa"/>
            <w:vAlign w:val="bottom"/>
          </w:tcPr>
          <w:p>
            <w:pPr>
              <w:jc w:val="right"/>
              <w:ind w:right="50"/>
              <w:spacing w:after="0"/>
              <w:rPr>
                <w:sz w:val="20"/>
                <w:szCs w:val="20"/>
                <w:color w:val="auto"/>
              </w:rPr>
            </w:pPr>
            <w:r>
              <w:rPr>
                <w:rFonts w:ascii="Arial" w:cs="Arial" w:eastAsia="Arial" w:hAnsi="Arial"/>
                <w:sz w:val="18"/>
                <w:szCs w:val="18"/>
                <w:color w:val="auto"/>
              </w:rPr>
              <w:t>242,429,103</w:t>
            </w:r>
          </w:p>
        </w:tc>
        <w:tc>
          <w:tcPr>
            <w:tcW w:w="0" w:type="dxa"/>
            <w:vAlign w:val="bottom"/>
          </w:tcPr>
          <w:p>
            <w:pPr>
              <w:spacing w:after="0"/>
              <w:rPr>
                <w:sz w:val="1"/>
                <w:szCs w:val="1"/>
                <w:color w:val="auto"/>
              </w:rPr>
            </w:pPr>
          </w:p>
        </w:tc>
      </w:tr>
      <w:tr>
        <w:trPr>
          <w:trHeight w:val="526"/>
        </w:trPr>
        <w:tc>
          <w:tcPr>
            <w:tcW w:w="5200" w:type="dxa"/>
            <w:vAlign w:val="bottom"/>
          </w:tcPr>
          <w:p>
            <w:pPr>
              <w:spacing w:after="0"/>
              <w:rPr>
                <w:sz w:val="20"/>
                <w:szCs w:val="20"/>
                <w:color w:val="auto"/>
              </w:rPr>
            </w:pPr>
            <w:r>
              <w:rPr>
                <w:rFonts w:ascii="Arial" w:cs="Arial" w:eastAsia="Arial" w:hAnsi="Arial"/>
                <w:sz w:val="18"/>
                <w:szCs w:val="18"/>
                <w:color w:val="auto"/>
              </w:rPr>
              <w:t>Receivables:</w:t>
            </w:r>
          </w:p>
        </w:tc>
        <w:tc>
          <w:tcPr>
            <w:tcW w:w="1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200" w:type="dxa"/>
            <w:vAlign w:val="bottom"/>
          </w:tcPr>
          <w:p>
            <w:pPr>
              <w:ind w:left="340"/>
              <w:spacing w:after="0"/>
              <w:rPr>
                <w:sz w:val="20"/>
                <w:szCs w:val="20"/>
                <w:color w:val="auto"/>
              </w:rPr>
            </w:pPr>
            <w:r>
              <w:rPr>
                <w:rFonts w:ascii="Arial" w:cs="Arial" w:eastAsia="Arial" w:hAnsi="Arial"/>
                <w:sz w:val="18"/>
                <w:szCs w:val="18"/>
                <w:color w:val="auto"/>
              </w:rPr>
              <w:t>Employer contribution</w:t>
            </w:r>
          </w:p>
        </w:tc>
        <w:tc>
          <w:tcPr>
            <w:tcW w:w="120" w:type="dxa"/>
            <w:vAlign w:val="bottom"/>
          </w:tcPr>
          <w:p>
            <w:pPr>
              <w:spacing w:after="0"/>
              <w:rPr>
                <w:sz w:val="24"/>
                <w:szCs w:val="24"/>
                <w:color w:val="auto"/>
              </w:rPr>
            </w:pPr>
          </w:p>
        </w:tc>
        <w:tc>
          <w:tcPr>
            <w:tcW w:w="1680" w:type="dxa"/>
            <w:vAlign w:val="bottom"/>
          </w:tcPr>
          <w:p>
            <w:pPr>
              <w:jc w:val="right"/>
              <w:ind w:right="70"/>
              <w:spacing w:after="0"/>
              <w:rPr>
                <w:sz w:val="20"/>
                <w:szCs w:val="20"/>
                <w:color w:val="auto"/>
              </w:rPr>
            </w:pPr>
            <w:r>
              <w:rPr>
                <w:rFonts w:ascii="Arial" w:cs="Arial" w:eastAsia="Arial" w:hAnsi="Arial"/>
                <w:sz w:val="18"/>
                <w:szCs w:val="18"/>
                <w:color w:val="auto"/>
              </w:rPr>
              <w:t>8,049,550</w:t>
            </w: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60" w:type="dxa"/>
            <w:vAlign w:val="bottom"/>
          </w:tcPr>
          <w:p>
            <w:pPr>
              <w:jc w:val="right"/>
              <w:ind w:right="50"/>
              <w:spacing w:after="0"/>
              <w:rPr>
                <w:sz w:val="20"/>
                <w:szCs w:val="20"/>
                <w:color w:val="auto"/>
              </w:rPr>
            </w:pPr>
            <w:r>
              <w:rPr>
                <w:rFonts w:ascii="Arial" w:cs="Arial" w:eastAsia="Arial" w:hAnsi="Arial"/>
                <w:sz w:val="18"/>
                <w:szCs w:val="18"/>
                <w:color w:val="auto"/>
              </w:rPr>
              <w:t>342,963</w:t>
            </w:r>
          </w:p>
        </w:tc>
        <w:tc>
          <w:tcPr>
            <w:tcW w:w="0" w:type="dxa"/>
            <w:vAlign w:val="bottom"/>
          </w:tcPr>
          <w:p>
            <w:pPr>
              <w:spacing w:after="0"/>
              <w:rPr>
                <w:sz w:val="1"/>
                <w:szCs w:val="1"/>
                <w:color w:val="auto"/>
              </w:rPr>
            </w:pPr>
          </w:p>
        </w:tc>
      </w:tr>
      <w:tr>
        <w:trPr>
          <w:trHeight w:val="243"/>
        </w:trPr>
        <w:tc>
          <w:tcPr>
            <w:tcW w:w="5200" w:type="dxa"/>
            <w:vAlign w:val="bottom"/>
          </w:tcPr>
          <w:p>
            <w:pPr>
              <w:ind w:left="320"/>
              <w:spacing w:after="0"/>
              <w:rPr>
                <w:sz w:val="20"/>
                <w:szCs w:val="20"/>
                <w:color w:val="auto"/>
              </w:rPr>
            </w:pPr>
            <w:r>
              <w:rPr>
                <w:rFonts w:ascii="Arial" w:cs="Arial" w:eastAsia="Arial" w:hAnsi="Arial"/>
                <w:sz w:val="18"/>
                <w:szCs w:val="18"/>
                <w:color w:val="auto"/>
              </w:rPr>
              <w:t>Notes receivable from participants</w:t>
            </w:r>
          </w:p>
        </w:tc>
        <w:tc>
          <w:tcPr>
            <w:tcW w:w="120" w:type="dxa"/>
            <w:vAlign w:val="bottom"/>
          </w:tcPr>
          <w:p>
            <w:pPr>
              <w:spacing w:after="0"/>
              <w:rPr>
                <w:sz w:val="21"/>
                <w:szCs w:val="21"/>
                <w:color w:val="auto"/>
              </w:rPr>
            </w:pPr>
          </w:p>
        </w:tc>
        <w:tc>
          <w:tcPr>
            <w:tcW w:w="1680" w:type="dxa"/>
            <w:vAlign w:val="bottom"/>
          </w:tcPr>
          <w:p>
            <w:pPr>
              <w:jc w:val="right"/>
              <w:ind w:right="70"/>
              <w:spacing w:after="0"/>
              <w:rPr>
                <w:sz w:val="20"/>
                <w:szCs w:val="20"/>
                <w:color w:val="auto"/>
              </w:rPr>
            </w:pPr>
            <w:r>
              <w:rPr>
                <w:rFonts w:ascii="Arial" w:cs="Arial" w:eastAsia="Arial" w:hAnsi="Arial"/>
                <w:sz w:val="18"/>
                <w:szCs w:val="18"/>
                <w:color w:val="auto"/>
              </w:rPr>
              <w:t>25,524,186</w:t>
            </w:r>
          </w:p>
        </w:tc>
        <w:tc>
          <w:tcPr>
            <w:tcW w:w="7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60" w:type="dxa"/>
            <w:vAlign w:val="bottom"/>
          </w:tcPr>
          <w:p>
            <w:pPr>
              <w:jc w:val="right"/>
              <w:ind w:right="50"/>
              <w:spacing w:after="0"/>
              <w:rPr>
                <w:sz w:val="20"/>
                <w:szCs w:val="20"/>
                <w:color w:val="auto"/>
              </w:rPr>
            </w:pPr>
            <w:r>
              <w:rPr>
                <w:rFonts w:ascii="Arial" w:cs="Arial" w:eastAsia="Arial" w:hAnsi="Arial"/>
                <w:sz w:val="18"/>
                <w:szCs w:val="18"/>
                <w:color w:val="auto"/>
              </w:rPr>
              <w:t>2,740,636</w:t>
            </w: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200" w:type="dxa"/>
            <w:vAlign w:val="bottom"/>
          </w:tcPr>
          <w:p>
            <w:pPr>
              <w:spacing w:after="0"/>
              <w:rPr>
                <w:sz w:val="20"/>
                <w:szCs w:val="20"/>
                <w:color w:val="auto"/>
              </w:rPr>
            </w:pPr>
            <w:r>
              <w:rPr>
                <w:rFonts w:ascii="Arial" w:cs="Arial" w:eastAsia="Arial" w:hAnsi="Arial"/>
                <w:sz w:val="18"/>
                <w:szCs w:val="18"/>
                <w:color w:val="auto"/>
              </w:rPr>
              <w:t>Total Receivables</w:t>
            </w:r>
          </w:p>
        </w:tc>
        <w:tc>
          <w:tcPr>
            <w:tcW w:w="120" w:type="dxa"/>
            <w:vAlign w:val="bottom"/>
          </w:tcPr>
          <w:p>
            <w:pPr>
              <w:spacing w:after="0"/>
              <w:rPr>
                <w:sz w:val="20"/>
                <w:szCs w:val="20"/>
                <w:color w:val="auto"/>
              </w:rPr>
            </w:pPr>
          </w:p>
        </w:tc>
        <w:tc>
          <w:tcPr>
            <w:tcW w:w="1680" w:type="dxa"/>
            <w:vAlign w:val="bottom"/>
          </w:tcPr>
          <w:p>
            <w:pPr>
              <w:jc w:val="right"/>
              <w:ind w:right="70"/>
              <w:spacing w:after="0"/>
              <w:rPr>
                <w:sz w:val="20"/>
                <w:szCs w:val="20"/>
                <w:color w:val="auto"/>
              </w:rPr>
            </w:pPr>
            <w:r>
              <w:rPr>
                <w:rFonts w:ascii="Arial" w:cs="Arial" w:eastAsia="Arial" w:hAnsi="Arial"/>
                <w:sz w:val="18"/>
                <w:szCs w:val="18"/>
                <w:color w:val="auto"/>
              </w:rPr>
              <w:t>33,573,736</w:t>
            </w: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60" w:type="dxa"/>
            <w:vAlign w:val="bottom"/>
          </w:tcPr>
          <w:p>
            <w:pPr>
              <w:jc w:val="right"/>
              <w:ind w:right="50"/>
              <w:spacing w:after="0"/>
              <w:rPr>
                <w:sz w:val="20"/>
                <w:szCs w:val="20"/>
                <w:color w:val="auto"/>
              </w:rPr>
            </w:pPr>
            <w:r>
              <w:rPr>
                <w:rFonts w:ascii="Arial" w:cs="Arial" w:eastAsia="Arial" w:hAnsi="Arial"/>
                <w:sz w:val="18"/>
                <w:szCs w:val="18"/>
                <w:color w:val="auto"/>
              </w:rPr>
              <w:t>3,083,599</w:t>
            </w: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20"/>
        </w:trPr>
        <w:tc>
          <w:tcPr>
            <w:tcW w:w="5200" w:type="dxa"/>
            <w:vAlign w:val="bottom"/>
          </w:tcPr>
          <w:p>
            <w:pPr>
              <w:spacing w:after="0"/>
              <w:rPr>
                <w:sz w:val="20"/>
                <w:szCs w:val="20"/>
                <w:color w:val="auto"/>
              </w:rPr>
            </w:pPr>
            <w:r>
              <w:rPr>
                <w:rFonts w:ascii="Arial" w:cs="Arial" w:eastAsia="Arial" w:hAnsi="Arial"/>
                <w:sz w:val="18"/>
                <w:szCs w:val="18"/>
                <w:color w:val="auto"/>
              </w:rPr>
              <w:t>Net Assets Available for Benefits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7,216,293,877</w:t>
            </w:r>
          </w:p>
        </w:tc>
        <w:tc>
          <w:tcPr>
            <w:tcW w:w="740" w:type="dxa"/>
            <w:vAlign w:val="bottom"/>
          </w:tcPr>
          <w:p>
            <w:pPr>
              <w:spacing w:after="0"/>
              <w:rPr>
                <w:sz w:val="24"/>
                <w:szCs w:val="24"/>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245,512,702</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notes to financial statements.</w:t>
      </w:r>
    </w:p>
    <w:p>
      <w:pPr>
        <w:sectPr>
          <w:pgSz w:w="11900" w:h="16838" w:orient="portrait"/>
          <w:cols w:equalWidth="0" w:num="1">
            <w:col w:w="9540"/>
          </w:cols>
          <w:pgMar w:left="1180" w:top="1279" w:right="11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5</w:t>
      </w:r>
    </w:p>
    <w:p>
      <w:pPr>
        <w:sectPr>
          <w:pgSz w:w="11900" w:h="16838" w:orient="portrait"/>
          <w:cols w:equalWidth="0" w:num="1">
            <w:col w:w="9540"/>
          </w:cols>
          <w:pgMar w:left="1180" w:top="1279" w:right="1179" w:bottom="1440" w:gutter="0" w:footer="0" w:header="0"/>
          <w:type w:val="continuous"/>
        </w:sectPr>
      </w:pPr>
    </w:p>
    <w:bookmarkStart w:id="5" w:name="page6"/>
    <w:bookmarkEnd w:id="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The Lilly Employee 401(k) Plan and</w:t>
      </w:r>
    </w:p>
    <w:p>
      <w:pPr>
        <w:spacing w:after="0" w:line="4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The Savings Plan for Lilly Affiliate Employees in Puerto Rico</w:t>
      </w: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Statements of Net Assets Available for Benefits</w:t>
      </w: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December 31, 2018</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tbl>
      <w:tblPr>
        <w:tblLayout w:type="fixed"/>
        <w:tblInd w:w="700" w:type="dxa"/>
        <w:tblCellMar>
          <w:top w:w="0" w:type="dxa"/>
          <w:left w:w="0" w:type="dxa"/>
          <w:bottom w:w="0" w:type="dxa"/>
          <w:right w:w="0" w:type="dxa"/>
        </w:tblCellMar>
      </w:tblPr>
      <w:tr>
        <w:trPr>
          <w:trHeight w:val="216"/>
        </w:trPr>
        <w:tc>
          <w:tcPr>
            <w:tcW w:w="3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ind w:right="250"/>
              <w:spacing w:after="0"/>
              <w:rPr>
                <w:sz w:val="20"/>
                <w:szCs w:val="20"/>
                <w:color w:val="auto"/>
              </w:rPr>
            </w:pPr>
            <w:r>
              <w:rPr>
                <w:rFonts w:ascii="Arial" w:cs="Arial" w:eastAsia="Arial" w:hAnsi="Arial"/>
                <w:sz w:val="18"/>
                <w:szCs w:val="18"/>
                <w:b w:val="1"/>
                <w:bCs w:val="1"/>
                <w:color w:val="auto"/>
                <w:w w:val="99"/>
              </w:rPr>
              <w:t>The Savings</w:t>
            </w:r>
          </w:p>
        </w:tc>
        <w:tc>
          <w:tcPr>
            <w:tcW w:w="0" w:type="dxa"/>
            <w:vAlign w:val="bottom"/>
          </w:tcPr>
          <w:p>
            <w:pPr>
              <w:spacing w:after="0"/>
              <w:rPr>
                <w:sz w:val="1"/>
                <w:szCs w:val="1"/>
                <w:color w:val="auto"/>
              </w:rPr>
            </w:pPr>
          </w:p>
        </w:tc>
      </w:tr>
      <w:tr>
        <w:trPr>
          <w:trHeight w:val="216"/>
        </w:trPr>
        <w:tc>
          <w:tcPr>
            <w:tcW w:w="3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ind w:right="210"/>
              <w:spacing w:after="0"/>
              <w:rPr>
                <w:sz w:val="20"/>
                <w:szCs w:val="20"/>
                <w:color w:val="auto"/>
              </w:rPr>
            </w:pPr>
            <w:r>
              <w:rPr>
                <w:rFonts w:ascii="Arial" w:cs="Arial" w:eastAsia="Arial" w:hAnsi="Arial"/>
                <w:sz w:val="18"/>
                <w:szCs w:val="18"/>
                <w:b w:val="1"/>
                <w:bCs w:val="1"/>
                <w:color w:val="auto"/>
              </w:rPr>
              <w:t>Plan for Lilly</w:t>
            </w:r>
          </w:p>
        </w:tc>
        <w:tc>
          <w:tcPr>
            <w:tcW w:w="0" w:type="dxa"/>
            <w:vAlign w:val="bottom"/>
          </w:tcPr>
          <w:p>
            <w:pPr>
              <w:spacing w:after="0"/>
              <w:rPr>
                <w:sz w:val="1"/>
                <w:szCs w:val="1"/>
                <w:color w:val="auto"/>
              </w:rPr>
            </w:pPr>
          </w:p>
        </w:tc>
      </w:tr>
      <w:tr>
        <w:trPr>
          <w:trHeight w:val="216"/>
        </w:trPr>
        <w:tc>
          <w:tcPr>
            <w:tcW w:w="3880" w:type="dxa"/>
            <w:vAlign w:val="bottom"/>
          </w:tcPr>
          <w:p>
            <w:pPr>
              <w:spacing w:after="0"/>
              <w:rPr>
                <w:sz w:val="18"/>
                <w:szCs w:val="18"/>
                <w:color w:val="auto"/>
              </w:rPr>
            </w:pPr>
          </w:p>
        </w:tc>
        <w:tc>
          <w:tcPr>
            <w:tcW w:w="2160" w:type="dxa"/>
            <w:vAlign w:val="bottom"/>
            <w:gridSpan w:val="3"/>
          </w:tcPr>
          <w:p>
            <w:pPr>
              <w:ind w:left="20"/>
              <w:spacing w:after="0"/>
              <w:rPr>
                <w:sz w:val="20"/>
                <w:szCs w:val="20"/>
                <w:color w:val="auto"/>
              </w:rPr>
            </w:pPr>
            <w:r>
              <w:rPr>
                <w:rFonts w:ascii="Arial" w:cs="Arial" w:eastAsia="Arial" w:hAnsi="Arial"/>
                <w:sz w:val="18"/>
                <w:szCs w:val="18"/>
                <w:b w:val="1"/>
                <w:bCs w:val="1"/>
                <w:color w:val="auto"/>
              </w:rPr>
              <w:t>The Lilly Employee</w:t>
            </w:r>
          </w:p>
        </w:tc>
        <w:tc>
          <w:tcPr>
            <w:tcW w:w="1580" w:type="dxa"/>
            <w:vAlign w:val="bottom"/>
            <w:gridSpan w:val="2"/>
          </w:tcPr>
          <w:p>
            <w:pPr>
              <w:jc w:val="right"/>
              <w:spacing w:after="0"/>
              <w:rPr>
                <w:sz w:val="20"/>
                <w:szCs w:val="20"/>
                <w:color w:val="auto"/>
              </w:rPr>
            </w:pPr>
            <w:r>
              <w:rPr>
                <w:rFonts w:ascii="Arial" w:cs="Arial" w:eastAsia="Arial" w:hAnsi="Arial"/>
                <w:sz w:val="18"/>
                <w:szCs w:val="18"/>
                <w:b w:val="1"/>
                <w:bCs w:val="1"/>
                <w:color w:val="auto"/>
                <w:w w:val="91"/>
              </w:rPr>
              <w:t>Affiliate Employees</w:t>
            </w:r>
          </w:p>
        </w:tc>
        <w:tc>
          <w:tcPr>
            <w:tcW w:w="0" w:type="dxa"/>
            <w:vAlign w:val="bottom"/>
          </w:tcPr>
          <w:p>
            <w:pPr>
              <w:spacing w:after="0"/>
              <w:rPr>
                <w:sz w:val="1"/>
                <w:szCs w:val="1"/>
                <w:color w:val="auto"/>
              </w:rPr>
            </w:pPr>
          </w:p>
        </w:tc>
      </w:tr>
      <w:tr>
        <w:trPr>
          <w:trHeight w:val="234"/>
        </w:trPr>
        <w:tc>
          <w:tcPr>
            <w:tcW w:w="3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40" w:type="dxa"/>
            <w:vAlign w:val="bottom"/>
            <w:gridSpan w:val="2"/>
          </w:tcPr>
          <w:p>
            <w:pPr>
              <w:ind w:left="140"/>
              <w:spacing w:after="0"/>
              <w:rPr>
                <w:sz w:val="20"/>
                <w:szCs w:val="20"/>
                <w:color w:val="auto"/>
              </w:rPr>
            </w:pPr>
            <w:r>
              <w:rPr>
                <w:rFonts w:ascii="Arial" w:cs="Arial" w:eastAsia="Arial" w:hAnsi="Arial"/>
                <w:sz w:val="18"/>
                <w:szCs w:val="18"/>
                <w:b w:val="1"/>
                <w:bCs w:val="1"/>
                <w:color w:val="auto"/>
              </w:rPr>
              <w:t>401(k) Plan</w:t>
            </w:r>
          </w:p>
        </w:tc>
        <w:tc>
          <w:tcPr>
            <w:tcW w:w="160" w:type="dxa"/>
            <w:vAlign w:val="bottom"/>
          </w:tcPr>
          <w:p>
            <w:pPr>
              <w:spacing w:after="0"/>
              <w:rPr>
                <w:sz w:val="20"/>
                <w:szCs w:val="20"/>
                <w:color w:val="auto"/>
              </w:rPr>
            </w:pPr>
          </w:p>
        </w:tc>
        <w:tc>
          <w:tcPr>
            <w:tcW w:w="1420" w:type="dxa"/>
            <w:vAlign w:val="bottom"/>
          </w:tcPr>
          <w:p>
            <w:pPr>
              <w:jc w:val="right"/>
              <w:ind w:right="150"/>
              <w:spacing w:after="0"/>
              <w:rPr>
                <w:sz w:val="20"/>
                <w:szCs w:val="20"/>
                <w:color w:val="auto"/>
              </w:rPr>
            </w:pPr>
            <w:r>
              <w:rPr>
                <w:rFonts w:ascii="Arial" w:cs="Arial" w:eastAsia="Arial" w:hAnsi="Arial"/>
                <w:sz w:val="18"/>
                <w:szCs w:val="18"/>
                <w:b w:val="1"/>
                <w:bCs w:val="1"/>
                <w:color w:val="auto"/>
                <w:w w:val="95"/>
              </w:rPr>
              <w:t>in Puerto Rico</w:t>
            </w:r>
          </w:p>
        </w:tc>
        <w:tc>
          <w:tcPr>
            <w:tcW w:w="0" w:type="dxa"/>
            <w:vAlign w:val="bottom"/>
          </w:tcPr>
          <w:p>
            <w:pPr>
              <w:spacing w:after="0"/>
              <w:rPr>
                <w:sz w:val="1"/>
                <w:szCs w:val="1"/>
                <w:color w:val="auto"/>
              </w:rPr>
            </w:pPr>
          </w:p>
        </w:tc>
      </w:tr>
      <w:tr>
        <w:trPr>
          <w:trHeight w:val="27"/>
        </w:trPr>
        <w:tc>
          <w:tcPr>
            <w:tcW w:w="3880" w:type="dxa"/>
            <w:vAlign w:val="bottom"/>
            <w:vMerge w:val="restart"/>
          </w:tcPr>
          <w:p>
            <w:pPr>
              <w:spacing w:after="0"/>
              <w:rPr>
                <w:sz w:val="20"/>
                <w:szCs w:val="20"/>
                <w:color w:val="auto"/>
              </w:rPr>
            </w:pPr>
            <w:r>
              <w:rPr>
                <w:rFonts w:ascii="Arial" w:cs="Arial" w:eastAsia="Arial" w:hAnsi="Arial"/>
                <w:sz w:val="18"/>
                <w:szCs w:val="18"/>
                <w:color w:val="auto"/>
              </w:rPr>
              <w:t>Assets</w:t>
            </w: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88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3880" w:type="dxa"/>
            <w:vAlign w:val="bottom"/>
          </w:tcPr>
          <w:p>
            <w:pPr>
              <w:spacing w:after="0"/>
              <w:rPr>
                <w:sz w:val="20"/>
                <w:szCs w:val="20"/>
                <w:color w:val="auto"/>
              </w:rPr>
            </w:pPr>
            <w:r>
              <w:rPr>
                <w:rFonts w:ascii="Arial" w:cs="Arial" w:eastAsia="Arial" w:hAnsi="Arial"/>
                <w:sz w:val="18"/>
                <w:szCs w:val="18"/>
                <w:color w:val="auto"/>
                <w:w w:val="91"/>
              </w:rPr>
              <w:t>Investments - Plan's interest in net assets of The Lilly</w:t>
            </w:r>
          </w:p>
        </w:tc>
        <w:tc>
          <w:tcPr>
            <w:tcW w:w="2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w w:val="94"/>
              </w:rPr>
              <w:t>Employee Savings Plan Master Trust: (Notes 3 and</w:t>
            </w: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80" w:type="dxa"/>
            <w:vAlign w:val="bottom"/>
          </w:tcPr>
          <w:p>
            <w:pPr>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3880" w:type="dxa"/>
            <w:vAlign w:val="bottom"/>
          </w:tcPr>
          <w:p>
            <w:pPr>
              <w:ind w:left="320"/>
              <w:spacing w:after="0"/>
              <w:rPr>
                <w:sz w:val="20"/>
                <w:szCs w:val="20"/>
                <w:color w:val="auto"/>
              </w:rPr>
            </w:pPr>
            <w:r>
              <w:rPr>
                <w:rFonts w:ascii="Arial" w:cs="Arial" w:eastAsia="Arial" w:hAnsi="Arial"/>
                <w:sz w:val="18"/>
                <w:szCs w:val="18"/>
                <w:color w:val="auto"/>
              </w:rPr>
              <w:t>Registered investment companies</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188,522,499</w:t>
            </w:r>
          </w:p>
        </w:tc>
        <w:tc>
          <w:tcPr>
            <w:tcW w:w="56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2,426,348</w:t>
            </w:r>
          </w:p>
        </w:tc>
        <w:tc>
          <w:tcPr>
            <w:tcW w:w="0" w:type="dxa"/>
            <w:vAlign w:val="bottom"/>
          </w:tcPr>
          <w:p>
            <w:pPr>
              <w:spacing w:after="0"/>
              <w:rPr>
                <w:sz w:val="1"/>
                <w:szCs w:val="1"/>
                <w:color w:val="auto"/>
              </w:rPr>
            </w:pPr>
          </w:p>
        </w:tc>
      </w:tr>
      <w:tr>
        <w:trPr>
          <w:trHeight w:val="243"/>
        </w:trPr>
        <w:tc>
          <w:tcPr>
            <w:tcW w:w="3880" w:type="dxa"/>
            <w:vAlign w:val="bottom"/>
          </w:tcPr>
          <w:p>
            <w:pPr>
              <w:ind w:left="300"/>
              <w:spacing w:after="0"/>
              <w:rPr>
                <w:sz w:val="20"/>
                <w:szCs w:val="20"/>
                <w:color w:val="auto"/>
              </w:rPr>
            </w:pPr>
            <w:r>
              <w:rPr>
                <w:rFonts w:ascii="Arial" w:cs="Arial" w:eastAsia="Arial" w:hAnsi="Arial"/>
                <w:sz w:val="18"/>
                <w:szCs w:val="18"/>
                <w:color w:val="auto"/>
              </w:rPr>
              <w:t>Self-directed brokerage accounts</w:t>
            </w:r>
          </w:p>
        </w:tc>
        <w:tc>
          <w:tcPr>
            <w:tcW w:w="22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200,285,705</w:t>
            </w:r>
          </w:p>
        </w:tc>
        <w:tc>
          <w:tcPr>
            <w:tcW w:w="5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492,996</w:t>
            </w:r>
          </w:p>
        </w:tc>
        <w:tc>
          <w:tcPr>
            <w:tcW w:w="0" w:type="dxa"/>
            <w:vAlign w:val="bottom"/>
          </w:tcPr>
          <w:p>
            <w:pPr>
              <w:spacing w:after="0"/>
              <w:rPr>
                <w:sz w:val="1"/>
                <w:szCs w:val="1"/>
                <w:color w:val="auto"/>
              </w:rPr>
            </w:pPr>
          </w:p>
        </w:tc>
      </w:tr>
      <w:tr>
        <w:trPr>
          <w:trHeight w:val="270"/>
        </w:trPr>
        <w:tc>
          <w:tcPr>
            <w:tcW w:w="3880" w:type="dxa"/>
            <w:vAlign w:val="bottom"/>
          </w:tcPr>
          <w:p>
            <w:pPr>
              <w:ind w:left="300"/>
              <w:spacing w:after="0"/>
              <w:rPr>
                <w:sz w:val="20"/>
                <w:szCs w:val="20"/>
                <w:color w:val="auto"/>
              </w:rPr>
            </w:pPr>
            <w:r>
              <w:rPr>
                <w:rFonts w:ascii="Arial" w:cs="Arial" w:eastAsia="Arial" w:hAnsi="Arial"/>
                <w:sz w:val="18"/>
                <w:szCs w:val="18"/>
                <w:color w:val="auto"/>
              </w:rPr>
              <w:t>Eli Lilly and Company common stock</w:t>
            </w:r>
          </w:p>
        </w:tc>
        <w:tc>
          <w:tcPr>
            <w:tcW w:w="220" w:type="dxa"/>
            <w:vAlign w:val="bottom"/>
          </w:tcPr>
          <w:p>
            <w:pPr>
              <w:spacing w:after="0"/>
              <w:rPr>
                <w:sz w:val="23"/>
                <w:szCs w:val="23"/>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765,930,545</w:t>
            </w:r>
          </w:p>
        </w:tc>
        <w:tc>
          <w:tcPr>
            <w:tcW w:w="5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43,955,548</w:t>
            </w:r>
          </w:p>
        </w:tc>
        <w:tc>
          <w:tcPr>
            <w:tcW w:w="0" w:type="dxa"/>
            <w:vAlign w:val="bottom"/>
          </w:tcPr>
          <w:p>
            <w:pPr>
              <w:spacing w:after="0"/>
              <w:rPr>
                <w:sz w:val="1"/>
                <w:szCs w:val="1"/>
                <w:color w:val="auto"/>
              </w:rPr>
            </w:pPr>
          </w:p>
        </w:tc>
      </w:tr>
      <w:tr>
        <w:trPr>
          <w:trHeight w:val="270"/>
        </w:trPr>
        <w:tc>
          <w:tcPr>
            <w:tcW w:w="3880" w:type="dxa"/>
            <w:vAlign w:val="bottom"/>
          </w:tcPr>
          <w:p>
            <w:pPr>
              <w:ind w:left="300"/>
              <w:spacing w:after="0"/>
              <w:rPr>
                <w:sz w:val="20"/>
                <w:szCs w:val="20"/>
                <w:color w:val="auto"/>
              </w:rPr>
            </w:pPr>
            <w:r>
              <w:rPr>
                <w:rFonts w:ascii="Arial" w:cs="Arial" w:eastAsia="Arial" w:hAnsi="Arial"/>
                <w:sz w:val="18"/>
                <w:szCs w:val="18"/>
                <w:color w:val="auto"/>
              </w:rPr>
              <w:t>Interest in common/collective trusts</w:t>
            </w:r>
          </w:p>
        </w:tc>
        <w:tc>
          <w:tcPr>
            <w:tcW w:w="220" w:type="dxa"/>
            <w:vAlign w:val="bottom"/>
          </w:tcPr>
          <w:p>
            <w:pPr>
              <w:spacing w:after="0"/>
              <w:rPr>
                <w:sz w:val="23"/>
                <w:szCs w:val="23"/>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4,295,520,105</w:t>
            </w:r>
          </w:p>
        </w:tc>
        <w:tc>
          <w:tcPr>
            <w:tcW w:w="5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113,581,787</w:t>
            </w:r>
          </w:p>
        </w:tc>
        <w:tc>
          <w:tcPr>
            <w:tcW w:w="0" w:type="dxa"/>
            <w:vAlign w:val="bottom"/>
          </w:tcPr>
          <w:p>
            <w:pPr>
              <w:spacing w:after="0"/>
              <w:rPr>
                <w:sz w:val="1"/>
                <w:szCs w:val="1"/>
                <w:color w:val="auto"/>
              </w:rPr>
            </w:pPr>
          </w:p>
        </w:tc>
      </w:tr>
      <w:tr>
        <w:trPr>
          <w:trHeight w:val="270"/>
        </w:trPr>
        <w:tc>
          <w:tcPr>
            <w:tcW w:w="3880" w:type="dxa"/>
            <w:vAlign w:val="bottom"/>
          </w:tcPr>
          <w:p>
            <w:pPr>
              <w:ind w:left="300"/>
              <w:spacing w:after="0"/>
              <w:rPr>
                <w:sz w:val="20"/>
                <w:szCs w:val="20"/>
                <w:color w:val="auto"/>
              </w:rPr>
            </w:pPr>
            <w:r>
              <w:rPr>
                <w:rFonts w:ascii="Arial" w:cs="Arial" w:eastAsia="Arial" w:hAnsi="Arial"/>
                <w:sz w:val="18"/>
                <w:szCs w:val="18"/>
                <w:color w:val="auto"/>
              </w:rPr>
              <w:t>Synthetic GICs, at contract value</w:t>
            </w:r>
          </w:p>
        </w:tc>
        <w:tc>
          <w:tcPr>
            <w:tcW w:w="220" w:type="dxa"/>
            <w:vAlign w:val="bottom"/>
          </w:tcPr>
          <w:p>
            <w:pPr>
              <w:spacing w:after="0"/>
              <w:rPr>
                <w:sz w:val="23"/>
                <w:szCs w:val="23"/>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905,465,118</w:t>
            </w:r>
          </w:p>
        </w:tc>
        <w:tc>
          <w:tcPr>
            <w:tcW w:w="5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40,607,192</w:t>
            </w:r>
          </w:p>
        </w:tc>
        <w:tc>
          <w:tcPr>
            <w:tcW w:w="0" w:type="dxa"/>
            <w:vAlign w:val="bottom"/>
          </w:tcPr>
          <w:p>
            <w:pPr>
              <w:spacing w:after="0"/>
              <w:rPr>
                <w:sz w:val="1"/>
                <w:szCs w:val="1"/>
                <w:color w:val="auto"/>
              </w:rPr>
            </w:pPr>
          </w:p>
        </w:tc>
      </w:tr>
      <w:tr>
        <w:trPr>
          <w:trHeight w:val="270"/>
        </w:trPr>
        <w:tc>
          <w:tcPr>
            <w:tcW w:w="3880" w:type="dxa"/>
            <w:vAlign w:val="bottom"/>
          </w:tcPr>
          <w:p>
            <w:pPr>
              <w:ind w:left="300"/>
              <w:spacing w:after="0"/>
              <w:rPr>
                <w:sz w:val="20"/>
                <w:szCs w:val="20"/>
                <w:color w:val="auto"/>
              </w:rPr>
            </w:pPr>
            <w:r>
              <w:rPr>
                <w:rFonts w:ascii="Arial" w:cs="Arial" w:eastAsia="Arial" w:hAnsi="Arial"/>
                <w:sz w:val="18"/>
                <w:szCs w:val="18"/>
                <w:color w:val="auto"/>
              </w:rPr>
              <w:t>Accrued income and pending trades - Sales</w:t>
            </w:r>
          </w:p>
        </w:tc>
        <w:tc>
          <w:tcPr>
            <w:tcW w:w="220" w:type="dxa"/>
            <w:vAlign w:val="bottom"/>
          </w:tcPr>
          <w:p>
            <w:pPr>
              <w:spacing w:after="0"/>
              <w:rPr>
                <w:sz w:val="23"/>
                <w:szCs w:val="23"/>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3,713,024</w:t>
            </w:r>
          </w:p>
        </w:tc>
        <w:tc>
          <w:tcPr>
            <w:tcW w:w="5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173,018</w:t>
            </w:r>
          </w:p>
        </w:tc>
        <w:tc>
          <w:tcPr>
            <w:tcW w:w="0" w:type="dxa"/>
            <w:vAlign w:val="bottom"/>
          </w:tcPr>
          <w:p>
            <w:pPr>
              <w:spacing w:after="0"/>
              <w:rPr>
                <w:sz w:val="1"/>
                <w:szCs w:val="1"/>
                <w:color w:val="auto"/>
              </w:rPr>
            </w:pPr>
          </w:p>
        </w:tc>
      </w:tr>
      <w:tr>
        <w:trPr>
          <w:trHeight w:val="256"/>
        </w:trPr>
        <w:tc>
          <w:tcPr>
            <w:tcW w:w="3880" w:type="dxa"/>
            <w:vAlign w:val="bottom"/>
          </w:tcPr>
          <w:p>
            <w:pPr>
              <w:ind w:left="300"/>
              <w:spacing w:after="0"/>
              <w:rPr>
                <w:sz w:val="20"/>
                <w:szCs w:val="20"/>
                <w:color w:val="auto"/>
              </w:rPr>
            </w:pPr>
            <w:r>
              <w:rPr>
                <w:rFonts w:ascii="Arial" w:cs="Arial" w:eastAsia="Arial" w:hAnsi="Arial"/>
                <w:sz w:val="18"/>
                <w:szCs w:val="18"/>
                <w:color w:val="auto"/>
              </w:rPr>
              <w:t>Accrued expenses and pending trades -</w:t>
            </w:r>
          </w:p>
        </w:tc>
        <w:tc>
          <w:tcPr>
            <w:tcW w:w="2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880" w:type="dxa"/>
            <w:vAlign w:val="bottom"/>
          </w:tcPr>
          <w:p>
            <w:pPr>
              <w:ind w:left="300"/>
              <w:spacing w:after="0"/>
              <w:rPr>
                <w:sz w:val="20"/>
                <w:szCs w:val="20"/>
                <w:color w:val="auto"/>
              </w:rPr>
            </w:pPr>
            <w:r>
              <w:rPr>
                <w:rFonts w:ascii="Arial" w:cs="Arial" w:eastAsia="Arial" w:hAnsi="Arial"/>
                <w:sz w:val="18"/>
                <w:szCs w:val="18"/>
                <w:color w:val="auto"/>
              </w:rPr>
              <w:t>Purchases</w:t>
            </w:r>
          </w:p>
        </w:tc>
        <w:tc>
          <w:tcPr>
            <w:tcW w:w="2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(1,881,566)</w:t>
            </w: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(52,668)</w:t>
            </w:r>
          </w:p>
        </w:tc>
        <w:tc>
          <w:tcPr>
            <w:tcW w:w="0" w:type="dxa"/>
            <w:vAlign w:val="bottom"/>
          </w:tcPr>
          <w:p>
            <w:pPr>
              <w:spacing w:after="0"/>
              <w:rPr>
                <w:sz w:val="1"/>
                <w:szCs w:val="1"/>
                <w:color w:val="auto"/>
              </w:rPr>
            </w:pPr>
          </w:p>
        </w:tc>
      </w:tr>
      <w:tr>
        <w:trPr>
          <w:trHeight w:val="27"/>
        </w:trPr>
        <w:tc>
          <w:tcPr>
            <w:tcW w:w="3880" w:type="dxa"/>
            <w:vAlign w:val="bottom"/>
            <w:vMerge w:val="restart"/>
          </w:tcPr>
          <w:p>
            <w:pPr>
              <w:spacing w:after="0"/>
              <w:rPr>
                <w:sz w:val="20"/>
                <w:szCs w:val="20"/>
                <w:color w:val="auto"/>
              </w:rPr>
            </w:pPr>
            <w:r>
              <w:rPr>
                <w:rFonts w:ascii="Arial" w:cs="Arial" w:eastAsia="Arial" w:hAnsi="Arial"/>
                <w:sz w:val="18"/>
                <w:szCs w:val="18"/>
                <w:color w:val="auto"/>
              </w:rPr>
              <w:t>Plan's total interest in The Lilly Employee</w:t>
            </w: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79"/>
        </w:trPr>
        <w:tc>
          <w:tcPr>
            <w:tcW w:w="38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80" w:type="dxa"/>
            <w:vAlign w:val="bottom"/>
          </w:tcPr>
          <w:p>
            <w:pPr>
              <w:spacing w:after="0"/>
              <w:rPr>
                <w:sz w:val="20"/>
                <w:szCs w:val="20"/>
                <w:color w:val="auto"/>
              </w:rPr>
            </w:pPr>
            <w:r>
              <w:rPr>
                <w:rFonts w:ascii="Arial" w:cs="Arial" w:eastAsia="Arial" w:hAnsi="Arial"/>
                <w:sz w:val="18"/>
                <w:szCs w:val="18"/>
                <w:color w:val="auto"/>
              </w:rPr>
              <w:t>Savings Plan Master Trust</w:t>
            </w:r>
          </w:p>
        </w:tc>
        <w:tc>
          <w:tcPr>
            <w:tcW w:w="220" w:type="dxa"/>
            <w:vAlign w:val="bottom"/>
          </w:tcPr>
          <w:p>
            <w:pPr>
              <w:spacing w:after="0"/>
              <w:rPr>
                <w:sz w:val="20"/>
                <w:szCs w:val="20"/>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6,357,555,430</w:t>
            </w: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201,184,221</w:t>
            </w:r>
          </w:p>
        </w:tc>
        <w:tc>
          <w:tcPr>
            <w:tcW w:w="0" w:type="dxa"/>
            <w:vAlign w:val="bottom"/>
          </w:tcPr>
          <w:p>
            <w:pPr>
              <w:spacing w:after="0"/>
              <w:rPr>
                <w:sz w:val="1"/>
                <w:szCs w:val="1"/>
                <w:color w:val="auto"/>
              </w:rPr>
            </w:pPr>
          </w:p>
        </w:tc>
      </w:tr>
      <w:tr>
        <w:trPr>
          <w:trHeight w:val="540"/>
        </w:trPr>
        <w:tc>
          <w:tcPr>
            <w:tcW w:w="3880" w:type="dxa"/>
            <w:vAlign w:val="bottom"/>
          </w:tcPr>
          <w:p>
            <w:pPr>
              <w:spacing w:after="0"/>
              <w:rPr>
                <w:sz w:val="20"/>
                <w:szCs w:val="20"/>
                <w:color w:val="auto"/>
              </w:rPr>
            </w:pPr>
            <w:r>
              <w:rPr>
                <w:rFonts w:ascii="Arial" w:cs="Arial" w:eastAsia="Arial" w:hAnsi="Arial"/>
                <w:sz w:val="18"/>
                <w:szCs w:val="18"/>
                <w:color w:val="auto"/>
              </w:rPr>
              <w:t>Receivables:</w:t>
            </w: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880" w:type="dxa"/>
            <w:vAlign w:val="bottom"/>
          </w:tcPr>
          <w:p>
            <w:pPr>
              <w:ind w:left="320"/>
              <w:spacing w:after="0"/>
              <w:rPr>
                <w:sz w:val="20"/>
                <w:szCs w:val="20"/>
                <w:color w:val="auto"/>
              </w:rPr>
            </w:pPr>
            <w:r>
              <w:rPr>
                <w:rFonts w:ascii="Arial" w:cs="Arial" w:eastAsia="Arial" w:hAnsi="Arial"/>
                <w:sz w:val="18"/>
                <w:szCs w:val="18"/>
                <w:color w:val="auto"/>
              </w:rPr>
              <w:t>Employer contribution</w:t>
            </w:r>
          </w:p>
        </w:tc>
        <w:tc>
          <w:tcPr>
            <w:tcW w:w="220" w:type="dxa"/>
            <w:vAlign w:val="bottom"/>
          </w:tcPr>
          <w:p>
            <w:pPr>
              <w:spacing w:after="0"/>
              <w:rPr>
                <w:sz w:val="24"/>
                <w:szCs w:val="24"/>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8,734,756</w:t>
            </w: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329,737</w:t>
            </w:r>
          </w:p>
        </w:tc>
        <w:tc>
          <w:tcPr>
            <w:tcW w:w="0" w:type="dxa"/>
            <w:vAlign w:val="bottom"/>
          </w:tcPr>
          <w:p>
            <w:pPr>
              <w:spacing w:after="0"/>
              <w:rPr>
                <w:sz w:val="1"/>
                <w:szCs w:val="1"/>
                <w:color w:val="auto"/>
              </w:rPr>
            </w:pPr>
          </w:p>
        </w:tc>
      </w:tr>
      <w:tr>
        <w:trPr>
          <w:trHeight w:val="243"/>
        </w:trPr>
        <w:tc>
          <w:tcPr>
            <w:tcW w:w="3880" w:type="dxa"/>
            <w:vAlign w:val="bottom"/>
          </w:tcPr>
          <w:p>
            <w:pPr>
              <w:ind w:left="300"/>
              <w:spacing w:after="0"/>
              <w:rPr>
                <w:sz w:val="20"/>
                <w:szCs w:val="20"/>
                <w:color w:val="auto"/>
              </w:rPr>
            </w:pPr>
            <w:r>
              <w:rPr>
                <w:rFonts w:ascii="Arial" w:cs="Arial" w:eastAsia="Arial" w:hAnsi="Arial"/>
                <w:sz w:val="18"/>
                <w:szCs w:val="18"/>
                <w:color w:val="auto"/>
              </w:rPr>
              <w:t>Notes receivable from participants</w:t>
            </w:r>
          </w:p>
        </w:tc>
        <w:tc>
          <w:tcPr>
            <w:tcW w:w="22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29,082,621</w:t>
            </w:r>
          </w:p>
        </w:tc>
        <w:tc>
          <w:tcPr>
            <w:tcW w:w="5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2,629,233</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880" w:type="dxa"/>
            <w:vAlign w:val="bottom"/>
          </w:tcPr>
          <w:p>
            <w:pPr>
              <w:spacing w:after="0"/>
              <w:rPr>
                <w:sz w:val="20"/>
                <w:szCs w:val="20"/>
                <w:color w:val="auto"/>
              </w:rPr>
            </w:pPr>
            <w:r>
              <w:rPr>
                <w:rFonts w:ascii="Arial" w:cs="Arial" w:eastAsia="Arial" w:hAnsi="Arial"/>
                <w:sz w:val="18"/>
                <w:szCs w:val="18"/>
                <w:color w:val="auto"/>
              </w:rPr>
              <w:t>Total Receivables</w:t>
            </w:r>
          </w:p>
        </w:tc>
        <w:tc>
          <w:tcPr>
            <w:tcW w:w="220" w:type="dxa"/>
            <w:vAlign w:val="bottom"/>
          </w:tcPr>
          <w:p>
            <w:pPr>
              <w:spacing w:after="0"/>
              <w:rPr>
                <w:sz w:val="20"/>
                <w:szCs w:val="20"/>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37,817,377</w:t>
            </w: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2,958,970</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20"/>
        </w:trPr>
        <w:tc>
          <w:tcPr>
            <w:tcW w:w="3880" w:type="dxa"/>
            <w:vAlign w:val="bottom"/>
          </w:tcPr>
          <w:p>
            <w:pPr>
              <w:spacing w:after="0"/>
              <w:rPr>
                <w:sz w:val="20"/>
                <w:szCs w:val="20"/>
                <w:color w:val="auto"/>
              </w:rPr>
            </w:pPr>
            <w:r>
              <w:rPr>
                <w:rFonts w:ascii="Arial" w:cs="Arial" w:eastAsia="Arial" w:hAnsi="Arial"/>
                <w:sz w:val="18"/>
                <w:szCs w:val="18"/>
                <w:color w:val="auto"/>
              </w:rPr>
              <w:t>Net Assets Available for Benefits</w:t>
            </w:r>
          </w:p>
        </w:tc>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6,395,372,807</w:t>
            </w:r>
          </w:p>
        </w:tc>
        <w:tc>
          <w:tcPr>
            <w:tcW w:w="560" w:type="dxa"/>
            <w:vAlign w:val="bottom"/>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204,143,191</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See notes to financial statements.</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w:t>
      </w:r>
    </w:p>
    <w:p>
      <w:pPr>
        <w:sectPr>
          <w:pgSz w:w="11900" w:h="16838" w:orient="portrait"/>
          <w:cols w:equalWidth="0" w:num="1">
            <w:col w:w="9019"/>
          </w:cols>
          <w:pgMar w:left="1440" w:top="1440" w:right="1440" w:bottom="1440" w:gutter="0" w:footer="0" w:header="0"/>
          <w:type w:val="continuous"/>
        </w:sectPr>
      </w:pPr>
    </w:p>
    <w:bookmarkStart w:id="6" w:name="page7"/>
    <w:bookmarkEnd w:id="6"/>
    <w:p>
      <w:pPr>
        <w:jc w:val="center"/>
        <w:ind w:right="19"/>
        <w:spacing w:after="0"/>
        <w:rPr>
          <w:sz w:val="20"/>
          <w:szCs w:val="20"/>
          <w:color w:val="auto"/>
        </w:rPr>
      </w:pPr>
      <w:r>
        <w:rPr>
          <w:rFonts w:ascii="Arial" w:cs="Arial" w:eastAsia="Arial" w:hAnsi="Arial"/>
          <w:sz w:val="22"/>
          <w:szCs w:val="22"/>
          <w:color w:val="auto"/>
        </w:rPr>
        <w:t>The Lilly Employee 401(k) Plan and</w:t>
      </w:r>
    </w:p>
    <w:p>
      <w:pPr>
        <w:spacing w:after="0" w:line="44"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The Savings Plan for Lilly Affiliate Employees in Puerto Rico</w:t>
      </w: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Statements of Changes in Net Assets Available for Benefits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right"/>
        <w:ind w:right="1139"/>
        <w:spacing w:after="0"/>
        <w:rPr>
          <w:sz w:val="20"/>
          <w:szCs w:val="20"/>
          <w:color w:val="auto"/>
        </w:rPr>
      </w:pPr>
      <w:r>
        <w:rPr>
          <w:rFonts w:ascii="Arial" w:cs="Arial" w:eastAsia="Arial" w:hAnsi="Arial"/>
          <w:sz w:val="20"/>
          <w:szCs w:val="20"/>
          <w:b w:val="1"/>
          <w:bCs w:val="1"/>
          <w:color w:val="auto"/>
        </w:rPr>
        <w:t>Year Ended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2928620</wp:posOffset>
            </wp:positionH>
            <wp:positionV relativeFrom="paragraph">
              <wp:posOffset>31115</wp:posOffset>
            </wp:positionV>
            <wp:extent cx="24771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477135" cy="8255"/>
                    </a:xfrm>
                    <a:prstGeom prst="rect">
                      <a:avLst/>
                    </a:prstGeom>
                    <a:noFill/>
                  </pic:spPr>
                </pic:pic>
              </a:graphicData>
            </a:graphic>
          </wp:anchor>
        </w:drawing>
      </w:r>
    </w:p>
    <w:p>
      <w:pPr>
        <w:sectPr>
          <w:pgSz w:w="11900" w:h="16838" w:orient="portrait"/>
          <w:cols w:equalWidth="0" w:num="1">
            <w:col w:w="9019"/>
          </w:cols>
          <w:pgMar w:left="1440" w:top="130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Additions:</w:t>
      </w:r>
    </w:p>
    <w:p>
      <w:pPr>
        <w:spacing w:after="0" w:line="5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Contributions:</w:t>
      </w:r>
    </w:p>
    <w:p>
      <w:pPr>
        <w:spacing w:after="0" w:line="36" w:lineRule="exact"/>
        <w:rPr>
          <w:sz w:val="20"/>
          <w:szCs w:val="20"/>
          <w:color w:val="auto"/>
        </w:rPr>
      </w:pPr>
    </w:p>
    <w:p>
      <w:pPr>
        <w:ind w:left="820"/>
        <w:spacing w:after="0"/>
        <w:rPr>
          <w:sz w:val="20"/>
          <w:szCs w:val="20"/>
          <w:color w:val="auto"/>
        </w:rPr>
      </w:pPr>
      <w:r>
        <w:rPr>
          <w:rFonts w:ascii="Arial" w:cs="Arial" w:eastAsia="Arial" w:hAnsi="Arial"/>
          <w:sz w:val="18"/>
          <w:szCs w:val="18"/>
          <w:color w:val="auto"/>
        </w:rPr>
        <w:t>Participants</w:t>
      </w:r>
    </w:p>
    <w:p>
      <w:pPr>
        <w:spacing w:after="0" w:line="63" w:lineRule="exact"/>
        <w:rPr>
          <w:sz w:val="20"/>
          <w:szCs w:val="20"/>
          <w:color w:val="auto"/>
        </w:rPr>
      </w:pPr>
    </w:p>
    <w:p>
      <w:pPr>
        <w:ind w:left="820"/>
        <w:spacing w:after="0"/>
        <w:rPr>
          <w:sz w:val="20"/>
          <w:szCs w:val="20"/>
          <w:color w:val="auto"/>
        </w:rPr>
      </w:pPr>
      <w:r>
        <w:rPr>
          <w:rFonts w:ascii="Arial" w:cs="Arial" w:eastAsia="Arial" w:hAnsi="Arial"/>
          <w:sz w:val="18"/>
          <w:szCs w:val="18"/>
          <w:color w:val="auto"/>
        </w:rPr>
        <w:t>Employer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Total Contributions</w:t>
      </w:r>
    </w:p>
    <w:p>
      <w:pPr>
        <w:spacing w:after="0" w:line="225" w:lineRule="exact"/>
        <w:rPr>
          <w:sz w:val="20"/>
          <w:szCs w:val="20"/>
          <w:color w:val="auto"/>
        </w:rPr>
      </w:pPr>
    </w:p>
    <w:p>
      <w:pPr>
        <w:jc w:val="both"/>
        <w:ind w:left="660" w:right="80"/>
        <w:spacing w:after="0" w:line="263" w:lineRule="auto"/>
        <w:rPr>
          <w:sz w:val="20"/>
          <w:szCs w:val="20"/>
          <w:color w:val="auto"/>
        </w:rPr>
      </w:pPr>
      <w:r>
        <w:rPr>
          <w:rFonts w:ascii="Arial" w:cs="Arial" w:eastAsia="Arial" w:hAnsi="Arial"/>
          <w:sz w:val="18"/>
          <w:szCs w:val="18"/>
          <w:color w:val="auto"/>
        </w:rPr>
        <w:t>Interest in The Lilly Employee Savings Plan Master Trust investment income, net of administrative fees (Note 3)</w:t>
      </w:r>
    </w:p>
    <w:p>
      <w:pPr>
        <w:spacing w:after="0" w:line="2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Interest income on notes receivable from participants</w:t>
      </w:r>
    </w:p>
    <w:p>
      <w:pPr>
        <w:spacing w:after="0" w:line="24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Total Additions</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Deductions:</w:t>
      </w:r>
    </w:p>
    <w:p>
      <w:pPr>
        <w:spacing w:after="0" w:line="6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Participant withdrawals</w:t>
      </w:r>
    </w:p>
    <w:p>
      <w:pPr>
        <w:spacing w:after="0" w:line="6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Administrative expenses</w:t>
      </w:r>
    </w:p>
    <w:p>
      <w:pPr>
        <w:spacing w:after="0" w:line="7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Total Deductions</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Transfers In</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Transfers Out (Note 1)</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Net Increase</w:t>
      </w:r>
    </w:p>
    <w:p>
      <w:pPr>
        <w:spacing w:after="0" w:line="225" w:lineRule="exact"/>
        <w:rPr>
          <w:sz w:val="20"/>
          <w:szCs w:val="20"/>
          <w:color w:val="auto"/>
        </w:rPr>
      </w:pPr>
    </w:p>
    <w:p>
      <w:pPr>
        <w:ind w:left="520" w:right="200"/>
        <w:spacing w:after="0" w:line="465" w:lineRule="auto"/>
        <w:rPr>
          <w:sz w:val="20"/>
          <w:szCs w:val="20"/>
          <w:color w:val="auto"/>
        </w:rPr>
      </w:pPr>
      <w:r>
        <w:rPr>
          <w:rFonts w:ascii="Arial" w:cs="Arial" w:eastAsia="Arial" w:hAnsi="Arial"/>
          <w:sz w:val="16"/>
          <w:szCs w:val="16"/>
          <w:color w:val="auto"/>
        </w:rPr>
        <w:t>Net assets available for benefits at beginning of year Net assets available for benefits at end of year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10"/>
        <w:spacing w:after="0"/>
        <w:rPr>
          <w:sz w:val="20"/>
          <w:szCs w:val="20"/>
          <w:color w:val="auto"/>
        </w:rPr>
      </w:pPr>
      <w:r>
        <w:rPr>
          <w:rFonts w:ascii="Arial" w:cs="Arial" w:eastAsia="Arial" w:hAnsi="Arial"/>
          <w:sz w:val="16"/>
          <w:szCs w:val="16"/>
          <w:b w:val="1"/>
          <w:bCs w:val="1"/>
          <w:color w:val="auto"/>
        </w:rPr>
        <w:t>The Lilly Employee</w:t>
      </w:r>
    </w:p>
    <w:p>
      <w:pPr>
        <w:spacing w:after="0" w:line="50" w:lineRule="exact"/>
        <w:rPr>
          <w:sz w:val="20"/>
          <w:szCs w:val="20"/>
          <w:color w:val="auto"/>
        </w:rPr>
      </w:pPr>
    </w:p>
    <w:p>
      <w:pPr>
        <w:ind w:left="350"/>
        <w:spacing w:after="0"/>
        <w:rPr>
          <w:sz w:val="20"/>
          <w:szCs w:val="20"/>
          <w:color w:val="auto"/>
        </w:rPr>
      </w:pPr>
      <w:r>
        <w:rPr>
          <w:rFonts w:ascii="Arial" w:cs="Arial" w:eastAsia="Arial" w:hAnsi="Arial"/>
          <w:sz w:val="18"/>
          <w:szCs w:val="18"/>
          <w:b w:val="1"/>
          <w:bCs w:val="1"/>
          <w:color w:val="auto"/>
        </w:rPr>
        <w:t>401(k)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22860</wp:posOffset>
            </wp:positionV>
            <wp:extent cx="101981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198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570" w:hanging="570"/>
        <w:spacing w:after="0"/>
        <w:tabs>
          <w:tab w:leader="none" w:pos="570" w:val="left"/>
        </w:tabs>
        <w:numPr>
          <w:ilvl w:val="0"/>
          <w:numId w:val="3"/>
        </w:numPr>
        <w:rPr>
          <w:rFonts w:ascii="Arial" w:cs="Arial" w:eastAsia="Arial" w:hAnsi="Arial"/>
          <w:sz w:val="16"/>
          <w:szCs w:val="16"/>
          <w:color w:val="auto"/>
        </w:rPr>
      </w:pPr>
      <w:r>
        <w:rPr>
          <w:rFonts w:ascii="Arial" w:cs="Arial" w:eastAsia="Arial" w:hAnsi="Arial"/>
          <w:sz w:val="16"/>
          <w:szCs w:val="16"/>
          <w:color w:val="auto"/>
        </w:rPr>
        <w:t>200,967,081</w:t>
      </w:r>
    </w:p>
    <w:p>
      <w:pPr>
        <w:spacing w:after="0" w:line="86" w:lineRule="exact"/>
        <w:rPr>
          <w:rFonts w:ascii="Arial" w:cs="Arial" w:eastAsia="Arial" w:hAnsi="Arial"/>
          <w:sz w:val="16"/>
          <w:szCs w:val="16"/>
          <w:color w:val="auto"/>
        </w:rPr>
      </w:pPr>
    </w:p>
    <w:p>
      <w:pPr>
        <w:ind w:left="650"/>
        <w:spacing w:after="0"/>
        <w:rPr>
          <w:rFonts w:ascii="Arial" w:cs="Arial" w:eastAsia="Arial" w:hAnsi="Arial"/>
          <w:sz w:val="16"/>
          <w:szCs w:val="16"/>
          <w:color w:val="auto"/>
        </w:rPr>
      </w:pPr>
      <w:r>
        <w:rPr>
          <w:rFonts w:ascii="Arial" w:cs="Arial" w:eastAsia="Arial" w:hAnsi="Arial"/>
          <w:sz w:val="17"/>
          <w:szCs w:val="17"/>
          <w:color w:val="auto"/>
        </w:rPr>
        <w:t>98,175,016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39370</wp:posOffset>
            </wp:positionV>
            <wp:extent cx="101981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19810" cy="8255"/>
                    </a:xfrm>
                    <a:prstGeom prst="rect">
                      <a:avLst/>
                    </a:prstGeom>
                    <a:noFill/>
                  </pic:spPr>
                </pic:pic>
              </a:graphicData>
            </a:graphic>
          </wp:anchor>
        </w:drawing>
      </w:r>
    </w:p>
    <w:p>
      <w:pPr>
        <w:spacing w:after="0" w:line="217" w:lineRule="exact"/>
        <w:rPr>
          <w:sz w:val="20"/>
          <w:szCs w:val="20"/>
          <w:color w:val="auto"/>
        </w:rPr>
      </w:pPr>
    </w:p>
    <w:p>
      <w:pPr>
        <w:ind w:left="570"/>
        <w:spacing w:after="0"/>
        <w:rPr>
          <w:sz w:val="20"/>
          <w:szCs w:val="20"/>
          <w:color w:val="auto"/>
        </w:rPr>
      </w:pPr>
      <w:r>
        <w:rPr>
          <w:rFonts w:ascii="Arial" w:cs="Arial" w:eastAsia="Arial" w:hAnsi="Arial"/>
          <w:sz w:val="16"/>
          <w:szCs w:val="16"/>
          <w:color w:val="auto"/>
        </w:rPr>
        <w:t>299,142,097</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1,214,525,995</w:t>
      </w:r>
    </w:p>
    <w:p>
      <w:pPr>
        <w:spacing w:after="0" w:line="6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1,504,841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31750</wp:posOffset>
            </wp:positionV>
            <wp:extent cx="101981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19810" cy="8255"/>
                    </a:xfrm>
                    <a:prstGeom prst="rect">
                      <a:avLst/>
                    </a:prstGeom>
                    <a:noFill/>
                  </pic:spPr>
                </pic:pic>
              </a:graphicData>
            </a:graphic>
          </wp:anchor>
        </w:drawing>
      </w:r>
    </w:p>
    <w:p>
      <w:pPr>
        <w:spacing w:after="0" w:line="205" w:lineRule="exact"/>
        <w:rPr>
          <w:sz w:val="20"/>
          <w:szCs w:val="20"/>
          <w:color w:val="auto"/>
        </w:rPr>
      </w:pPr>
    </w:p>
    <w:p>
      <w:pPr>
        <w:ind w:left="430"/>
        <w:spacing w:after="0"/>
        <w:rPr>
          <w:sz w:val="20"/>
          <w:szCs w:val="20"/>
          <w:color w:val="auto"/>
        </w:rPr>
      </w:pPr>
      <w:r>
        <w:rPr>
          <w:rFonts w:ascii="Arial" w:cs="Arial" w:eastAsia="Arial" w:hAnsi="Arial"/>
          <w:sz w:val="16"/>
          <w:szCs w:val="16"/>
          <w:color w:val="auto"/>
        </w:rPr>
        <w:t>1,515,172,933</w:t>
      </w:r>
    </w:p>
    <w:p>
      <w:pPr>
        <w:spacing w:after="0" w:line="200" w:lineRule="exact"/>
        <w:rPr>
          <w:sz w:val="20"/>
          <w:szCs w:val="20"/>
          <w:color w:val="auto"/>
        </w:rPr>
      </w:pPr>
    </w:p>
    <w:p>
      <w:pPr>
        <w:spacing w:after="0" w:line="318"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390,679,846</w:t>
      </w:r>
    </w:p>
    <w:p>
      <w:pPr>
        <w:spacing w:after="0" w:line="6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3,648,939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31750</wp:posOffset>
            </wp:positionV>
            <wp:extent cx="101981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19810" cy="8890"/>
                    </a:xfrm>
                    <a:prstGeom prst="rect">
                      <a:avLst/>
                    </a:prstGeom>
                    <a:noFill/>
                  </pic:spPr>
                </pic:pic>
              </a:graphicData>
            </a:graphic>
          </wp:anchor>
        </w:drawing>
      </w:r>
    </w:p>
    <w:p>
      <w:pPr>
        <w:spacing w:after="0" w:line="57"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394,328,785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31750</wp:posOffset>
            </wp:positionV>
            <wp:extent cx="101981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19810" cy="8255"/>
                    </a:xfrm>
                    <a:prstGeom prst="rect">
                      <a:avLst/>
                    </a:prstGeom>
                    <a:noFill/>
                  </pic:spPr>
                </pic:pic>
              </a:graphicData>
            </a:graphic>
          </wp:anchor>
        </w:drawing>
      </w:r>
    </w:p>
    <w:p>
      <w:pPr>
        <w:spacing w:after="0" w:line="205" w:lineRule="exact"/>
        <w:rPr>
          <w:sz w:val="20"/>
          <w:szCs w:val="20"/>
          <w:color w:val="auto"/>
        </w:rPr>
      </w:pPr>
    </w:p>
    <w:p>
      <w:pPr>
        <w:ind w:left="750"/>
        <w:spacing w:after="0"/>
        <w:rPr>
          <w:sz w:val="20"/>
          <w:szCs w:val="20"/>
          <w:color w:val="auto"/>
        </w:rPr>
      </w:pPr>
      <w:r>
        <w:rPr>
          <w:rFonts w:ascii="Arial" w:cs="Arial" w:eastAsia="Arial" w:hAnsi="Arial"/>
          <w:sz w:val="17"/>
          <w:szCs w:val="17"/>
          <w:color w:val="auto"/>
        </w:rPr>
        <w:t>1,157,670</w:t>
      </w:r>
    </w:p>
    <w:p>
      <w:pPr>
        <w:spacing w:after="0" w:line="75" w:lineRule="exact"/>
        <w:rPr>
          <w:sz w:val="20"/>
          <w:szCs w:val="20"/>
          <w:color w:val="auto"/>
        </w:rPr>
      </w:pPr>
    </w:p>
    <w:p>
      <w:pPr>
        <w:ind w:left="490"/>
        <w:spacing w:after="0"/>
        <w:rPr>
          <w:sz w:val="20"/>
          <w:szCs w:val="20"/>
          <w:color w:val="auto"/>
        </w:rPr>
      </w:pPr>
      <w:r>
        <w:rPr>
          <w:rFonts w:ascii="Arial" w:cs="Arial" w:eastAsia="Arial" w:hAnsi="Arial"/>
          <w:sz w:val="16"/>
          <w:szCs w:val="16"/>
          <w:color w:val="auto"/>
        </w:rPr>
        <w:t>(301,080,748)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46355</wp:posOffset>
            </wp:positionV>
            <wp:extent cx="101981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19810" cy="8890"/>
                    </a:xfrm>
                    <a:prstGeom prst="rect">
                      <a:avLst/>
                    </a:prstGeom>
                    <a:noFill/>
                  </pic:spPr>
                </pic:pic>
              </a:graphicData>
            </a:graphic>
          </wp:anchor>
        </w:drawing>
      </w:r>
    </w:p>
    <w:p>
      <w:pPr>
        <w:spacing w:after="0" w:line="228" w:lineRule="exact"/>
        <w:rPr>
          <w:sz w:val="20"/>
          <w:szCs w:val="20"/>
          <w:color w:val="auto"/>
        </w:rPr>
      </w:pPr>
    </w:p>
    <w:p>
      <w:pPr>
        <w:ind w:left="570"/>
        <w:spacing w:after="0"/>
        <w:rPr>
          <w:sz w:val="20"/>
          <w:szCs w:val="20"/>
          <w:color w:val="auto"/>
        </w:rPr>
      </w:pPr>
      <w:r>
        <w:rPr>
          <w:rFonts w:ascii="Arial" w:cs="Arial" w:eastAsia="Arial" w:hAnsi="Arial"/>
          <w:sz w:val="16"/>
          <w:szCs w:val="16"/>
          <w:color w:val="auto"/>
        </w:rPr>
        <w:t>820,921,070</w:t>
      </w:r>
    </w:p>
    <w:p>
      <w:pPr>
        <w:spacing w:after="0" w:line="248" w:lineRule="exact"/>
        <w:rPr>
          <w:sz w:val="20"/>
          <w:szCs w:val="20"/>
          <w:color w:val="auto"/>
        </w:rPr>
      </w:pPr>
    </w:p>
    <w:p>
      <w:pPr>
        <w:ind w:left="430"/>
        <w:spacing w:after="0"/>
        <w:rPr>
          <w:sz w:val="20"/>
          <w:szCs w:val="20"/>
          <w:color w:val="auto"/>
        </w:rPr>
      </w:pPr>
      <w:r>
        <w:rPr>
          <w:rFonts w:ascii="Arial" w:cs="Arial" w:eastAsia="Arial" w:hAnsi="Arial"/>
          <w:sz w:val="16"/>
          <w:szCs w:val="16"/>
          <w:color w:val="auto"/>
        </w:rPr>
        <w:t>6,395,372,807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46355</wp:posOffset>
            </wp:positionV>
            <wp:extent cx="101981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019810" cy="8255"/>
                    </a:xfrm>
                    <a:prstGeom prst="rect">
                      <a:avLst/>
                    </a:prstGeom>
                    <a:noFill/>
                  </pic:spPr>
                </pic:pic>
              </a:graphicData>
            </a:graphic>
          </wp:anchor>
        </w:drawing>
      </w:r>
    </w:p>
    <w:p>
      <w:pPr>
        <w:spacing w:after="0" w:line="80" w:lineRule="exact"/>
        <w:rPr>
          <w:sz w:val="20"/>
          <w:szCs w:val="20"/>
          <w:color w:val="auto"/>
        </w:rPr>
      </w:pPr>
    </w:p>
    <w:p>
      <w:pPr>
        <w:ind w:left="430" w:hanging="430"/>
        <w:spacing w:after="0"/>
        <w:tabs>
          <w:tab w:leader="none" w:pos="430" w:val="left"/>
        </w:tabs>
        <w:numPr>
          <w:ilvl w:val="0"/>
          <w:numId w:val="4"/>
        </w:numPr>
        <w:rPr>
          <w:rFonts w:ascii="Arial" w:cs="Arial" w:eastAsia="Arial" w:hAnsi="Arial"/>
          <w:sz w:val="16"/>
          <w:szCs w:val="16"/>
          <w:color w:val="auto"/>
        </w:rPr>
      </w:pPr>
      <w:r>
        <w:rPr>
          <w:rFonts w:ascii="Arial" w:cs="Arial" w:eastAsia="Arial" w:hAnsi="Arial"/>
          <w:sz w:val="16"/>
          <w:szCs w:val="16"/>
          <w:color w:val="auto"/>
        </w:rPr>
        <w:t>7,216,293,877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46355</wp:posOffset>
            </wp:positionV>
            <wp:extent cx="101981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019810" cy="8890"/>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72390</wp:posOffset>
            </wp:positionV>
            <wp:extent cx="101981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01981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0" w:lineRule="exact"/>
        <w:rPr>
          <w:sz w:val="20"/>
          <w:szCs w:val="20"/>
          <w:color w:val="auto"/>
        </w:rPr>
      </w:pPr>
    </w:p>
    <w:p>
      <w:pPr>
        <w:jc w:val="center"/>
        <w:ind w:left="-39"/>
        <w:spacing w:after="0" w:line="261" w:lineRule="auto"/>
        <w:rPr>
          <w:sz w:val="20"/>
          <w:szCs w:val="20"/>
          <w:color w:val="auto"/>
        </w:rPr>
      </w:pPr>
      <w:r>
        <w:rPr>
          <w:rFonts w:ascii="Arial" w:cs="Arial" w:eastAsia="Arial" w:hAnsi="Arial"/>
          <w:sz w:val="18"/>
          <w:szCs w:val="18"/>
          <w:b w:val="1"/>
          <w:bCs w:val="1"/>
          <w:color w:val="auto"/>
        </w:rPr>
        <w:t>The Savings Plan for Lilly Affiliate Employees in Puerto Rico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5715</wp:posOffset>
            </wp:positionV>
            <wp:extent cx="102044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0204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740" w:hanging="735"/>
        <w:spacing w:after="0"/>
        <w:tabs>
          <w:tab w:leader="none" w:pos="740" w:val="left"/>
        </w:tabs>
        <w:numPr>
          <w:ilvl w:val="0"/>
          <w:numId w:val="5"/>
        </w:numPr>
        <w:rPr>
          <w:rFonts w:ascii="Arial" w:cs="Arial" w:eastAsia="Arial" w:hAnsi="Arial"/>
          <w:sz w:val="17"/>
          <w:szCs w:val="17"/>
          <w:color w:val="auto"/>
        </w:rPr>
      </w:pPr>
      <w:r>
        <w:rPr>
          <w:rFonts w:ascii="Arial" w:cs="Arial" w:eastAsia="Arial" w:hAnsi="Arial"/>
          <w:sz w:val="17"/>
          <w:szCs w:val="17"/>
          <w:color w:val="auto"/>
        </w:rPr>
        <w:t>7,786,329</w:t>
      </w:r>
    </w:p>
    <w:p>
      <w:pPr>
        <w:spacing w:after="0" w:line="74" w:lineRule="exact"/>
        <w:rPr>
          <w:rFonts w:ascii="Arial" w:cs="Arial" w:eastAsia="Arial" w:hAnsi="Arial"/>
          <w:sz w:val="17"/>
          <w:szCs w:val="17"/>
          <w:color w:val="auto"/>
        </w:rPr>
      </w:pPr>
    </w:p>
    <w:p>
      <w:pPr>
        <w:ind w:left="740"/>
        <w:spacing w:after="0"/>
        <w:rPr>
          <w:rFonts w:ascii="Arial" w:cs="Arial" w:eastAsia="Arial" w:hAnsi="Arial"/>
          <w:sz w:val="17"/>
          <w:szCs w:val="17"/>
          <w:color w:val="auto"/>
        </w:rPr>
      </w:pPr>
      <w:r>
        <w:rPr>
          <w:rFonts w:ascii="Arial" w:cs="Arial" w:eastAsia="Arial" w:hAnsi="Arial"/>
          <w:sz w:val="17"/>
          <w:szCs w:val="17"/>
          <w:color w:val="auto"/>
        </w:rPr>
        <w:t>4,295,862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39370</wp:posOffset>
            </wp:positionV>
            <wp:extent cx="102044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020445" cy="8255"/>
                    </a:xfrm>
                    <a:prstGeom prst="rect">
                      <a:avLst/>
                    </a:prstGeom>
                    <a:noFill/>
                  </pic:spPr>
                </pic:pic>
              </a:graphicData>
            </a:graphic>
          </wp:anchor>
        </w:drawing>
      </w:r>
    </w:p>
    <w:p>
      <w:pPr>
        <w:spacing w:after="0" w:line="21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12,082,191</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right"/>
        <w:ind w:right="639"/>
        <w:spacing w:after="0"/>
        <w:rPr>
          <w:sz w:val="20"/>
          <w:szCs w:val="20"/>
          <w:color w:val="auto"/>
        </w:rPr>
      </w:pPr>
      <w:r>
        <w:rPr>
          <w:rFonts w:ascii="Arial" w:cs="Arial" w:eastAsia="Arial" w:hAnsi="Arial"/>
          <w:sz w:val="18"/>
          <w:szCs w:val="18"/>
          <w:color w:val="auto"/>
        </w:rPr>
        <w:t>36,044,943</w:t>
      </w:r>
    </w:p>
    <w:p>
      <w:pPr>
        <w:spacing w:after="0" w:line="63" w:lineRule="exact"/>
        <w:rPr>
          <w:sz w:val="20"/>
          <w:szCs w:val="20"/>
          <w:color w:val="auto"/>
        </w:rPr>
      </w:pPr>
    </w:p>
    <w:p>
      <w:pPr>
        <w:jc w:val="right"/>
        <w:ind w:right="639"/>
        <w:spacing w:after="0"/>
        <w:rPr>
          <w:sz w:val="20"/>
          <w:szCs w:val="20"/>
          <w:color w:val="auto"/>
        </w:rPr>
      </w:pPr>
      <w:r>
        <w:rPr>
          <w:rFonts w:ascii="Arial" w:cs="Arial" w:eastAsia="Arial" w:hAnsi="Arial"/>
          <w:sz w:val="18"/>
          <w:szCs w:val="18"/>
          <w:color w:val="auto"/>
        </w:rPr>
        <w:t>161,581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31750</wp:posOffset>
            </wp:positionV>
            <wp:extent cx="102044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020445" cy="8255"/>
                    </a:xfrm>
                    <a:prstGeom prst="rect">
                      <a:avLst/>
                    </a:prstGeom>
                    <a:noFill/>
                  </pic:spPr>
                </pic:pic>
              </a:graphicData>
            </a:graphic>
          </wp:anchor>
        </w:drawing>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48,288,715</w:t>
      </w:r>
    </w:p>
    <w:p>
      <w:pPr>
        <w:spacing w:after="0" w:line="200" w:lineRule="exact"/>
        <w:rPr>
          <w:sz w:val="20"/>
          <w:szCs w:val="20"/>
          <w:color w:val="auto"/>
        </w:rPr>
      </w:pPr>
    </w:p>
    <w:p>
      <w:pPr>
        <w:spacing w:after="0" w:line="307" w:lineRule="exact"/>
        <w:rPr>
          <w:sz w:val="20"/>
          <w:szCs w:val="20"/>
          <w:color w:val="auto"/>
        </w:rPr>
      </w:pPr>
    </w:p>
    <w:p>
      <w:pPr>
        <w:jc w:val="right"/>
        <w:ind w:right="639"/>
        <w:spacing w:after="0"/>
        <w:rPr>
          <w:sz w:val="20"/>
          <w:szCs w:val="20"/>
          <w:color w:val="auto"/>
        </w:rPr>
      </w:pPr>
      <w:r>
        <w:rPr>
          <w:rFonts w:ascii="Arial" w:cs="Arial" w:eastAsia="Arial" w:hAnsi="Arial"/>
          <w:sz w:val="18"/>
          <w:szCs w:val="18"/>
          <w:color w:val="auto"/>
        </w:rPr>
        <w:t>6,730,791</w:t>
      </w:r>
    </w:p>
    <w:p>
      <w:pPr>
        <w:spacing w:after="0" w:line="63" w:lineRule="exact"/>
        <w:rPr>
          <w:sz w:val="20"/>
          <w:szCs w:val="20"/>
          <w:color w:val="auto"/>
        </w:rPr>
      </w:pPr>
    </w:p>
    <w:p>
      <w:pPr>
        <w:jc w:val="right"/>
        <w:ind w:right="639"/>
        <w:spacing w:after="0"/>
        <w:rPr>
          <w:sz w:val="20"/>
          <w:szCs w:val="20"/>
          <w:color w:val="auto"/>
        </w:rPr>
      </w:pPr>
      <w:r>
        <w:rPr>
          <w:rFonts w:ascii="Arial" w:cs="Arial" w:eastAsia="Arial" w:hAnsi="Arial"/>
          <w:sz w:val="18"/>
          <w:szCs w:val="18"/>
          <w:color w:val="auto"/>
        </w:rPr>
        <w:t>188,413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31750</wp:posOffset>
            </wp:positionV>
            <wp:extent cx="102044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020445" cy="8890"/>
                    </a:xfrm>
                    <a:prstGeom prst="rect">
                      <a:avLst/>
                    </a:prstGeom>
                    <a:noFill/>
                  </pic:spPr>
                </pic:pic>
              </a:graphicData>
            </a:graphic>
          </wp:anchor>
        </w:drawing>
      </w:r>
    </w:p>
    <w:p>
      <w:pPr>
        <w:spacing w:after="0" w:line="57" w:lineRule="exact"/>
        <w:rPr>
          <w:sz w:val="20"/>
          <w:szCs w:val="20"/>
          <w:color w:val="auto"/>
        </w:rPr>
      </w:pPr>
    </w:p>
    <w:p>
      <w:pPr>
        <w:jc w:val="right"/>
        <w:ind w:right="639"/>
        <w:spacing w:after="0"/>
        <w:rPr>
          <w:sz w:val="20"/>
          <w:szCs w:val="20"/>
          <w:color w:val="auto"/>
        </w:rPr>
      </w:pPr>
      <w:r>
        <w:rPr>
          <w:rFonts w:ascii="Arial" w:cs="Arial" w:eastAsia="Arial" w:hAnsi="Arial"/>
          <w:sz w:val="18"/>
          <w:szCs w:val="18"/>
          <w:color w:val="auto"/>
        </w:rPr>
        <w:t>6,919,204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31750</wp:posOffset>
            </wp:positionV>
            <wp:extent cx="102044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020445" cy="8255"/>
                    </a:xfrm>
                    <a:prstGeom prst="rect">
                      <a:avLst/>
                    </a:prstGeom>
                    <a:noFill/>
                  </pic:spPr>
                </pic:pic>
              </a:graphicData>
            </a:graphic>
          </wp:anchor>
        </w:drawing>
      </w:r>
    </w:p>
    <w:p>
      <w:pPr>
        <w:spacing w:after="0" w:line="205"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w:t>
      </w:r>
    </w:p>
    <w:p>
      <w:pPr>
        <w:spacing w:after="0" w:line="63"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31750</wp:posOffset>
            </wp:positionV>
            <wp:extent cx="102044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020445" cy="8890"/>
                    </a:xfrm>
                    <a:prstGeom prst="rect">
                      <a:avLst/>
                    </a:prstGeom>
                    <a:noFill/>
                  </pic:spPr>
                </pic:pic>
              </a:graphicData>
            </a:graphic>
          </wp:anchor>
        </w:drawing>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41,369,511</w:t>
      </w:r>
    </w:p>
    <w:p>
      <w:pPr>
        <w:spacing w:after="0" w:line="23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204,143,191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39370</wp:posOffset>
            </wp:positionV>
            <wp:extent cx="102044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020445" cy="8255"/>
                    </a:xfrm>
                    <a:prstGeom prst="rect">
                      <a:avLst/>
                    </a:prstGeom>
                    <a:noFill/>
                  </pic:spPr>
                </pic:pic>
              </a:graphicData>
            </a:graphic>
          </wp:anchor>
        </w:drawing>
      </w:r>
    </w:p>
    <w:p>
      <w:pPr>
        <w:spacing w:after="0" w:line="68" w:lineRule="exact"/>
        <w:rPr>
          <w:sz w:val="20"/>
          <w:szCs w:val="20"/>
          <w:color w:val="auto"/>
        </w:rPr>
      </w:pPr>
    </w:p>
    <w:p>
      <w:pPr>
        <w:ind w:left="560" w:hanging="555"/>
        <w:spacing w:after="0"/>
        <w:tabs>
          <w:tab w:leader="none" w:pos="560" w:val="left"/>
        </w:tabs>
        <w:numPr>
          <w:ilvl w:val="0"/>
          <w:numId w:val="6"/>
        </w:numPr>
        <w:rPr>
          <w:rFonts w:ascii="Arial" w:cs="Arial" w:eastAsia="Arial" w:hAnsi="Arial"/>
          <w:sz w:val="17"/>
          <w:szCs w:val="17"/>
          <w:color w:val="auto"/>
        </w:rPr>
      </w:pPr>
      <w:r>
        <w:rPr>
          <w:rFonts w:ascii="Arial" w:cs="Arial" w:eastAsia="Arial" w:hAnsi="Arial"/>
          <w:sz w:val="17"/>
          <w:szCs w:val="17"/>
          <w:color w:val="auto"/>
        </w:rPr>
        <w:t>245,512,702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39370</wp:posOffset>
            </wp:positionV>
            <wp:extent cx="102044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020445" cy="88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64770</wp:posOffset>
            </wp:positionV>
            <wp:extent cx="102044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020445" cy="8890"/>
                    </a:xfrm>
                    <a:prstGeom prst="rect">
                      <a:avLst/>
                    </a:prstGeom>
                    <a:noFill/>
                  </pic:spPr>
                </pic:pic>
              </a:graphicData>
            </a:graphic>
          </wp:anchor>
        </w:drawing>
      </w:r>
    </w:p>
    <w:p>
      <w:pPr>
        <w:spacing w:after="0" w:line="371" w:lineRule="exact"/>
        <w:rPr>
          <w:sz w:val="20"/>
          <w:szCs w:val="20"/>
          <w:color w:val="auto"/>
        </w:rPr>
      </w:pPr>
    </w:p>
    <w:p>
      <w:pPr>
        <w:sectPr>
          <w:pgSz w:w="11900" w:h="16838" w:orient="portrait"/>
          <w:cols w:equalWidth="0" w:num="3">
            <w:col w:w="4480" w:space="150"/>
            <w:col w:w="1570" w:space="720"/>
            <w:col w:w="2099"/>
          </w:cols>
          <w:pgMar w:left="1440" w:top="1306" w:right="1440" w:bottom="1440" w:gutter="0" w:footer="0" w:header="0"/>
          <w:type w:val="continuous"/>
        </w:sectPr>
      </w:pPr>
    </w:p>
    <w:p>
      <w:pPr>
        <w:ind w:left="520"/>
        <w:spacing w:after="0"/>
        <w:rPr>
          <w:sz w:val="20"/>
          <w:szCs w:val="20"/>
          <w:color w:val="auto"/>
        </w:rPr>
      </w:pPr>
      <w:r>
        <w:rPr>
          <w:rFonts w:ascii="Arial" w:cs="Arial" w:eastAsia="Arial" w:hAnsi="Arial"/>
          <w:sz w:val="18"/>
          <w:szCs w:val="18"/>
          <w:i w:val="1"/>
          <w:iCs w:val="1"/>
          <w:color w:val="auto"/>
        </w:rPr>
        <w:t>See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w:t>
      </w:r>
    </w:p>
    <w:p>
      <w:pPr>
        <w:sectPr>
          <w:pgSz w:w="11900" w:h="16838" w:orient="portrait"/>
          <w:cols w:equalWidth="0" w:num="1">
            <w:col w:w="9019"/>
          </w:cols>
          <w:pgMar w:left="1440" w:top="1306" w:right="1440" w:bottom="1440" w:gutter="0" w:footer="0" w:header="0"/>
          <w:type w:val="continuous"/>
        </w:sectPr>
      </w:pPr>
    </w:p>
    <w:bookmarkStart w:id="7" w:name="page8"/>
    <w:bookmarkEnd w:id="7"/>
    <w:p>
      <w:pPr>
        <w:jc w:val="center"/>
        <w:spacing w:after="0"/>
        <w:rPr>
          <w:sz w:val="20"/>
          <w:szCs w:val="20"/>
          <w:color w:val="auto"/>
        </w:rPr>
      </w:pPr>
      <w:r>
        <w:rPr>
          <w:rFonts w:ascii="Arial" w:cs="Arial" w:eastAsia="Arial" w:hAnsi="Arial"/>
          <w:sz w:val="25"/>
          <w:szCs w:val="25"/>
          <w:color w:val="auto"/>
        </w:rPr>
        <w:t>The Lilly Employee 401(k) Plan and</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The Savings Plan for Lilly Affiliate Employees in Puerto Rico</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Notes to Financial Statements</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December 31, 2019 and 2018</w:t>
      </w: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1 - Description of the Plans</w:t>
      </w:r>
    </w:p>
    <w:p>
      <w:pPr>
        <w:spacing w:after="0" w:line="266"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The accompanying financial statements comprise the employee savings plans of Eli Lilly and Company (the Company) and certain of the Company’s U.S. and Puerto Rico affiliates that participate, as of the end of the stated period, in The Lilly Employee Savings Plan Master Trust (the Master Trust).</w:t>
      </w:r>
    </w:p>
    <w:p>
      <w:pPr>
        <w:spacing w:after="0" w:line="206"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auto"/>
        </w:rPr>
        <w:t>General</w:t>
      </w:r>
    </w:p>
    <w:p>
      <w:pPr>
        <w:spacing w:after="0" w:line="253" w:lineRule="exact"/>
        <w:rPr>
          <w:sz w:val="20"/>
          <w:szCs w:val="20"/>
          <w:color w:val="auto"/>
        </w:rPr>
      </w:pPr>
    </w:p>
    <w:p>
      <w:pPr>
        <w:ind w:right="20"/>
        <w:spacing w:after="0" w:line="236" w:lineRule="auto"/>
        <w:rPr>
          <w:sz w:val="20"/>
          <w:szCs w:val="20"/>
          <w:color w:val="auto"/>
        </w:rPr>
      </w:pPr>
      <w:r>
        <w:rPr>
          <w:rFonts w:ascii="Arial" w:cs="Arial" w:eastAsia="Arial" w:hAnsi="Arial"/>
          <w:sz w:val="22"/>
          <w:szCs w:val="22"/>
          <w:color w:val="auto"/>
        </w:rPr>
        <w:t>The Lilly Employee 401(k) Plan (the 401(k) Plan) was established for the benefit of eligible employees of Eli Lilly and Company and participating subsidiaries and affiliated companies. The Savings Plan for Lilly Affiliate Employees in Puerto Rico (the Puerto Rico Plan) was established for the benefit of resident eligible employees of, and certain employees within, the Commonwealth of Puerto Rico. The accompanying financial statements include the net assets and related activity of the 401(k) Plan and the Puerto Rico Plan.</w:t>
      </w:r>
    </w:p>
    <w:p>
      <w:pPr>
        <w:spacing w:after="0" w:line="228"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The following description of the 401(k) Plan and the Puerto Rico Plan (collectively, the Plans) provides only general information. Participants should refer to the applicable plan documents and the Plans’ summary plan descriptions for more complete information.</w:t>
      </w:r>
    </w:p>
    <w:p>
      <w:pPr>
        <w:spacing w:after="0" w:line="226"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Alight Solutions, LLC is the recordkeeper of the Plans. The Company is the plan sponsor for the 401(k) Plan, and Lilly del Caribe, Inc. is the plan sponsor for the Puerto Rico Plan. The Employee Benefits Committee of the Company is the plan administrator for the Plans.</w:t>
      </w:r>
    </w:p>
    <w:p>
      <w:pPr>
        <w:spacing w:after="0" w:line="212" w:lineRule="exact"/>
        <w:rPr>
          <w:sz w:val="20"/>
          <w:szCs w:val="20"/>
          <w:color w:val="auto"/>
        </w:rPr>
      </w:pPr>
    </w:p>
    <w:p>
      <w:pPr>
        <w:jc w:val="both"/>
        <w:spacing w:after="0" w:line="247" w:lineRule="auto"/>
        <w:rPr>
          <w:sz w:val="20"/>
          <w:szCs w:val="20"/>
          <w:color w:val="auto"/>
        </w:rPr>
      </w:pPr>
      <w:r>
        <w:rPr>
          <w:rFonts w:ascii="Arial" w:cs="Arial" w:eastAsia="Arial" w:hAnsi="Arial"/>
          <w:sz w:val="22"/>
          <w:szCs w:val="22"/>
          <w:color w:val="auto"/>
        </w:rPr>
        <w:t>Full-time employees become eligible for participation in the Plans on the first day of employment. Seasonal, part-time, or other special-status employees must complete 1,000 hours of service within a 12-consecutive-month period to be eligible. The Plans allow for participant contributions from 1% to 50% of base compensation up to applicable regulatory limits. Participants have the option of enrolling in a program to increase their contribution rates automatically each year. Matching contributions by the Company are currently 100% of the employee contributions up to the 6% employee contribution level, subject to Internal Revenue Service (IRS) limits.</w:t>
      </w:r>
    </w:p>
    <w:p>
      <w:pPr>
        <w:spacing w:after="0" w:line="220" w:lineRule="exact"/>
        <w:rPr>
          <w:sz w:val="20"/>
          <w:szCs w:val="20"/>
          <w:color w:val="auto"/>
        </w:rPr>
      </w:pPr>
    </w:p>
    <w:p>
      <w:pPr>
        <w:ind w:right="80"/>
        <w:spacing w:after="0" w:line="245" w:lineRule="auto"/>
        <w:rPr>
          <w:sz w:val="20"/>
          <w:szCs w:val="20"/>
          <w:color w:val="auto"/>
        </w:rPr>
      </w:pPr>
      <w:r>
        <w:rPr>
          <w:rFonts w:ascii="Arial" w:cs="Arial" w:eastAsia="Arial" w:hAnsi="Arial"/>
          <w:sz w:val="21"/>
          <w:szCs w:val="21"/>
          <w:color w:val="auto"/>
        </w:rPr>
        <w:t>In September 2018, Elanco Animal Health Incorporated (Elanco), a former subsidiary of the Company, completed an initial public offering of a portion of its common stock. On January 2, 2019, the 401(k) Plan transferred the account balances attributable to Elanco employees, of approximately $301 million, to The Elanco US Inc. 401(k) Plan (the Elanco Plan). In February 2019, Elanco filed a registration statement to initiate an exchange offer in which shareholders, including eligible participants of the Elanco Plan, the 401(k) Plan, and the Puerto Rico Plan, could exchange shares of the Company’s common stock for Elanco common stock. On March 11, 2019, the Company completed the disposition of its remaining ownership of Elanco common stock through the exchange offer. With respect to the 401(k) Plan and the Puerto Rico Plan, the shares of Elanco common stock in their respective Elanco Stock Funds were liquidated on December 12, 2019 and reinvested in the investment fund designated by each plan as its qualified default investment alternative. The financial statements of the Elanco Plan are excluded from the accompanying financial statements.</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190"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25"/>
          <w:szCs w:val="25"/>
          <w:color w:val="auto"/>
        </w:rPr>
        <w:t>The Lilly Employee 401(k) Plan and</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The Savings Plan for Lilly Affiliate Employees in Puerto Rico</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Notes to Financial Statements, cont.</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December 31, 2019 and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auto"/>
        </w:rPr>
        <w:t>Contributions</w:t>
      </w:r>
    </w:p>
    <w:p>
      <w:pPr>
        <w:spacing w:after="0" w:line="226" w:lineRule="exact"/>
        <w:rPr>
          <w:sz w:val="20"/>
          <w:szCs w:val="20"/>
          <w:color w:val="auto"/>
        </w:rPr>
      </w:pPr>
    </w:p>
    <w:p>
      <w:pPr>
        <w:jc w:val="both"/>
        <w:spacing w:after="0" w:line="261" w:lineRule="auto"/>
        <w:rPr>
          <w:sz w:val="20"/>
          <w:szCs w:val="20"/>
          <w:color w:val="auto"/>
        </w:rPr>
      </w:pPr>
      <w:r>
        <w:rPr>
          <w:rFonts w:ascii="Arial" w:cs="Arial" w:eastAsia="Arial" w:hAnsi="Arial"/>
          <w:sz w:val="21"/>
          <w:szCs w:val="21"/>
          <w:color w:val="auto"/>
        </w:rPr>
        <w:t>Participants may designate that their contributions be invested in any of the investment options offered by the Plans. In addition, participants generally can buy and sell investments offered by the Plans, including the Eli Lilly and Company common stock fund (the Company Stock Fund), and transfer money, vested or nonvested, from any of the investment options into and out of any of the other investment options. Participants also are allowed to take payment of the Company Stock Fund dividends in lieu of having them reinvested in their participant accounts. Company matching contributions are allocated based on a participant’s investment elections for their own contributions.</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Vesting</w:t>
      </w:r>
    </w:p>
    <w:p>
      <w:pPr>
        <w:spacing w:after="0" w:line="266" w:lineRule="exact"/>
        <w:rPr>
          <w:sz w:val="20"/>
          <w:szCs w:val="20"/>
          <w:color w:val="auto"/>
        </w:rPr>
      </w:pPr>
    </w:p>
    <w:p>
      <w:pPr>
        <w:jc w:val="both"/>
        <w:spacing w:after="0" w:line="265" w:lineRule="auto"/>
        <w:rPr>
          <w:sz w:val="20"/>
          <w:szCs w:val="20"/>
          <w:color w:val="auto"/>
        </w:rPr>
      </w:pPr>
      <w:r>
        <w:rPr>
          <w:rFonts w:ascii="Arial" w:cs="Arial" w:eastAsia="Arial" w:hAnsi="Arial"/>
          <w:sz w:val="21"/>
          <w:szCs w:val="21"/>
          <w:color w:val="auto"/>
        </w:rPr>
        <w:t>All participants are vested immediately in their own contributions. All participants with two credited years of service are vested and eligible to receive 100% of the Company’s matching contributions. Forfeitures of approximately $687,000 for the 401(k) Plan were applied to decrease the Company’s contributions during 2019 for the 401(k) Plan. Forfeitures of approximately $77,000 were applied to decrease the Company’s contributions during 2019 for the Puerto Rico Plan.</w:t>
      </w:r>
    </w:p>
    <w:p>
      <w:pPr>
        <w:spacing w:after="0" w:line="210"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auto"/>
        </w:rPr>
        <w:t>Participant Loans</w:t>
      </w:r>
    </w:p>
    <w:p>
      <w:pPr>
        <w:spacing w:after="0" w:line="253" w:lineRule="exact"/>
        <w:rPr>
          <w:sz w:val="20"/>
          <w:szCs w:val="20"/>
          <w:color w:val="auto"/>
        </w:rPr>
      </w:pPr>
    </w:p>
    <w:p>
      <w:pPr>
        <w:jc w:val="both"/>
        <w:spacing w:after="0" w:line="247" w:lineRule="auto"/>
        <w:rPr>
          <w:sz w:val="20"/>
          <w:szCs w:val="20"/>
          <w:color w:val="auto"/>
        </w:rPr>
      </w:pPr>
      <w:r>
        <w:rPr>
          <w:rFonts w:ascii="Arial" w:cs="Arial" w:eastAsia="Arial" w:hAnsi="Arial"/>
          <w:sz w:val="22"/>
          <w:szCs w:val="22"/>
          <w:color w:val="auto"/>
        </w:rPr>
        <w:t>Participants may borrow from their accounts a minimum of $1,000 and a maximum of the least of (1) one-half of the amount of the participant’s vested account, (2) 90% of the portion of the participant’s account balance attributable to the participant’s pretax contributions and rollover account, and (3) $50,000 (all of which are reduced by any unpaid loan balance). The loans are collateralized by the participant’s vested account and bear interest at prime plus 1%. Should the participant terminate as an employee, the balance of the outstanding loan becomes due and payable. Related fees are recorded as administrative expenses and are expensed when they are incurred.</w:t>
      </w:r>
    </w:p>
    <w:p>
      <w:pPr>
        <w:spacing w:after="0" w:line="227"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auto"/>
        </w:rPr>
        <w:t>Termination</w:t>
      </w:r>
    </w:p>
    <w:p>
      <w:pPr>
        <w:spacing w:after="0" w:line="266" w:lineRule="exact"/>
        <w:rPr>
          <w:sz w:val="20"/>
          <w:szCs w:val="20"/>
          <w:color w:val="auto"/>
        </w:rPr>
      </w:pPr>
    </w:p>
    <w:p>
      <w:pPr>
        <w:jc w:val="both"/>
        <w:ind w:right="20"/>
        <w:spacing w:after="0" w:line="263" w:lineRule="auto"/>
        <w:rPr>
          <w:sz w:val="20"/>
          <w:szCs w:val="20"/>
          <w:color w:val="auto"/>
        </w:rPr>
      </w:pPr>
      <w:r>
        <w:rPr>
          <w:rFonts w:ascii="Arial" w:cs="Arial" w:eastAsia="Arial" w:hAnsi="Arial"/>
          <w:sz w:val="21"/>
          <w:szCs w:val="21"/>
          <w:color w:val="auto"/>
        </w:rPr>
        <w:t>The Plans are subject to and are intended to comply with the provisions of the Employee Retirement Income Security Act of 1974 (ERISA) and applicable IRS or Puerto Rico Treasury requirements. The Company has the right to terminate the Plans subject to the provisions of ERISA and the Plans, as established in the applicable plan documents. In the event the Plans are terminated, each participant’s account shall be nonforfeitable with respect to both the employee’s and the Company’s contributions, and the net assets are to be set aside for payment of withdrawals by participants.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190"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25"/>
          <w:szCs w:val="25"/>
          <w:color w:val="auto"/>
        </w:rPr>
        <w:t>The Lilly Employee 401(k) Plan and</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The Savings Plan for Lilly Affiliate Employees in Puerto Rico</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Notes to Financial Statements, cont.</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December 31, 2019 and 2018</w:t>
      </w: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2 - Significant Accounting Policies</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Investment Valuation and Income Recognition</w:t>
      </w:r>
    </w:p>
    <w:p>
      <w:pPr>
        <w:spacing w:after="0" w:line="253"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Investments held by the Master Trust are stated at fair value, except for fully benefit-responsive synthetic guaranteed investment contracts, as noted below. Fair value is defined as the price that would be received to sell an asset or paid to transfer a liability in an orderly transaction between market participants at the measurement date (an exit price). See Note 4 for further discussion of fair value measurements.</w:t>
      </w:r>
    </w:p>
    <w:p>
      <w:pPr>
        <w:spacing w:after="0" w:line="215"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Master Trust invests in fully benefit-responsive synthetic guaranteed investment contracts (synthetic GICs), which are stated at contract value. Contract value represents contributions made under each contract, plus earnings, less participant withdrawals and administrative expenses. Participants may ordinarily direct the withdrawal or transfer of all or a portion of their investments at contract value.</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Receivable from Participants</w:t>
      </w:r>
    </w:p>
    <w:p>
      <w:pPr>
        <w:spacing w:after="0" w:line="266"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Notes receivable from participants represent participant loans that are recorded at their unpaid principal balances plus any accrued but unpaid interest. Interest income on notes receivable from participants is recorded when it is earned. No allowance for credit losses has been recorded as of December 31, 2019 and 2018. If a participant ceases to make loan repayments and the plan administrator deems the participant loan to be a distribution, the participant loan balance is reduced and a benefit payment is recorded.</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Use of Estimates and Basis of Accounting</w:t>
      </w:r>
    </w:p>
    <w:p>
      <w:pPr>
        <w:spacing w:after="0" w:line="253"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preparation of financial statements in conformity with U.S. generally accepted accounting principles (U.S. GAAP) requires management to make estimates that affect the amounts reported in the financial statements and accompanying notes. Actual results could differ from these estimates. The accompanying financial statements have been prepared on the accrual basis of accounting.</w:t>
      </w: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3 - Master Trust</w:t>
      </w:r>
    </w:p>
    <w:p>
      <w:pPr>
        <w:spacing w:after="0" w:line="253" w:lineRule="exact"/>
        <w:rPr>
          <w:sz w:val="20"/>
          <w:szCs w:val="20"/>
          <w:color w:val="auto"/>
        </w:rPr>
      </w:pPr>
    </w:p>
    <w:p>
      <w:pPr>
        <w:ind w:right="120"/>
        <w:spacing w:after="0" w:line="248" w:lineRule="auto"/>
        <w:rPr>
          <w:sz w:val="20"/>
          <w:szCs w:val="20"/>
          <w:color w:val="auto"/>
        </w:rPr>
      </w:pPr>
      <w:r>
        <w:rPr>
          <w:rFonts w:ascii="Arial" w:cs="Arial" w:eastAsia="Arial" w:hAnsi="Arial"/>
          <w:sz w:val="21"/>
          <w:szCs w:val="21"/>
          <w:color w:val="auto"/>
        </w:rPr>
        <w:t>The Plans provide that both participant contributions and company matching contributions be held in a trust by an independent trustee for the benefit of participating employees. During 2019 and 2018, The Northern Trust Company served as trustee and maintained the accounting of the aggregate value of assets associated with each Plan participating in the Master Trust. The respective ownership interest of each Plan is determined using a unit-valuation method. At December 31, 2019, the Master Trust held the assets of the 401(k) Plan, the Puerto Rico Plan, and the Elanco Plan. At December 31, 2018, the Master Trust held the assets of the 401(k) Plan and the Puerto Rico Plan.</w:t>
      </w:r>
    </w:p>
    <w:p>
      <w:pPr>
        <w:spacing w:after="0" w:line="217"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Purchases and sales of securities are recorded on a trade-date basis. Interest income is recorded as earned. Dividends are recorded on the ex-dividend date. Net appreciation includes gains and losses on investments bought and sold, as well as held during the year.</w:t>
      </w:r>
    </w:p>
    <w:p>
      <w:pPr>
        <w:sectPr>
          <w:pgSz w:w="11900" w:h="16838" w:orient="portrait"/>
          <w:cols w:equalWidth="0" w:num="1">
            <w:col w:w="11240"/>
          </w:cols>
          <w:pgMar w:left="320" w:top="19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240"/>
          </w:cols>
          <w:pgMar w:left="320" w:top="190" w:right="339" w:bottom="1440" w:gutter="0" w:footer="0" w:header="0"/>
          <w:type w:val="continuous"/>
        </w:sectPr>
      </w:pPr>
    </w:p>
    <w:bookmarkStart w:id="10" w:name="page11"/>
    <w:bookmarkEnd w:id="10"/>
    <w:p>
      <w:pPr>
        <w:jc w:val="center"/>
        <w:spacing w:after="0"/>
        <w:rPr>
          <w:sz w:val="20"/>
          <w:szCs w:val="20"/>
          <w:color w:val="auto"/>
        </w:rPr>
      </w:pPr>
      <w:r>
        <w:rPr>
          <w:rFonts w:ascii="Arial" w:cs="Arial" w:eastAsia="Arial" w:hAnsi="Arial"/>
          <w:sz w:val="25"/>
          <w:szCs w:val="25"/>
          <w:color w:val="auto"/>
        </w:rPr>
        <w:t>The Lilly Employee 401(k) Plan and</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The Savings Plan for Lilly Affiliate Employees in Puerto Rico</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Notes to Financial Statements, cont.</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December 31, 2019 and 2018</w:t>
      </w:r>
    </w:p>
    <w:p>
      <w:pPr>
        <w:spacing w:after="0" w:line="200" w:lineRule="exact"/>
        <w:rPr>
          <w:sz w:val="20"/>
          <w:szCs w:val="20"/>
          <w:color w:val="auto"/>
        </w:rPr>
      </w:pPr>
    </w:p>
    <w:p>
      <w:pPr>
        <w:spacing w:after="0" w:line="318" w:lineRule="exact"/>
        <w:rPr>
          <w:sz w:val="20"/>
          <w:szCs w:val="20"/>
          <w:color w:val="auto"/>
        </w:rPr>
      </w:pPr>
    </w:p>
    <w:p>
      <w:pPr>
        <w:jc w:val="both"/>
        <w:ind w:right="20"/>
        <w:spacing w:after="0" w:line="263" w:lineRule="auto"/>
        <w:rPr>
          <w:sz w:val="20"/>
          <w:szCs w:val="20"/>
          <w:color w:val="auto"/>
        </w:rPr>
      </w:pPr>
      <w:r>
        <w:rPr>
          <w:rFonts w:ascii="Arial" w:cs="Arial" w:eastAsia="Arial" w:hAnsi="Arial"/>
          <w:sz w:val="22"/>
          <w:szCs w:val="22"/>
          <w:color w:val="auto"/>
        </w:rPr>
        <w:t>Investment income, including net appreciation/depreciation in fair value of investments and expenses, is allocated to the participating plans based upon their pro rata share of the net assets of the Master Trust.</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Net investment income for the Master Trust for the year ended December 31, 2019 is as follows:</w:t>
      </w:r>
    </w:p>
    <w:p>
      <w:pPr>
        <w:spacing w:after="0" w:line="200" w:lineRule="exact"/>
        <w:rPr>
          <w:sz w:val="20"/>
          <w:szCs w:val="20"/>
          <w:color w:val="auto"/>
        </w:rPr>
      </w:pPr>
    </w:p>
    <w:p>
      <w:pPr>
        <w:spacing w:after="0" w:line="335" w:lineRule="exact"/>
        <w:rPr>
          <w:sz w:val="20"/>
          <w:szCs w:val="20"/>
          <w:color w:val="auto"/>
        </w:rPr>
      </w:pPr>
    </w:p>
    <w:tbl>
      <w:tblPr>
        <w:tblLayout w:type="fixed"/>
        <w:tblInd w:w="20" w:type="dxa"/>
        <w:tblCellMar>
          <w:top w:w="0" w:type="dxa"/>
          <w:left w:w="0" w:type="dxa"/>
          <w:bottom w:w="0" w:type="dxa"/>
          <w:right w:w="0" w:type="dxa"/>
        </w:tblCellMar>
      </w:tblPr>
      <w:tr>
        <w:trPr>
          <w:trHeight w:val="250"/>
        </w:trPr>
        <w:tc>
          <w:tcPr>
            <w:tcW w:w="6080" w:type="dxa"/>
            <w:vAlign w:val="bottom"/>
          </w:tcPr>
          <w:p>
            <w:pPr>
              <w:spacing w:after="0"/>
              <w:rPr>
                <w:sz w:val="20"/>
                <w:szCs w:val="20"/>
                <w:color w:val="auto"/>
              </w:rPr>
            </w:pPr>
            <w:r>
              <w:rPr>
                <w:rFonts w:ascii="Arial" w:cs="Arial" w:eastAsia="Arial" w:hAnsi="Arial"/>
                <w:sz w:val="20"/>
                <w:szCs w:val="20"/>
                <w:color w:val="auto"/>
              </w:rPr>
              <w:t>Net realized and unrealized gains and losses on investments</w:t>
            </w:r>
          </w:p>
        </w:tc>
        <w:tc>
          <w:tcPr>
            <w:tcW w:w="440" w:type="dxa"/>
            <w:vAlign w:val="bottom"/>
          </w:tcPr>
          <w:p>
            <w:pPr>
              <w:jc w:val="right"/>
              <w:ind w:right="221"/>
              <w:spacing w:after="0"/>
              <w:rPr>
                <w:sz w:val="20"/>
                <w:szCs w:val="20"/>
                <w:color w:val="auto"/>
              </w:rPr>
            </w:pPr>
            <w:r>
              <w:rPr>
                <w:rFonts w:ascii="Arial" w:cs="Arial" w:eastAsia="Arial" w:hAnsi="Arial"/>
                <w:sz w:val="20"/>
                <w:szCs w:val="20"/>
                <w:color w:val="auto"/>
                <w:w w:val="89"/>
              </w:rPr>
              <w:t>$</w:t>
            </w:r>
          </w:p>
        </w:tc>
        <w:tc>
          <w:tcPr>
            <w:tcW w:w="1620" w:type="dxa"/>
            <w:vAlign w:val="bottom"/>
          </w:tcPr>
          <w:p>
            <w:pPr>
              <w:jc w:val="right"/>
              <w:ind w:right="61"/>
              <w:spacing w:after="0"/>
              <w:rPr>
                <w:sz w:val="20"/>
                <w:szCs w:val="20"/>
                <w:color w:val="auto"/>
              </w:rPr>
            </w:pPr>
            <w:r>
              <w:rPr>
                <w:rFonts w:ascii="Arial" w:cs="Arial" w:eastAsia="Arial" w:hAnsi="Arial"/>
                <w:sz w:val="20"/>
                <w:szCs w:val="20"/>
                <w:color w:val="auto"/>
              </w:rPr>
              <w:t>1,276,566,730</w:t>
            </w:r>
          </w:p>
        </w:tc>
      </w:tr>
      <w:tr>
        <w:trPr>
          <w:trHeight w:val="283"/>
        </w:trPr>
        <w:tc>
          <w:tcPr>
            <w:tcW w:w="6080" w:type="dxa"/>
            <w:vAlign w:val="bottom"/>
          </w:tcPr>
          <w:p>
            <w:pPr>
              <w:spacing w:after="0"/>
              <w:rPr>
                <w:sz w:val="20"/>
                <w:szCs w:val="20"/>
                <w:color w:val="auto"/>
              </w:rPr>
            </w:pPr>
            <w:r>
              <w:rPr>
                <w:rFonts w:ascii="Arial" w:cs="Arial" w:eastAsia="Arial" w:hAnsi="Arial"/>
                <w:sz w:val="20"/>
                <w:szCs w:val="20"/>
                <w:color w:val="auto"/>
              </w:rPr>
              <w:t>Interest income, net of expenses</w:t>
            </w:r>
          </w:p>
        </w:tc>
        <w:tc>
          <w:tcPr>
            <w:tcW w:w="440" w:type="dxa"/>
            <w:vAlign w:val="bottom"/>
          </w:tcPr>
          <w:p>
            <w:pPr>
              <w:spacing w:after="0"/>
              <w:rPr>
                <w:sz w:val="24"/>
                <w:szCs w:val="24"/>
                <w:color w:val="auto"/>
              </w:rPr>
            </w:pPr>
          </w:p>
        </w:tc>
        <w:tc>
          <w:tcPr>
            <w:tcW w:w="1620" w:type="dxa"/>
            <w:vAlign w:val="bottom"/>
          </w:tcPr>
          <w:p>
            <w:pPr>
              <w:jc w:val="right"/>
              <w:ind w:right="61"/>
              <w:spacing w:after="0"/>
              <w:rPr>
                <w:sz w:val="20"/>
                <w:szCs w:val="20"/>
                <w:color w:val="auto"/>
              </w:rPr>
            </w:pPr>
            <w:r>
              <w:rPr>
                <w:rFonts w:ascii="Arial" w:cs="Arial" w:eastAsia="Arial" w:hAnsi="Arial"/>
                <w:sz w:val="20"/>
                <w:szCs w:val="20"/>
                <w:color w:val="auto"/>
              </w:rPr>
              <w:t>15,556,605</w:t>
            </w:r>
          </w:p>
        </w:tc>
      </w:tr>
      <w:tr>
        <w:trPr>
          <w:trHeight w:val="284"/>
        </w:trPr>
        <w:tc>
          <w:tcPr>
            <w:tcW w:w="6080" w:type="dxa"/>
            <w:vAlign w:val="bottom"/>
          </w:tcPr>
          <w:p>
            <w:pPr>
              <w:spacing w:after="0"/>
              <w:rPr>
                <w:sz w:val="20"/>
                <w:szCs w:val="20"/>
                <w:color w:val="auto"/>
              </w:rPr>
            </w:pPr>
            <w:r>
              <w:rPr>
                <w:rFonts w:ascii="Arial" w:cs="Arial" w:eastAsia="Arial" w:hAnsi="Arial"/>
                <w:sz w:val="20"/>
                <w:szCs w:val="20"/>
                <w:color w:val="auto"/>
              </w:rPr>
              <w:t>Dividend income</w:t>
            </w:r>
          </w:p>
        </w:tc>
        <w:tc>
          <w:tcPr>
            <w:tcW w:w="440" w:type="dxa"/>
            <w:vAlign w:val="bottom"/>
          </w:tcPr>
          <w:p>
            <w:pPr>
              <w:spacing w:after="0"/>
              <w:rPr>
                <w:sz w:val="24"/>
                <w:szCs w:val="24"/>
                <w:color w:val="auto"/>
              </w:rPr>
            </w:pPr>
          </w:p>
        </w:tc>
        <w:tc>
          <w:tcPr>
            <w:tcW w:w="1620" w:type="dxa"/>
            <w:vAlign w:val="bottom"/>
          </w:tcPr>
          <w:p>
            <w:pPr>
              <w:jc w:val="right"/>
              <w:ind w:right="61"/>
              <w:spacing w:after="0"/>
              <w:rPr>
                <w:sz w:val="20"/>
                <w:szCs w:val="20"/>
                <w:color w:val="auto"/>
              </w:rPr>
            </w:pPr>
            <w:r>
              <w:rPr>
                <w:rFonts w:ascii="Arial" w:cs="Arial" w:eastAsia="Arial" w:hAnsi="Arial"/>
                <w:sz w:val="20"/>
                <w:szCs w:val="20"/>
                <w:color w:val="auto"/>
              </w:rPr>
              <w:t>27,334,285</w:t>
            </w:r>
          </w:p>
        </w:tc>
      </w:tr>
      <w:tr>
        <w:trPr>
          <w:trHeight w:val="23"/>
        </w:trPr>
        <w:tc>
          <w:tcPr>
            <w:tcW w:w="608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77"/>
        </w:trPr>
        <w:tc>
          <w:tcPr>
            <w:tcW w:w="6080" w:type="dxa"/>
            <w:vAlign w:val="bottom"/>
          </w:tcPr>
          <w:p>
            <w:pPr>
              <w:ind w:left="160"/>
              <w:spacing w:after="0"/>
              <w:rPr>
                <w:sz w:val="20"/>
                <w:szCs w:val="20"/>
                <w:color w:val="auto"/>
              </w:rPr>
            </w:pPr>
            <w:r>
              <w:rPr>
                <w:rFonts w:ascii="Arial" w:cs="Arial" w:eastAsia="Arial" w:hAnsi="Arial"/>
                <w:sz w:val="20"/>
                <w:szCs w:val="20"/>
                <w:color w:val="auto"/>
              </w:rPr>
              <w:t>Net investment income</w:t>
            </w:r>
          </w:p>
        </w:tc>
        <w:tc>
          <w:tcPr>
            <w:tcW w:w="440" w:type="dxa"/>
            <w:vAlign w:val="bottom"/>
            <w:tcBorders>
              <w:bottom w:val="single" w:sz="8" w:color="auto"/>
            </w:tcBorders>
          </w:tcPr>
          <w:p>
            <w:pPr>
              <w:jc w:val="right"/>
              <w:ind w:right="221"/>
              <w:spacing w:after="0"/>
              <w:rPr>
                <w:sz w:val="20"/>
                <w:szCs w:val="20"/>
                <w:color w:val="auto"/>
              </w:rPr>
            </w:pPr>
            <w:r>
              <w:rPr>
                <w:rFonts w:ascii="Arial" w:cs="Arial" w:eastAsia="Arial" w:hAnsi="Arial"/>
                <w:sz w:val="20"/>
                <w:szCs w:val="20"/>
                <w:color w:val="auto"/>
                <w:w w:val="89"/>
              </w:rPr>
              <w:t>$</w:t>
            </w:r>
          </w:p>
        </w:tc>
        <w:tc>
          <w:tcPr>
            <w:tcW w:w="1620" w:type="dxa"/>
            <w:vAlign w:val="bottom"/>
            <w:tcBorders>
              <w:bottom w:val="single" w:sz="8" w:color="auto"/>
            </w:tcBorders>
          </w:tcPr>
          <w:p>
            <w:pPr>
              <w:jc w:val="right"/>
              <w:ind w:right="61"/>
              <w:spacing w:after="0"/>
              <w:rPr>
                <w:sz w:val="20"/>
                <w:szCs w:val="20"/>
                <w:color w:val="auto"/>
              </w:rPr>
            </w:pPr>
            <w:r>
              <w:rPr>
                <w:rFonts w:ascii="Arial" w:cs="Arial" w:eastAsia="Arial" w:hAnsi="Arial"/>
                <w:sz w:val="20"/>
                <w:szCs w:val="20"/>
                <w:color w:val="auto"/>
              </w:rPr>
              <w:t>1,319,457,620</w:t>
            </w:r>
          </w:p>
        </w:tc>
      </w:tr>
      <w:tr>
        <w:trPr>
          <w:trHeight w:val="21"/>
        </w:trPr>
        <w:tc>
          <w:tcPr>
            <w:tcW w:w="60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86"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The Master Trust holds synthetic GICs with third-party financial service institutions. The synthetic GICs are wrap contracts paired with an underlying investment portfolio of common/collective trust funds that invest in average-quality, short/intermediate-term, fixed-income securities. A synthetic GIC credits the holder’s account with a stated crediting rate for a specified period of time. Investment gains and losses are amortized over the expected duration through the calculation of the crediting rate applicable to the Plans on a prospective basis. Synthetic GICs provide for a variable crediting rate, which typically resets at least quarterly, and the issuers of the wrap contract provide a guarantee that future adjustments to the crediting rate cannot result in a crediting rate less than zero.</w:t>
      </w:r>
    </w:p>
    <w:p>
      <w:pPr>
        <w:spacing w:after="0" w:line="223" w:lineRule="exact"/>
        <w:rPr>
          <w:sz w:val="20"/>
          <w:szCs w:val="20"/>
          <w:color w:val="auto"/>
        </w:rPr>
      </w:pPr>
    </w:p>
    <w:p>
      <w:pPr>
        <w:jc w:val="both"/>
        <w:spacing w:after="0" w:line="302" w:lineRule="auto"/>
        <w:rPr>
          <w:sz w:val="20"/>
          <w:szCs w:val="20"/>
          <w:color w:val="auto"/>
        </w:rPr>
      </w:pPr>
      <w:r>
        <w:rPr>
          <w:rFonts w:ascii="Arial" w:cs="Arial" w:eastAsia="Arial" w:hAnsi="Arial"/>
          <w:sz w:val="19"/>
          <w:szCs w:val="19"/>
          <w:color w:val="auto"/>
        </w:rPr>
        <w:t>The crediting rate is primarily based on the current yield-to-maturity of the covered investments, plus or minus amortization of the difference between the market value and contract value of the covered investments over the expected duration at the time of computation. The crediting rate is impacted by the change in the annual effective yield-to-maturity of the underlying securities but is also affected by the differential between the contract value and the market value of the covered investments.</w:t>
      </w:r>
    </w:p>
    <w:p>
      <w:pPr>
        <w:spacing w:after="0" w:line="183" w:lineRule="exact"/>
        <w:rPr>
          <w:sz w:val="20"/>
          <w:szCs w:val="20"/>
          <w:color w:val="auto"/>
        </w:rPr>
      </w:pPr>
    </w:p>
    <w:p>
      <w:pPr>
        <w:jc w:val="both"/>
        <w:spacing w:after="0" w:line="288" w:lineRule="auto"/>
        <w:rPr>
          <w:sz w:val="20"/>
          <w:szCs w:val="20"/>
          <w:color w:val="auto"/>
        </w:rPr>
      </w:pPr>
      <w:r>
        <w:rPr>
          <w:rFonts w:ascii="Arial" w:cs="Arial" w:eastAsia="Arial" w:hAnsi="Arial"/>
          <w:sz w:val="19"/>
          <w:szCs w:val="19"/>
          <w:color w:val="auto"/>
        </w:rPr>
        <w:t>Generally, contract value withdrawals will be made pro rata, based on the percentage of investments covered by each issuer. The terms of the wrap contracts generally provide for full contract value withdrawal only upon termination of the contract or total liquidation of the covered investments. Contract termination occurs whenever the contract value or market value of the covered investments reaches zero or upon certain events of default. If the contract terminates due to issuer default (other than a default occurring because of a decline in its rating), the issuer will generally be required to pay to the Plans the excess, if any, of contract value over market value on the date of termination. If the contract terminates when the market value equals zero, the issuer will pay the excess of contract value over market value to the Plans to the extent necessary for the Plans to satisfy outstanding contract value withdrawal requests. Contract termination also may occur by either party upon election and notice. However, such election by a contract issuer typically allows for a gradual asset risk wind-down generally over the portfolio’s duration and would maintain contract value on the Plans.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190"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25"/>
          <w:szCs w:val="25"/>
          <w:color w:val="auto"/>
        </w:rPr>
        <w:t>The Lilly Employee 401(k) Plan and</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The Savings Plan for Lilly Affiliate Employees in Puerto Rico</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Notes to Financial Statements, cont.</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December 31, 2019 and 2018</w:t>
      </w:r>
    </w:p>
    <w:p>
      <w:pPr>
        <w:spacing w:after="0" w:line="200" w:lineRule="exact"/>
        <w:rPr>
          <w:sz w:val="20"/>
          <w:szCs w:val="20"/>
          <w:color w:val="auto"/>
        </w:rPr>
      </w:pPr>
    </w:p>
    <w:p>
      <w:pPr>
        <w:spacing w:after="0" w:line="318"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Certain events, including (1) certain amendments to the Plans' documents (including complete or partial plan termination or merger with another plan), (2) changes to the Plans’ prohibition on competing investment options or deletion of equity wash provisions, (3) bankruptcy of the Plans' sponsors or other Plans' sponsor events that cause a significant withdrawal from the Plans, and (4) the failure of the trust to qualify for exemption from federal income taxes or any required prohibited transaction exemption under ERISA, limit the ability of the Plans to transact contract value withdrawals from the wrap contracts. The plan administrator believes that the occurrence of any such event which would limit the Plans’ ability to transact contract value withdrawals is not probable of occurring.</w:t>
      </w:r>
    </w:p>
    <w:p>
      <w:pPr>
        <w:spacing w:after="0" w:line="237" w:lineRule="exact"/>
        <w:rPr>
          <w:sz w:val="20"/>
          <w:szCs w:val="20"/>
          <w:color w:val="auto"/>
        </w:rPr>
      </w:pPr>
    </w:p>
    <w:p>
      <w:pPr>
        <w:jc w:val="both"/>
        <w:spacing w:after="0" w:line="247" w:lineRule="auto"/>
        <w:rPr>
          <w:sz w:val="20"/>
          <w:szCs w:val="20"/>
          <w:color w:val="auto"/>
        </w:rPr>
      </w:pPr>
      <w:r>
        <w:rPr>
          <w:rFonts w:ascii="Arial" w:cs="Arial" w:eastAsia="Arial" w:hAnsi="Arial"/>
          <w:sz w:val="22"/>
          <w:szCs w:val="22"/>
          <w:color w:val="auto"/>
        </w:rPr>
        <w:t>The synthetic GICs generally impose conditions on both the Plans and the issuer. If an event of default, as defined, occurs and is not cured, and the Plans are unable to negotiate continuing coverage or obtain a replacement investment contract, the Plans may experience losses if the value of the Plans’ assets no longer covered by the contract is below contract value. The combination of the default of an issuer and an inability to obtain replacement coverage could render the Plans unable to achieve their objective of maintaining a stable contract value. The plan administrator does not believe the occurrence of any such event has occurred or is probable of occurring.</w:t>
      </w:r>
    </w:p>
    <w:p>
      <w:pPr>
        <w:spacing w:after="0" w:line="287"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The interests in the net assets of the Master Trust of the 401(k) Plan and the Puerto Rico Plan are presented in the accompanying financial statements.</w:t>
      </w: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4 - Fair Value Measurements</w:t>
      </w:r>
    </w:p>
    <w:p>
      <w:pPr>
        <w:spacing w:after="0" w:line="253" w:lineRule="exact"/>
        <w:rPr>
          <w:sz w:val="20"/>
          <w:szCs w:val="20"/>
          <w:color w:val="auto"/>
        </w:rPr>
      </w:pPr>
    </w:p>
    <w:p>
      <w:pPr>
        <w:jc w:val="both"/>
        <w:spacing w:after="0" w:line="261" w:lineRule="auto"/>
        <w:rPr>
          <w:sz w:val="20"/>
          <w:szCs w:val="20"/>
          <w:color w:val="auto"/>
        </w:rPr>
      </w:pPr>
      <w:r>
        <w:rPr>
          <w:rFonts w:ascii="Arial" w:cs="Arial" w:eastAsia="Arial" w:hAnsi="Arial"/>
          <w:sz w:val="21"/>
          <w:szCs w:val="21"/>
          <w:color w:val="auto"/>
        </w:rPr>
        <w:t>ASC 820 defines fair value, establishes a framework for measuring fair value, and expands disclosures about fair value measurements. Fair value is defined as the price that would be received to sell an asset or paid to transfer a liability in an orderly transaction between market participants at the measurement date (i.e., an exit price). ASC 820 includes a fair value hierarchy that prioritizes the inputs to valuation techniques used to measure fair value. The hierarchy gives the highest priority to unadjusted quoted prices in active markets for identical assets and liabilities (Level 1) and the lowest priority to unobservable inputs (Level 3). The three levels of the fair value hierarchy under ASC 820 are described below:</w:t>
      </w:r>
    </w:p>
    <w:p>
      <w:pPr>
        <w:spacing w:after="0" w:line="206" w:lineRule="exact"/>
        <w:rPr>
          <w:sz w:val="20"/>
          <w:szCs w:val="20"/>
          <w:color w:val="auto"/>
        </w:rPr>
      </w:pPr>
    </w:p>
    <w:p>
      <w:pPr>
        <w:ind w:left="340"/>
        <w:spacing w:after="0"/>
        <w:rPr>
          <w:sz w:val="20"/>
          <w:szCs w:val="20"/>
          <w:color w:val="auto"/>
        </w:rPr>
      </w:pPr>
      <w:r>
        <w:rPr>
          <w:rFonts w:ascii="Arial" w:cs="Arial" w:eastAsia="Arial" w:hAnsi="Arial"/>
          <w:sz w:val="19"/>
          <w:szCs w:val="19"/>
          <w:color w:val="auto"/>
        </w:rPr>
        <w:t>Level 1 - Inputs to the valuation methodology are unadjusted quoted prices for identical assets or liabilities in active markets.</w:t>
      </w:r>
    </w:p>
    <w:p>
      <w:pPr>
        <w:spacing w:after="0" w:line="295" w:lineRule="exact"/>
        <w:rPr>
          <w:sz w:val="20"/>
          <w:szCs w:val="20"/>
          <w:color w:val="auto"/>
        </w:rPr>
      </w:pPr>
    </w:p>
    <w:p>
      <w:pPr>
        <w:ind w:left="340"/>
        <w:spacing w:after="0"/>
        <w:rPr>
          <w:sz w:val="20"/>
          <w:szCs w:val="20"/>
          <w:color w:val="auto"/>
        </w:rPr>
      </w:pPr>
      <w:r>
        <w:rPr>
          <w:rFonts w:ascii="Arial" w:cs="Arial" w:eastAsia="Arial" w:hAnsi="Arial"/>
          <w:sz w:val="22"/>
          <w:szCs w:val="22"/>
          <w:color w:val="auto"/>
        </w:rPr>
        <w:t>Level 2 - Inputs to the valuation methodology include:</w:t>
      </w:r>
    </w:p>
    <w:p>
      <w:pPr>
        <w:spacing w:after="0" w:line="260"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22"/>
          <w:szCs w:val="22"/>
          <w:color w:val="auto"/>
        </w:rPr>
        <w:t>Quoted prices for similar assets and liabilities in active markets</w:t>
      </w:r>
    </w:p>
    <w:p>
      <w:pPr>
        <w:spacing w:after="0" w:line="246"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22"/>
          <w:szCs w:val="22"/>
          <w:color w:val="auto"/>
        </w:rPr>
      </w:pPr>
      <w:r>
        <w:rPr>
          <w:rFonts w:ascii="Arial" w:cs="Arial" w:eastAsia="Arial" w:hAnsi="Arial"/>
          <w:sz w:val="22"/>
          <w:szCs w:val="22"/>
          <w:color w:val="auto"/>
        </w:rPr>
        <w:t>Quoted prices for identical or similar assets or liabilities in markets that are not active</w:t>
      </w:r>
    </w:p>
    <w:p>
      <w:pPr>
        <w:spacing w:after="0" w:line="260" w:lineRule="exact"/>
        <w:rPr>
          <w:rFonts w:ascii="Arial" w:cs="Arial" w:eastAsia="Arial" w:hAnsi="Arial"/>
          <w:sz w:val="22"/>
          <w:szCs w:val="22"/>
          <w:color w:val="auto"/>
        </w:rPr>
      </w:pPr>
    </w:p>
    <w:p>
      <w:pPr>
        <w:ind w:left="660" w:hanging="328"/>
        <w:spacing w:after="0" w:line="263" w:lineRule="auto"/>
        <w:tabs>
          <w:tab w:leader="none" w:pos="655" w:val="left"/>
        </w:tabs>
        <w:numPr>
          <w:ilvl w:val="0"/>
          <w:numId w:val="7"/>
        </w:numPr>
        <w:rPr>
          <w:rFonts w:ascii="Arial" w:cs="Arial" w:eastAsia="Arial" w:hAnsi="Arial"/>
          <w:sz w:val="22"/>
          <w:szCs w:val="22"/>
          <w:color w:val="auto"/>
        </w:rPr>
      </w:pPr>
      <w:r>
        <w:rPr>
          <w:rFonts w:ascii="Arial" w:cs="Arial" w:eastAsia="Arial" w:hAnsi="Arial"/>
          <w:sz w:val="22"/>
          <w:szCs w:val="22"/>
          <w:color w:val="auto"/>
        </w:rPr>
        <w:t>Inputs other than quoted prices that are for the assets or liabilities (e.g., interest rate and yield curve quotes at commonly quoted intervals)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190"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25"/>
          <w:szCs w:val="25"/>
          <w:color w:val="auto"/>
        </w:rPr>
        <w:t>The Lilly Employee 401(k) Plan and</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The Savings Plan for Lilly Affiliate Employees in Puerto Rico</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Notes to Financial Statements, cont.</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December 31, 2019 and 2018</w:t>
      </w:r>
    </w:p>
    <w:p>
      <w:pPr>
        <w:spacing w:after="0" w:line="200" w:lineRule="exact"/>
        <w:rPr>
          <w:sz w:val="20"/>
          <w:szCs w:val="20"/>
          <w:color w:val="auto"/>
        </w:rPr>
      </w:pPr>
    </w:p>
    <w:p>
      <w:pPr>
        <w:spacing w:after="0" w:line="318" w:lineRule="exact"/>
        <w:rPr>
          <w:sz w:val="20"/>
          <w:szCs w:val="20"/>
          <w:color w:val="auto"/>
        </w:rPr>
      </w:pPr>
    </w:p>
    <w:p>
      <w:pPr>
        <w:ind w:left="660" w:hanging="328"/>
        <w:spacing w:after="0"/>
        <w:tabs>
          <w:tab w:leader="none" w:pos="660" w:val="left"/>
        </w:tabs>
        <w:numPr>
          <w:ilvl w:val="0"/>
          <w:numId w:val="8"/>
        </w:numPr>
        <w:rPr>
          <w:rFonts w:ascii="Arial" w:cs="Arial" w:eastAsia="Arial" w:hAnsi="Arial"/>
          <w:sz w:val="21"/>
          <w:szCs w:val="21"/>
          <w:color w:val="auto"/>
        </w:rPr>
      </w:pPr>
      <w:r>
        <w:rPr>
          <w:rFonts w:ascii="Arial" w:cs="Arial" w:eastAsia="Arial" w:hAnsi="Arial"/>
          <w:sz w:val="21"/>
          <w:szCs w:val="21"/>
          <w:color w:val="auto"/>
        </w:rPr>
        <w:t>Inputs that are derived principally from or corroborated by observable market data by correlation or other means</w:t>
      </w:r>
    </w:p>
    <w:p>
      <w:pPr>
        <w:spacing w:after="0" w:line="272" w:lineRule="exact"/>
        <w:rPr>
          <w:sz w:val="20"/>
          <w:szCs w:val="20"/>
          <w:color w:val="auto"/>
        </w:rPr>
      </w:pPr>
    </w:p>
    <w:p>
      <w:pPr>
        <w:ind w:left="340"/>
        <w:spacing w:after="0" w:line="263" w:lineRule="auto"/>
        <w:rPr>
          <w:sz w:val="20"/>
          <w:szCs w:val="20"/>
          <w:color w:val="auto"/>
        </w:rPr>
      </w:pPr>
      <w:r>
        <w:rPr>
          <w:rFonts w:ascii="Arial" w:cs="Arial" w:eastAsia="Arial" w:hAnsi="Arial"/>
          <w:sz w:val="22"/>
          <w:szCs w:val="22"/>
          <w:color w:val="auto"/>
        </w:rPr>
        <w:t>If the asset or liability has a specified (contractual) term, the Level 2 input must be observable for substantially the full term of the asset or liability.</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22"/>
          <w:szCs w:val="22"/>
          <w:color w:val="auto"/>
        </w:rPr>
        <w:t>Level 3 - Inputs to the valuation methodology are unobservable and significant to the fair value measurement.</w:t>
      </w:r>
    </w:p>
    <w:p>
      <w:pPr>
        <w:spacing w:after="0" w:line="260"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The level in the fair value hierarchy within which the fair value measurement is classified is determined based upon the lowest level of input that is significant to the fair value measurement in its entirety.</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The following is a description of the valuation techniques and inputs used for assets measured at fair value:</w:t>
      </w:r>
    </w:p>
    <w:p>
      <w:pPr>
        <w:spacing w:after="0" w:line="247" w:lineRule="exact"/>
        <w:rPr>
          <w:sz w:val="20"/>
          <w:szCs w:val="20"/>
          <w:color w:val="auto"/>
        </w:rPr>
      </w:pPr>
    </w:p>
    <w:p>
      <w:pPr>
        <w:ind w:left="660" w:hanging="328"/>
        <w:spacing w:after="0" w:line="343" w:lineRule="auto"/>
        <w:tabs>
          <w:tab w:leader="none" w:pos="655" w:val="left"/>
        </w:tabs>
        <w:numPr>
          <w:ilvl w:val="0"/>
          <w:numId w:val="9"/>
        </w:numPr>
        <w:rPr>
          <w:rFonts w:ascii="Arial" w:cs="Arial" w:eastAsia="Arial" w:hAnsi="Arial"/>
          <w:sz w:val="16"/>
          <w:szCs w:val="16"/>
          <w:color w:val="auto"/>
        </w:rPr>
      </w:pPr>
      <w:r>
        <w:rPr>
          <w:rFonts w:ascii="Arial" w:cs="Arial" w:eastAsia="Arial" w:hAnsi="Arial"/>
          <w:sz w:val="19"/>
          <w:szCs w:val="19"/>
          <w:color w:val="auto"/>
        </w:rPr>
        <w:t>Registered investment companies (mutual funds) - Valued at the net asset value (NAV) of shares held by the Master Trust at year end, as quoted in the active market, and are classified within Level 1 of the valuation hierarchy.</w:t>
      </w:r>
    </w:p>
    <w:p>
      <w:pPr>
        <w:spacing w:after="0" w:line="144" w:lineRule="exact"/>
        <w:rPr>
          <w:rFonts w:ascii="Arial" w:cs="Arial" w:eastAsia="Arial" w:hAnsi="Arial"/>
          <w:sz w:val="16"/>
          <w:szCs w:val="16"/>
          <w:color w:val="auto"/>
        </w:rPr>
      </w:pPr>
    </w:p>
    <w:p>
      <w:pPr>
        <w:jc w:val="both"/>
        <w:ind w:left="660" w:hanging="328"/>
        <w:spacing w:after="0" w:line="253" w:lineRule="auto"/>
        <w:tabs>
          <w:tab w:leader="none" w:pos="655" w:val="left"/>
        </w:tabs>
        <w:numPr>
          <w:ilvl w:val="0"/>
          <w:numId w:val="9"/>
        </w:numPr>
        <w:rPr>
          <w:rFonts w:ascii="Arial" w:cs="Arial" w:eastAsia="Arial" w:hAnsi="Arial"/>
          <w:sz w:val="22"/>
          <w:szCs w:val="22"/>
          <w:color w:val="auto"/>
        </w:rPr>
      </w:pPr>
      <w:r>
        <w:rPr>
          <w:rFonts w:ascii="Arial" w:cs="Arial" w:eastAsia="Arial" w:hAnsi="Arial"/>
          <w:sz w:val="22"/>
          <w:szCs w:val="22"/>
          <w:color w:val="auto"/>
        </w:rPr>
        <w:t>Self-directed brokerage accounts (represents mutual funds and exchange-traded funds) - Valued at the NAV of shares held by the Master Trust at year end, as quoted in the active market, and are classified within Level 1 of the valuation hierarchy.</w:t>
      </w:r>
    </w:p>
    <w:p>
      <w:pPr>
        <w:spacing w:after="0" w:line="225" w:lineRule="exact"/>
        <w:rPr>
          <w:rFonts w:ascii="Arial" w:cs="Arial" w:eastAsia="Arial" w:hAnsi="Arial"/>
          <w:sz w:val="22"/>
          <w:szCs w:val="22"/>
          <w:color w:val="auto"/>
        </w:rPr>
      </w:pPr>
    </w:p>
    <w:p>
      <w:pPr>
        <w:ind w:left="660" w:hanging="328"/>
        <w:spacing w:after="0" w:line="263" w:lineRule="auto"/>
        <w:tabs>
          <w:tab w:leader="none" w:pos="655" w:val="left"/>
        </w:tabs>
        <w:numPr>
          <w:ilvl w:val="0"/>
          <w:numId w:val="9"/>
        </w:numPr>
        <w:rPr>
          <w:rFonts w:ascii="Arial" w:cs="Arial" w:eastAsia="Arial" w:hAnsi="Arial"/>
          <w:sz w:val="22"/>
          <w:szCs w:val="22"/>
          <w:color w:val="auto"/>
        </w:rPr>
      </w:pPr>
      <w:r>
        <w:rPr>
          <w:rFonts w:ascii="Arial" w:cs="Arial" w:eastAsia="Arial" w:hAnsi="Arial"/>
          <w:sz w:val="22"/>
          <w:szCs w:val="22"/>
          <w:color w:val="auto"/>
        </w:rPr>
        <w:t>Eli Lilly and Company common stock and other common stock - Valued at the closing price reported on the New York Stock Exchange and is classified within Level 1 of the valuation hierarchy.</w:t>
      </w:r>
    </w:p>
    <w:p>
      <w:pPr>
        <w:spacing w:after="0" w:line="201" w:lineRule="exact"/>
        <w:rPr>
          <w:rFonts w:ascii="Arial" w:cs="Arial" w:eastAsia="Arial" w:hAnsi="Arial"/>
          <w:sz w:val="22"/>
          <w:szCs w:val="22"/>
          <w:color w:val="auto"/>
        </w:rPr>
      </w:pPr>
    </w:p>
    <w:p>
      <w:pPr>
        <w:jc w:val="both"/>
        <w:ind w:left="660" w:hanging="328"/>
        <w:spacing w:after="0" w:line="250" w:lineRule="auto"/>
        <w:tabs>
          <w:tab w:leader="none" w:pos="655" w:val="left"/>
        </w:tabs>
        <w:numPr>
          <w:ilvl w:val="0"/>
          <w:numId w:val="9"/>
        </w:numPr>
        <w:rPr>
          <w:rFonts w:ascii="Arial" w:cs="Arial" w:eastAsia="Arial" w:hAnsi="Arial"/>
          <w:sz w:val="22"/>
          <w:szCs w:val="22"/>
          <w:color w:val="auto"/>
        </w:rPr>
      </w:pPr>
      <w:r>
        <w:rPr>
          <w:rFonts w:ascii="Arial" w:cs="Arial" w:eastAsia="Arial" w:hAnsi="Arial"/>
          <w:sz w:val="22"/>
          <w:szCs w:val="22"/>
          <w:color w:val="auto"/>
        </w:rPr>
        <w:t>Interest in common/collective trusts - Represents interests in pooled investment vehicles designed primarily for collective investment of employee benefit trusts. The fair value of the investments in this category has been estimated using the NAV per unit as a practical expedient provided by the fund managers. Redemption restrictions range from 1 to 30 days, and there were no unfunded commitments in this investment category.</w:t>
      </w:r>
    </w:p>
    <w:p>
      <w:pPr>
        <w:spacing w:after="0" w:line="228" w:lineRule="exact"/>
        <w:rPr>
          <w:sz w:val="20"/>
          <w:szCs w:val="20"/>
          <w:color w:val="auto"/>
        </w:rPr>
      </w:pPr>
    </w:p>
    <w:p>
      <w:pPr>
        <w:jc w:val="both"/>
        <w:spacing w:after="0" w:line="263" w:lineRule="auto"/>
        <w:rPr>
          <w:sz w:val="20"/>
          <w:szCs w:val="20"/>
          <w:color w:val="auto"/>
        </w:rPr>
      </w:pPr>
      <w:r>
        <w:rPr>
          <w:rFonts w:ascii="Arial" w:cs="Arial" w:eastAsia="Arial" w:hAnsi="Arial"/>
          <w:sz w:val="21"/>
          <w:szCs w:val="21"/>
          <w:color w:val="auto"/>
        </w:rPr>
        <w:t>The valuation methodologies described above may produce a fair value calculation that may not be indicative of net realizable value or reflective of future fair values. Furthermore, while the Plans believe their valuation methods are appropriate and consistent with those of other market participants, the use of different methodologies or assumptions to determine the fair value of certain financial instruments could result in a different fair value measurement at the reporting date. There have been no changes in the methodologies used at December 31, 2019 and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190" w:right="339" w:bottom="1440" w:gutter="0" w:footer="0" w:header="0"/>
        </w:sectPr>
      </w:pPr>
    </w:p>
    <w:bookmarkStart w:id="13" w:name="page14"/>
    <w:bookmarkEnd w:id="13"/>
    <w:p>
      <w:pPr>
        <w:jc w:val="center"/>
        <w:ind w:right="-19"/>
        <w:spacing w:after="0"/>
        <w:rPr>
          <w:sz w:val="20"/>
          <w:szCs w:val="20"/>
          <w:color w:val="auto"/>
        </w:rPr>
      </w:pPr>
      <w:r>
        <w:rPr>
          <w:rFonts w:ascii="Arial" w:cs="Arial" w:eastAsia="Arial" w:hAnsi="Arial"/>
          <w:sz w:val="25"/>
          <w:szCs w:val="25"/>
          <w:color w:val="auto"/>
        </w:rPr>
        <w:t>The Lilly Employee 401(k) Plan and</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25"/>
          <w:szCs w:val="25"/>
          <w:color w:val="auto"/>
        </w:rPr>
        <w:t>The Savings Plan for Lilly Affiliate Employees in Puerto Rico</w:t>
      </w: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25"/>
          <w:szCs w:val="25"/>
          <w:color w:val="auto"/>
        </w:rPr>
        <w:t>Notes to Financial Statements, cont.</w:t>
      </w: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25"/>
          <w:szCs w:val="25"/>
          <w:color w:val="auto"/>
        </w:rPr>
        <w:t>December 31, 2019 and 2018</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21"/>
          <w:szCs w:val="21"/>
          <w:color w:val="auto"/>
        </w:rPr>
        <w:t>The following table sets forth the net assets of the Master Trust and the Master Trust's assets carried at fair value as of</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color w:val="auto"/>
        </w:rPr>
        <w:t>December 31, 2019, by level, within the fair value hierarchy:</w:t>
      </w:r>
    </w:p>
    <w:p>
      <w:pPr>
        <w:spacing w:after="0" w:line="281" w:lineRule="exact"/>
        <w:rPr>
          <w:sz w:val="20"/>
          <w:szCs w:val="20"/>
          <w:color w:val="auto"/>
        </w:rPr>
      </w:pPr>
    </w:p>
    <w:tbl>
      <w:tblPr>
        <w:tblLayout w:type="fixed"/>
        <w:tblInd w:w="820" w:type="dxa"/>
        <w:tblCellMar>
          <w:top w:w="0" w:type="dxa"/>
          <w:left w:w="0" w:type="dxa"/>
          <w:bottom w:w="0" w:type="dxa"/>
          <w:right w:w="0" w:type="dxa"/>
        </w:tblCellMar>
      </w:tblPr>
      <w:tr>
        <w:trPr>
          <w:trHeight w:val="186"/>
        </w:trPr>
        <w:tc>
          <w:tcPr>
            <w:tcW w:w="3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jc w:val="right"/>
              <w:ind w:right="208"/>
              <w:spacing w:after="0"/>
              <w:rPr>
                <w:sz w:val="20"/>
                <w:szCs w:val="20"/>
                <w:color w:val="auto"/>
              </w:rPr>
            </w:pPr>
            <w:r>
              <w:rPr>
                <w:rFonts w:ascii="Arial" w:cs="Arial" w:eastAsia="Arial" w:hAnsi="Arial"/>
                <w:sz w:val="14"/>
                <w:szCs w:val="14"/>
                <w:b w:val="1"/>
                <w:bCs w:val="1"/>
                <w:color w:val="auto"/>
              </w:rPr>
              <w:t>Master Trust</w:t>
            </w: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3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388"/>
              <w:spacing w:after="0"/>
              <w:rPr>
                <w:sz w:val="20"/>
                <w:szCs w:val="20"/>
                <w:color w:val="auto"/>
              </w:rPr>
            </w:pPr>
            <w:r>
              <w:rPr>
                <w:rFonts w:ascii="Arial" w:cs="Arial" w:eastAsia="Arial" w:hAnsi="Arial"/>
                <w:sz w:val="14"/>
                <w:szCs w:val="14"/>
                <w:b w:val="1"/>
                <w:bCs w:val="1"/>
                <w:color w:val="auto"/>
              </w:rPr>
              <w:t>Balance</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0" w:type="dxa"/>
            <w:vAlign w:val="bottom"/>
            <w:gridSpan w:val="2"/>
          </w:tcPr>
          <w:p>
            <w:pPr>
              <w:ind w:left="260"/>
              <w:spacing w:after="0"/>
              <w:rPr>
                <w:sz w:val="20"/>
                <w:szCs w:val="20"/>
                <w:color w:val="auto"/>
              </w:rPr>
            </w:pPr>
            <w:r>
              <w:rPr>
                <w:rFonts w:ascii="Arial" w:cs="Arial" w:eastAsia="Arial" w:hAnsi="Arial"/>
                <w:sz w:val="14"/>
                <w:szCs w:val="14"/>
                <w:b w:val="1"/>
                <w:bCs w:val="1"/>
                <w:color w:val="auto"/>
              </w:rPr>
              <w:t>Level 1</w:t>
            </w:r>
          </w:p>
        </w:tc>
        <w:tc>
          <w:tcPr>
            <w:tcW w:w="280" w:type="dxa"/>
            <w:vAlign w:val="bottom"/>
          </w:tcPr>
          <w:p>
            <w:pPr>
              <w:spacing w:after="0"/>
              <w:rPr>
                <w:sz w:val="18"/>
                <w:szCs w:val="18"/>
                <w:color w:val="auto"/>
              </w:rPr>
            </w:pPr>
          </w:p>
        </w:tc>
        <w:tc>
          <w:tcPr>
            <w:tcW w:w="1360" w:type="dxa"/>
            <w:vAlign w:val="bottom"/>
            <w:gridSpan w:val="2"/>
          </w:tcPr>
          <w:p>
            <w:pPr>
              <w:ind w:left="180"/>
              <w:spacing w:after="0"/>
              <w:rPr>
                <w:sz w:val="20"/>
                <w:szCs w:val="20"/>
                <w:color w:val="auto"/>
              </w:rPr>
            </w:pPr>
            <w:r>
              <w:rPr>
                <w:rFonts w:ascii="Arial" w:cs="Arial" w:eastAsia="Arial" w:hAnsi="Arial"/>
                <w:sz w:val="14"/>
                <w:szCs w:val="14"/>
                <w:b w:val="1"/>
                <w:bCs w:val="1"/>
                <w:color w:val="auto"/>
              </w:rPr>
              <w:t>Level 2</w:t>
            </w:r>
          </w:p>
        </w:tc>
        <w:tc>
          <w:tcPr>
            <w:tcW w:w="280" w:type="dxa"/>
            <w:vAlign w:val="bottom"/>
          </w:tcPr>
          <w:p>
            <w:pPr>
              <w:spacing w:after="0"/>
              <w:rPr>
                <w:sz w:val="18"/>
                <w:szCs w:val="18"/>
                <w:color w:val="auto"/>
              </w:rPr>
            </w:pPr>
          </w:p>
        </w:tc>
        <w:tc>
          <w:tcPr>
            <w:tcW w:w="1120" w:type="dxa"/>
            <w:vAlign w:val="bottom"/>
          </w:tcPr>
          <w:p>
            <w:pPr>
              <w:ind w:left="18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77"/>
        </w:trPr>
        <w:tc>
          <w:tcPr>
            <w:tcW w:w="3220" w:type="dxa"/>
            <w:vAlign w:val="bottom"/>
          </w:tcPr>
          <w:p>
            <w:pPr>
              <w:spacing w:after="0"/>
              <w:rPr>
                <w:sz w:val="20"/>
                <w:szCs w:val="20"/>
                <w:color w:val="auto"/>
              </w:rPr>
            </w:pPr>
            <w:r>
              <w:rPr>
                <w:rFonts w:ascii="Arial" w:cs="Arial" w:eastAsia="Arial" w:hAnsi="Arial"/>
                <w:sz w:val="14"/>
                <w:szCs w:val="14"/>
                <w:color w:val="auto"/>
              </w:rPr>
              <w:t>Investments at fair value:</w:t>
            </w:r>
          </w:p>
        </w:tc>
        <w:tc>
          <w:tcPr>
            <w:tcW w:w="16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220" w:type="dxa"/>
            <w:vAlign w:val="bottom"/>
          </w:tcPr>
          <w:p>
            <w:pPr>
              <w:ind w:left="100"/>
              <w:spacing w:after="0"/>
              <w:rPr>
                <w:sz w:val="20"/>
                <w:szCs w:val="20"/>
                <w:color w:val="auto"/>
              </w:rPr>
            </w:pPr>
            <w:r>
              <w:rPr>
                <w:rFonts w:ascii="Arial" w:cs="Arial" w:eastAsia="Arial" w:hAnsi="Arial"/>
                <w:sz w:val="14"/>
                <w:szCs w:val="14"/>
                <w:color w:val="auto"/>
              </w:rPr>
              <w:t>Registered investment companies</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310,612,283</w:t>
            </w:r>
          </w:p>
        </w:tc>
        <w:tc>
          <w:tcPr>
            <w:tcW w:w="6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68"/>
              <w:spacing w:after="0"/>
              <w:rPr>
                <w:sz w:val="20"/>
                <w:szCs w:val="20"/>
                <w:color w:val="auto"/>
              </w:rPr>
            </w:pPr>
            <w:r>
              <w:rPr>
                <w:rFonts w:ascii="Arial" w:cs="Arial" w:eastAsia="Arial" w:hAnsi="Arial"/>
                <w:sz w:val="14"/>
                <w:szCs w:val="14"/>
                <w:color w:val="auto"/>
              </w:rPr>
              <w:t>310,612,283</w:t>
            </w:r>
          </w:p>
        </w:tc>
        <w:tc>
          <w:tcPr>
            <w:tcW w:w="260" w:type="dxa"/>
            <w:vAlign w:val="bottom"/>
          </w:tcPr>
          <w:p>
            <w:pPr>
              <w:spacing w:after="0"/>
              <w:rPr>
                <w:sz w:val="17"/>
                <w:szCs w:val="17"/>
                <w:color w:val="auto"/>
              </w:rPr>
            </w:pP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1360" w:type="dxa"/>
            <w:vAlign w:val="bottom"/>
            <w:gridSpan w:val="2"/>
          </w:tcPr>
          <w:p>
            <w:pPr>
              <w:ind w:left="800"/>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1120" w:type="dxa"/>
            <w:vAlign w:val="bottom"/>
          </w:tcPr>
          <w:p>
            <w:pPr>
              <w:ind w:left="8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3220" w:type="dxa"/>
            <w:vAlign w:val="bottom"/>
          </w:tcPr>
          <w:p>
            <w:pPr>
              <w:ind w:left="100"/>
              <w:spacing w:after="0"/>
              <w:rPr>
                <w:sz w:val="20"/>
                <w:szCs w:val="20"/>
                <w:color w:val="auto"/>
              </w:rPr>
            </w:pPr>
            <w:r>
              <w:rPr>
                <w:rFonts w:ascii="Arial" w:cs="Arial" w:eastAsia="Arial" w:hAnsi="Arial"/>
                <w:sz w:val="14"/>
                <w:szCs w:val="14"/>
                <w:color w:val="auto"/>
              </w:rPr>
              <w:t>Self-directed brokerage accounts</w:t>
            </w:r>
          </w:p>
        </w:tc>
        <w:tc>
          <w:tcPr>
            <w:tcW w:w="160" w:type="dxa"/>
            <w:vAlign w:val="bottom"/>
          </w:tcPr>
          <w:p>
            <w:pPr>
              <w:spacing w:after="0"/>
              <w:rPr>
                <w:sz w:val="17"/>
                <w:szCs w:val="17"/>
                <w:color w:val="auto"/>
              </w:rPr>
            </w:pP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226,385,301</w:t>
            </w: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40" w:type="dxa"/>
            <w:vAlign w:val="bottom"/>
          </w:tcPr>
          <w:p>
            <w:pPr>
              <w:jc w:val="right"/>
              <w:ind w:right="68"/>
              <w:spacing w:after="0"/>
              <w:rPr>
                <w:sz w:val="20"/>
                <w:szCs w:val="20"/>
                <w:color w:val="auto"/>
              </w:rPr>
            </w:pPr>
            <w:r>
              <w:rPr>
                <w:rFonts w:ascii="Arial" w:cs="Arial" w:eastAsia="Arial" w:hAnsi="Arial"/>
                <w:sz w:val="14"/>
                <w:szCs w:val="14"/>
                <w:color w:val="auto"/>
              </w:rPr>
              <w:t>226,385,301</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gridSpan w:val="2"/>
          </w:tcPr>
          <w:p>
            <w:pPr>
              <w:ind w:left="80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1120" w:type="dxa"/>
            <w:vAlign w:val="bottom"/>
          </w:tcPr>
          <w:p>
            <w:pPr>
              <w:ind w:left="8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3220" w:type="dxa"/>
            <w:vAlign w:val="bottom"/>
          </w:tcPr>
          <w:p>
            <w:pPr>
              <w:ind w:left="100"/>
              <w:spacing w:after="0"/>
              <w:rPr>
                <w:sz w:val="20"/>
                <w:szCs w:val="20"/>
                <w:color w:val="auto"/>
              </w:rPr>
            </w:pPr>
            <w:r>
              <w:rPr>
                <w:rFonts w:ascii="Arial" w:cs="Arial" w:eastAsia="Arial" w:hAnsi="Arial"/>
                <w:sz w:val="14"/>
                <w:szCs w:val="14"/>
                <w:color w:val="auto"/>
              </w:rPr>
              <w:t>Eli Lilly and Company common stock</w:t>
            </w:r>
          </w:p>
        </w:tc>
        <w:tc>
          <w:tcPr>
            <w:tcW w:w="160" w:type="dxa"/>
            <w:vAlign w:val="bottom"/>
          </w:tcPr>
          <w:p>
            <w:pPr>
              <w:spacing w:after="0"/>
              <w:rPr>
                <w:sz w:val="17"/>
                <w:szCs w:val="17"/>
                <w:color w:val="auto"/>
              </w:rPr>
            </w:pP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812,376,607</w:t>
            </w: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40" w:type="dxa"/>
            <w:vAlign w:val="bottom"/>
          </w:tcPr>
          <w:p>
            <w:pPr>
              <w:jc w:val="right"/>
              <w:ind w:right="68"/>
              <w:spacing w:after="0"/>
              <w:rPr>
                <w:sz w:val="20"/>
                <w:szCs w:val="20"/>
                <w:color w:val="auto"/>
              </w:rPr>
            </w:pPr>
            <w:r>
              <w:rPr>
                <w:rFonts w:ascii="Arial" w:cs="Arial" w:eastAsia="Arial" w:hAnsi="Arial"/>
                <w:sz w:val="14"/>
                <w:szCs w:val="14"/>
                <w:color w:val="auto"/>
              </w:rPr>
              <w:t>812,376,607</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gridSpan w:val="2"/>
          </w:tcPr>
          <w:p>
            <w:pPr>
              <w:ind w:left="80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1120" w:type="dxa"/>
            <w:vAlign w:val="bottom"/>
          </w:tcPr>
          <w:p>
            <w:pPr>
              <w:ind w:left="8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8"/>
        </w:trPr>
        <w:tc>
          <w:tcPr>
            <w:tcW w:w="3220" w:type="dxa"/>
            <w:vAlign w:val="bottom"/>
          </w:tcPr>
          <w:p>
            <w:pPr>
              <w:ind w:left="100"/>
              <w:spacing w:after="0"/>
              <w:rPr>
                <w:sz w:val="20"/>
                <w:szCs w:val="20"/>
                <w:color w:val="auto"/>
              </w:rPr>
            </w:pPr>
            <w:r>
              <w:rPr>
                <w:rFonts w:ascii="Arial" w:cs="Arial" w:eastAsia="Arial" w:hAnsi="Arial"/>
                <w:sz w:val="14"/>
                <w:szCs w:val="14"/>
                <w:color w:val="auto"/>
              </w:rPr>
              <w:t>Other common stock</w:t>
            </w: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83,605,604</w:t>
            </w:r>
          </w:p>
        </w:tc>
        <w:tc>
          <w:tcPr>
            <w:tcW w:w="2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83,605,604</w:t>
            </w:r>
          </w:p>
        </w:tc>
        <w:tc>
          <w:tcPr>
            <w:tcW w:w="2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ind w:left="80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ind w:left="8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2"/>
        </w:trPr>
        <w:tc>
          <w:tcPr>
            <w:tcW w:w="3220" w:type="dxa"/>
            <w:vAlign w:val="bottom"/>
          </w:tcPr>
          <w:p>
            <w:pPr>
              <w:ind w:left="280"/>
              <w:spacing w:after="0"/>
              <w:rPr>
                <w:sz w:val="20"/>
                <w:szCs w:val="20"/>
                <w:color w:val="auto"/>
              </w:rPr>
            </w:pPr>
            <w:r>
              <w:rPr>
                <w:rFonts w:ascii="Arial" w:cs="Arial" w:eastAsia="Arial" w:hAnsi="Arial"/>
                <w:sz w:val="14"/>
                <w:szCs w:val="14"/>
                <w:color w:val="auto"/>
              </w:rPr>
              <w:t>Total</w:t>
            </w:r>
          </w:p>
        </w:tc>
        <w:tc>
          <w:tcPr>
            <w:tcW w:w="160" w:type="dxa"/>
            <w:vAlign w:val="bottom"/>
          </w:tcPr>
          <w:p>
            <w:pPr>
              <w:spacing w:after="0"/>
              <w:rPr>
                <w:sz w:val="17"/>
                <w:szCs w:val="17"/>
                <w:color w:val="auto"/>
              </w:rPr>
            </w:pP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1,432,979,795</w:t>
            </w:r>
          </w:p>
        </w:tc>
        <w:tc>
          <w:tcPr>
            <w:tcW w:w="6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68"/>
              <w:spacing w:after="0"/>
              <w:rPr>
                <w:sz w:val="20"/>
                <w:szCs w:val="20"/>
                <w:color w:val="auto"/>
              </w:rPr>
            </w:pPr>
            <w:r>
              <w:rPr>
                <w:rFonts w:ascii="Arial" w:cs="Arial" w:eastAsia="Arial" w:hAnsi="Arial"/>
                <w:sz w:val="14"/>
                <w:szCs w:val="14"/>
                <w:color w:val="auto"/>
              </w:rPr>
              <w:t>1,432,979,795</w:t>
            </w:r>
          </w:p>
        </w:tc>
        <w:tc>
          <w:tcPr>
            <w:tcW w:w="260" w:type="dxa"/>
            <w:vAlign w:val="bottom"/>
          </w:tcPr>
          <w:p>
            <w:pPr>
              <w:spacing w:after="0"/>
              <w:rPr>
                <w:sz w:val="17"/>
                <w:szCs w:val="17"/>
                <w:color w:val="auto"/>
              </w:rPr>
            </w:pP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1360" w:type="dxa"/>
            <w:vAlign w:val="bottom"/>
            <w:gridSpan w:val="2"/>
          </w:tcPr>
          <w:p>
            <w:pPr>
              <w:ind w:left="800"/>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1120" w:type="dxa"/>
            <w:vAlign w:val="bottom"/>
          </w:tcPr>
          <w:p>
            <w:pPr>
              <w:ind w:left="8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
        </w:trPr>
        <w:tc>
          <w:tcPr>
            <w:tcW w:w="3220" w:type="dxa"/>
            <w:vAlign w:val="bottom"/>
            <w:vMerge w:val="restart"/>
          </w:tcPr>
          <w:p>
            <w:pPr>
              <w:spacing w:after="0"/>
              <w:rPr>
                <w:sz w:val="20"/>
                <w:szCs w:val="20"/>
                <w:color w:val="auto"/>
              </w:rPr>
            </w:pPr>
            <w:r>
              <w:rPr>
                <w:rFonts w:ascii="Arial" w:cs="Arial" w:eastAsia="Arial" w:hAnsi="Arial"/>
                <w:sz w:val="14"/>
                <w:szCs w:val="14"/>
                <w:color w:val="auto"/>
                <w:w w:val="94"/>
              </w:rPr>
              <w:t>Interest in common/collective trusts, measured at NAV</w:t>
            </w:r>
          </w:p>
        </w:tc>
        <w:tc>
          <w:tcPr>
            <w:tcW w:w="160" w:type="dxa"/>
            <w:vAlign w:val="bottom"/>
          </w:tcPr>
          <w:p>
            <w:pPr>
              <w:spacing w:after="0" w:line="20" w:lineRule="exact"/>
              <w:rPr>
                <w:sz w:val="1"/>
                <w:szCs w:val="1"/>
                <w:color w:val="auto"/>
              </w:rPr>
            </w:pPr>
          </w:p>
        </w:tc>
        <w:tc>
          <w:tcPr>
            <w:tcW w:w="1200" w:type="dxa"/>
            <w:vAlign w:val="bottom"/>
            <w:vMerge w:val="restart"/>
          </w:tcPr>
          <w:p>
            <w:pPr>
              <w:jc w:val="right"/>
              <w:ind w:right="68"/>
              <w:spacing w:after="0"/>
              <w:rPr>
                <w:sz w:val="20"/>
                <w:szCs w:val="20"/>
                <w:color w:val="auto"/>
              </w:rPr>
            </w:pPr>
            <w:r>
              <w:rPr>
                <w:rFonts w:ascii="Arial" w:cs="Arial" w:eastAsia="Arial" w:hAnsi="Arial"/>
                <w:sz w:val="14"/>
                <w:szCs w:val="14"/>
                <w:color w:val="auto"/>
              </w:rPr>
              <w:t>5,449,782,283</w:t>
            </w:r>
          </w:p>
        </w:tc>
        <w:tc>
          <w:tcPr>
            <w:tcW w:w="2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3220" w:type="dxa"/>
            <w:vAlign w:val="bottom"/>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vMerge w:val="continue"/>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3220" w:type="dxa"/>
            <w:vAlign w:val="bottom"/>
          </w:tcPr>
          <w:p>
            <w:pPr>
              <w:ind w:left="280"/>
              <w:spacing w:after="0" w:line="143" w:lineRule="exact"/>
              <w:rPr>
                <w:sz w:val="20"/>
                <w:szCs w:val="20"/>
                <w:color w:val="auto"/>
              </w:rPr>
            </w:pPr>
            <w:r>
              <w:rPr>
                <w:rFonts w:ascii="Arial" w:cs="Arial" w:eastAsia="Arial" w:hAnsi="Arial"/>
                <w:sz w:val="14"/>
                <w:szCs w:val="14"/>
                <w:color w:val="auto"/>
              </w:rPr>
              <w:t>Total Master Trust investments</w:t>
            </w: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220" w:type="dxa"/>
            <w:vAlign w:val="bottom"/>
          </w:tcPr>
          <w:p>
            <w:pPr>
              <w:spacing w:after="0"/>
              <w:rPr>
                <w:sz w:val="20"/>
                <w:szCs w:val="20"/>
                <w:color w:val="auto"/>
              </w:rPr>
            </w:pPr>
            <w:r>
              <w:rPr>
                <w:rFonts w:ascii="Arial" w:cs="Arial" w:eastAsia="Arial" w:hAnsi="Arial"/>
                <w:sz w:val="14"/>
                <w:szCs w:val="14"/>
                <w:color w:val="auto"/>
              </w:rPr>
              <w:t>at fair value</w:t>
            </w:r>
          </w:p>
        </w:tc>
        <w:tc>
          <w:tcPr>
            <w:tcW w:w="160" w:type="dxa"/>
            <w:vAlign w:val="bottom"/>
          </w:tcPr>
          <w:p>
            <w:pPr>
              <w:spacing w:after="0"/>
              <w:rPr>
                <w:sz w:val="15"/>
                <w:szCs w:val="15"/>
                <w:color w:val="auto"/>
              </w:rPr>
            </w:pP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6,882,762,078</w:t>
            </w: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220" w:type="dxa"/>
            <w:vAlign w:val="bottom"/>
          </w:tcPr>
          <w:p>
            <w:pPr>
              <w:spacing w:after="0"/>
              <w:rPr>
                <w:sz w:val="20"/>
                <w:szCs w:val="20"/>
                <w:color w:val="auto"/>
              </w:rPr>
            </w:pPr>
            <w:r>
              <w:rPr>
                <w:rFonts w:ascii="Arial" w:cs="Arial" w:eastAsia="Arial" w:hAnsi="Arial"/>
                <w:sz w:val="14"/>
                <w:szCs w:val="14"/>
                <w:color w:val="auto"/>
              </w:rPr>
              <w:t>Investments at contract value:</w:t>
            </w: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220" w:type="dxa"/>
            <w:vAlign w:val="bottom"/>
          </w:tcPr>
          <w:p>
            <w:pPr>
              <w:spacing w:after="0"/>
              <w:rPr>
                <w:sz w:val="20"/>
                <w:szCs w:val="20"/>
                <w:color w:val="auto"/>
              </w:rPr>
            </w:pPr>
            <w:r>
              <w:rPr>
                <w:rFonts w:ascii="Arial" w:cs="Arial" w:eastAsia="Arial" w:hAnsi="Arial"/>
                <w:sz w:val="14"/>
                <w:szCs w:val="14"/>
                <w:color w:val="auto"/>
              </w:rPr>
              <w:t>Synthetic GICs</w:t>
            </w: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917,357,460</w:t>
            </w: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220" w:type="dxa"/>
            <w:vAlign w:val="bottom"/>
          </w:tcPr>
          <w:p>
            <w:pPr>
              <w:ind w:left="280"/>
              <w:spacing w:after="0"/>
              <w:rPr>
                <w:sz w:val="20"/>
                <w:szCs w:val="20"/>
                <w:color w:val="auto"/>
              </w:rPr>
            </w:pPr>
            <w:r>
              <w:rPr>
                <w:rFonts w:ascii="Arial" w:cs="Arial" w:eastAsia="Arial" w:hAnsi="Arial"/>
                <w:sz w:val="14"/>
                <w:szCs w:val="14"/>
                <w:color w:val="auto"/>
              </w:rPr>
              <w:t>Total Master Trust investments</w:t>
            </w:r>
          </w:p>
        </w:tc>
        <w:tc>
          <w:tcPr>
            <w:tcW w:w="160" w:type="dxa"/>
            <w:vAlign w:val="bottom"/>
          </w:tcPr>
          <w:p>
            <w:pPr>
              <w:spacing w:after="0"/>
              <w:rPr>
                <w:sz w:val="16"/>
                <w:szCs w:val="16"/>
                <w:color w:val="auto"/>
              </w:rPr>
            </w:pP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7,800,119,538</w:t>
            </w: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220" w:type="dxa"/>
            <w:vAlign w:val="bottom"/>
          </w:tcPr>
          <w:p>
            <w:pPr>
              <w:spacing w:after="0"/>
              <w:rPr>
                <w:sz w:val="20"/>
                <w:szCs w:val="20"/>
                <w:color w:val="auto"/>
              </w:rPr>
            </w:pPr>
            <w:r>
              <w:rPr>
                <w:rFonts w:ascii="Arial" w:cs="Arial" w:eastAsia="Arial" w:hAnsi="Arial"/>
                <w:sz w:val="14"/>
                <w:szCs w:val="14"/>
                <w:color w:val="auto"/>
              </w:rPr>
              <w:t>Accrued income and pending trades -</w:t>
            </w: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3220" w:type="dxa"/>
            <w:vAlign w:val="bottom"/>
          </w:tcPr>
          <w:p>
            <w:pPr>
              <w:spacing w:after="0"/>
              <w:rPr>
                <w:sz w:val="20"/>
                <w:szCs w:val="20"/>
                <w:color w:val="auto"/>
              </w:rPr>
            </w:pPr>
            <w:r>
              <w:rPr>
                <w:rFonts w:ascii="Arial" w:cs="Arial" w:eastAsia="Arial" w:hAnsi="Arial"/>
                <w:sz w:val="14"/>
                <w:szCs w:val="14"/>
                <w:color w:val="auto"/>
              </w:rPr>
              <w:t>Sales</w:t>
            </w:r>
          </w:p>
        </w:tc>
        <w:tc>
          <w:tcPr>
            <w:tcW w:w="160" w:type="dxa"/>
            <w:vAlign w:val="bottom"/>
          </w:tcPr>
          <w:p>
            <w:pPr>
              <w:spacing w:after="0"/>
              <w:rPr>
                <w:sz w:val="15"/>
                <w:szCs w:val="15"/>
                <w:color w:val="auto"/>
              </w:rPr>
            </w:pP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18,634,796</w:t>
            </w: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220" w:type="dxa"/>
            <w:vAlign w:val="bottom"/>
          </w:tcPr>
          <w:p>
            <w:pPr>
              <w:spacing w:after="0"/>
              <w:rPr>
                <w:sz w:val="20"/>
                <w:szCs w:val="20"/>
                <w:color w:val="auto"/>
              </w:rPr>
            </w:pPr>
            <w:r>
              <w:rPr>
                <w:rFonts w:ascii="Arial" w:cs="Arial" w:eastAsia="Arial" w:hAnsi="Arial"/>
                <w:sz w:val="14"/>
                <w:szCs w:val="14"/>
                <w:color w:val="auto"/>
              </w:rPr>
              <w:t>Accrued expenses and pending trades</w:t>
            </w: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220" w:type="dxa"/>
            <w:vAlign w:val="bottom"/>
          </w:tcPr>
          <w:p>
            <w:pPr>
              <w:spacing w:after="0"/>
              <w:rPr>
                <w:sz w:val="20"/>
                <w:szCs w:val="20"/>
                <w:color w:val="auto"/>
              </w:rPr>
            </w:pPr>
            <w:r>
              <w:rPr>
                <w:rFonts w:ascii="Arial" w:cs="Arial" w:eastAsia="Arial" w:hAnsi="Arial"/>
                <w:sz w:val="14"/>
                <w:szCs w:val="14"/>
                <w:color w:val="auto"/>
              </w:rPr>
              <w:t>- Purchases</w:t>
            </w: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(2,641,875)</w:t>
            </w: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3220" w:type="dxa"/>
            <w:vAlign w:val="bottom"/>
          </w:tcPr>
          <w:p>
            <w:pPr>
              <w:ind w:left="280"/>
              <w:spacing w:after="0"/>
              <w:rPr>
                <w:sz w:val="20"/>
                <w:szCs w:val="20"/>
                <w:color w:val="auto"/>
              </w:rPr>
            </w:pPr>
            <w:r>
              <w:rPr>
                <w:rFonts w:ascii="Arial" w:cs="Arial" w:eastAsia="Arial" w:hAnsi="Arial"/>
                <w:sz w:val="14"/>
                <w:szCs w:val="14"/>
                <w:color w:val="auto"/>
              </w:rPr>
              <w:t>Total Master Trust net assets</w:t>
            </w: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7,816,112,459</w:t>
            </w: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190"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25"/>
          <w:szCs w:val="25"/>
          <w:color w:val="auto"/>
        </w:rPr>
        <w:t>The Lilly Employee 401(k) Plan and</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The Savings Plan for Lilly Affiliate Employees in Puerto Rico</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Notes to Financial Statements, cont.</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December 31, 2019 and 2018</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21"/>
          <w:szCs w:val="21"/>
          <w:color w:val="auto"/>
        </w:rPr>
        <w:t>The following table sets forth the net assets of the Master Trust and the Master Trust's assets carried at fair value as of</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color w:val="auto"/>
        </w:rPr>
        <w:t>December 31, 2018, by level, within the fair value hierarchy:</w:t>
      </w:r>
    </w:p>
    <w:p>
      <w:pPr>
        <w:spacing w:after="0" w:line="281" w:lineRule="exact"/>
        <w:rPr>
          <w:sz w:val="20"/>
          <w:szCs w:val="20"/>
          <w:color w:val="auto"/>
        </w:rPr>
      </w:pPr>
    </w:p>
    <w:tbl>
      <w:tblPr>
        <w:tblLayout w:type="fixed"/>
        <w:tblInd w:w="640" w:type="dxa"/>
        <w:tblCellMar>
          <w:top w:w="0" w:type="dxa"/>
          <w:left w:w="0" w:type="dxa"/>
          <w:bottom w:w="0" w:type="dxa"/>
          <w:right w:w="0" w:type="dxa"/>
        </w:tblCellMar>
      </w:tblPr>
      <w:tr>
        <w:trPr>
          <w:trHeight w:val="186"/>
        </w:trPr>
        <w:tc>
          <w:tcPr>
            <w:tcW w:w="3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jc w:val="right"/>
              <w:ind w:right="228"/>
              <w:spacing w:after="0"/>
              <w:rPr>
                <w:sz w:val="20"/>
                <w:szCs w:val="20"/>
                <w:color w:val="auto"/>
              </w:rPr>
            </w:pPr>
            <w:r>
              <w:rPr>
                <w:rFonts w:ascii="Arial" w:cs="Arial" w:eastAsia="Arial" w:hAnsi="Arial"/>
                <w:sz w:val="14"/>
                <w:szCs w:val="14"/>
                <w:b w:val="1"/>
                <w:bCs w:val="1"/>
                <w:color w:val="auto"/>
              </w:rPr>
              <w:t>Master Trust</w:t>
            </w: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3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ind w:right="388"/>
              <w:spacing w:after="0"/>
              <w:rPr>
                <w:sz w:val="20"/>
                <w:szCs w:val="20"/>
                <w:color w:val="auto"/>
              </w:rPr>
            </w:pPr>
            <w:r>
              <w:rPr>
                <w:rFonts w:ascii="Arial" w:cs="Arial" w:eastAsia="Arial" w:hAnsi="Arial"/>
                <w:sz w:val="14"/>
                <w:szCs w:val="14"/>
                <w:b w:val="1"/>
                <w:bCs w:val="1"/>
                <w:color w:val="auto"/>
              </w:rPr>
              <w:t>Balance</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20" w:type="dxa"/>
            <w:vAlign w:val="bottom"/>
            <w:gridSpan w:val="2"/>
          </w:tcPr>
          <w:p>
            <w:pPr>
              <w:ind w:left="260"/>
              <w:spacing w:after="0"/>
              <w:rPr>
                <w:sz w:val="20"/>
                <w:szCs w:val="20"/>
                <w:color w:val="auto"/>
              </w:rPr>
            </w:pPr>
            <w:r>
              <w:rPr>
                <w:rFonts w:ascii="Arial" w:cs="Arial" w:eastAsia="Arial" w:hAnsi="Arial"/>
                <w:sz w:val="14"/>
                <w:szCs w:val="14"/>
                <w:b w:val="1"/>
                <w:bCs w:val="1"/>
                <w:color w:val="auto"/>
              </w:rPr>
              <w:t>Level 1</w:t>
            </w:r>
          </w:p>
        </w:tc>
        <w:tc>
          <w:tcPr>
            <w:tcW w:w="280" w:type="dxa"/>
            <w:vAlign w:val="bottom"/>
          </w:tcPr>
          <w:p>
            <w:pPr>
              <w:spacing w:after="0"/>
              <w:rPr>
                <w:sz w:val="18"/>
                <w:szCs w:val="18"/>
                <w:color w:val="auto"/>
              </w:rPr>
            </w:pPr>
          </w:p>
        </w:tc>
        <w:tc>
          <w:tcPr>
            <w:tcW w:w="1380" w:type="dxa"/>
            <w:vAlign w:val="bottom"/>
            <w:gridSpan w:val="2"/>
          </w:tcPr>
          <w:p>
            <w:pPr>
              <w:ind w:left="180"/>
              <w:spacing w:after="0"/>
              <w:rPr>
                <w:sz w:val="20"/>
                <w:szCs w:val="20"/>
                <w:color w:val="auto"/>
              </w:rPr>
            </w:pPr>
            <w:r>
              <w:rPr>
                <w:rFonts w:ascii="Arial" w:cs="Arial" w:eastAsia="Arial" w:hAnsi="Arial"/>
                <w:sz w:val="14"/>
                <w:szCs w:val="14"/>
                <w:b w:val="1"/>
                <w:bCs w:val="1"/>
                <w:color w:val="auto"/>
              </w:rPr>
              <w:t>Level 2</w:t>
            </w:r>
          </w:p>
        </w:tc>
        <w:tc>
          <w:tcPr>
            <w:tcW w:w="280" w:type="dxa"/>
            <w:vAlign w:val="bottom"/>
          </w:tcPr>
          <w:p>
            <w:pPr>
              <w:spacing w:after="0"/>
              <w:rPr>
                <w:sz w:val="18"/>
                <w:szCs w:val="18"/>
                <w:color w:val="auto"/>
              </w:rPr>
            </w:pPr>
          </w:p>
        </w:tc>
        <w:tc>
          <w:tcPr>
            <w:tcW w:w="1120" w:type="dxa"/>
            <w:vAlign w:val="bottom"/>
          </w:tcPr>
          <w:p>
            <w:pPr>
              <w:ind w:left="18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77"/>
        </w:trPr>
        <w:tc>
          <w:tcPr>
            <w:tcW w:w="3300" w:type="dxa"/>
            <w:vAlign w:val="bottom"/>
          </w:tcPr>
          <w:p>
            <w:pPr>
              <w:spacing w:after="0"/>
              <w:rPr>
                <w:sz w:val="20"/>
                <w:szCs w:val="20"/>
                <w:color w:val="auto"/>
              </w:rPr>
            </w:pPr>
            <w:r>
              <w:rPr>
                <w:rFonts w:ascii="Arial" w:cs="Arial" w:eastAsia="Arial" w:hAnsi="Arial"/>
                <w:sz w:val="14"/>
                <w:szCs w:val="14"/>
                <w:color w:val="auto"/>
              </w:rPr>
              <w:t>Investments at fair value:</w:t>
            </w:r>
          </w:p>
        </w:tc>
        <w:tc>
          <w:tcPr>
            <w:tcW w:w="18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300" w:type="dxa"/>
            <w:vAlign w:val="bottom"/>
          </w:tcPr>
          <w:p>
            <w:pPr>
              <w:ind w:left="100"/>
              <w:spacing w:after="0"/>
              <w:rPr>
                <w:sz w:val="20"/>
                <w:szCs w:val="20"/>
                <w:color w:val="auto"/>
              </w:rPr>
            </w:pPr>
            <w:r>
              <w:rPr>
                <w:rFonts w:ascii="Arial" w:cs="Arial" w:eastAsia="Arial" w:hAnsi="Arial"/>
                <w:sz w:val="14"/>
                <w:szCs w:val="14"/>
                <w:color w:val="auto"/>
              </w:rPr>
              <w:t>Registered investment companies</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190,948,847</w:t>
            </w:r>
          </w:p>
        </w:tc>
        <w:tc>
          <w:tcPr>
            <w:tcW w:w="6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68"/>
              <w:spacing w:after="0"/>
              <w:rPr>
                <w:sz w:val="20"/>
                <w:szCs w:val="20"/>
                <w:color w:val="auto"/>
              </w:rPr>
            </w:pPr>
            <w:r>
              <w:rPr>
                <w:rFonts w:ascii="Arial" w:cs="Arial" w:eastAsia="Arial" w:hAnsi="Arial"/>
                <w:sz w:val="14"/>
                <w:szCs w:val="14"/>
                <w:color w:val="auto"/>
              </w:rPr>
              <w:t>190,948,847</w:t>
            </w:r>
          </w:p>
        </w:tc>
        <w:tc>
          <w:tcPr>
            <w:tcW w:w="260" w:type="dxa"/>
            <w:vAlign w:val="bottom"/>
          </w:tcPr>
          <w:p>
            <w:pPr>
              <w:spacing w:after="0"/>
              <w:rPr>
                <w:sz w:val="17"/>
                <w:szCs w:val="17"/>
                <w:color w:val="auto"/>
              </w:rPr>
            </w:pP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1380" w:type="dxa"/>
            <w:vAlign w:val="bottom"/>
            <w:gridSpan w:val="2"/>
          </w:tcPr>
          <w:p>
            <w:pPr>
              <w:ind w:left="840"/>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1120" w:type="dxa"/>
            <w:vAlign w:val="bottom"/>
          </w:tcPr>
          <w:p>
            <w:pPr>
              <w:ind w:left="8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2"/>
        </w:trPr>
        <w:tc>
          <w:tcPr>
            <w:tcW w:w="3300" w:type="dxa"/>
            <w:vAlign w:val="bottom"/>
          </w:tcPr>
          <w:p>
            <w:pPr>
              <w:ind w:left="100"/>
              <w:spacing w:after="0"/>
              <w:rPr>
                <w:sz w:val="20"/>
                <w:szCs w:val="20"/>
                <w:color w:val="auto"/>
              </w:rPr>
            </w:pPr>
            <w:r>
              <w:rPr>
                <w:rFonts w:ascii="Arial" w:cs="Arial" w:eastAsia="Arial" w:hAnsi="Arial"/>
                <w:sz w:val="14"/>
                <w:szCs w:val="14"/>
                <w:color w:val="auto"/>
              </w:rPr>
              <w:t>Self-directed brokerage accounts</w:t>
            </w:r>
          </w:p>
        </w:tc>
        <w:tc>
          <w:tcPr>
            <w:tcW w:w="180" w:type="dxa"/>
            <w:vAlign w:val="bottom"/>
          </w:tcPr>
          <w:p>
            <w:pPr>
              <w:spacing w:after="0"/>
              <w:rPr>
                <w:sz w:val="17"/>
                <w:szCs w:val="17"/>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200,778,701</w:t>
            </w: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60" w:type="dxa"/>
            <w:vAlign w:val="bottom"/>
          </w:tcPr>
          <w:p>
            <w:pPr>
              <w:jc w:val="right"/>
              <w:ind w:right="68"/>
              <w:spacing w:after="0"/>
              <w:rPr>
                <w:sz w:val="20"/>
                <w:szCs w:val="20"/>
                <w:color w:val="auto"/>
              </w:rPr>
            </w:pPr>
            <w:r>
              <w:rPr>
                <w:rFonts w:ascii="Arial" w:cs="Arial" w:eastAsia="Arial" w:hAnsi="Arial"/>
                <w:sz w:val="14"/>
                <w:szCs w:val="14"/>
                <w:color w:val="auto"/>
              </w:rPr>
              <w:t>200,778,701</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gridSpan w:val="2"/>
          </w:tcPr>
          <w:p>
            <w:pPr>
              <w:ind w:left="8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1120" w:type="dxa"/>
            <w:vAlign w:val="bottom"/>
          </w:tcPr>
          <w:p>
            <w:pPr>
              <w:ind w:left="8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9"/>
        </w:trPr>
        <w:tc>
          <w:tcPr>
            <w:tcW w:w="3300" w:type="dxa"/>
            <w:vAlign w:val="bottom"/>
          </w:tcPr>
          <w:p>
            <w:pPr>
              <w:ind w:left="100"/>
              <w:spacing w:after="0"/>
              <w:rPr>
                <w:sz w:val="20"/>
                <w:szCs w:val="20"/>
                <w:color w:val="auto"/>
              </w:rPr>
            </w:pPr>
            <w:r>
              <w:rPr>
                <w:rFonts w:ascii="Arial" w:cs="Arial" w:eastAsia="Arial" w:hAnsi="Arial"/>
                <w:sz w:val="14"/>
                <w:szCs w:val="14"/>
                <w:color w:val="auto"/>
              </w:rPr>
              <w:t>Eli Lilly and Company common stock</w:t>
            </w: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809,886,093</w:t>
            </w:r>
          </w:p>
        </w:tc>
        <w:tc>
          <w:tcPr>
            <w:tcW w:w="2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809,886,093</w:t>
            </w:r>
          </w:p>
        </w:tc>
        <w:tc>
          <w:tcPr>
            <w:tcW w:w="2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ind w:left="8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ind w:left="8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2"/>
        </w:trPr>
        <w:tc>
          <w:tcPr>
            <w:tcW w:w="3300" w:type="dxa"/>
            <w:vAlign w:val="bottom"/>
          </w:tcPr>
          <w:p>
            <w:pPr>
              <w:ind w:left="280"/>
              <w:spacing w:after="0"/>
              <w:rPr>
                <w:sz w:val="20"/>
                <w:szCs w:val="20"/>
                <w:color w:val="auto"/>
              </w:rPr>
            </w:pPr>
            <w:r>
              <w:rPr>
                <w:rFonts w:ascii="Arial" w:cs="Arial" w:eastAsia="Arial" w:hAnsi="Arial"/>
                <w:sz w:val="14"/>
                <w:szCs w:val="14"/>
                <w:color w:val="auto"/>
              </w:rPr>
              <w:t>Total</w:t>
            </w:r>
          </w:p>
        </w:tc>
        <w:tc>
          <w:tcPr>
            <w:tcW w:w="180" w:type="dxa"/>
            <w:vAlign w:val="bottom"/>
          </w:tcPr>
          <w:p>
            <w:pPr>
              <w:spacing w:after="0"/>
              <w:rPr>
                <w:sz w:val="17"/>
                <w:szCs w:val="17"/>
                <w:color w:val="auto"/>
              </w:rPr>
            </w:pP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1,201,613,641</w:t>
            </w:r>
          </w:p>
        </w:tc>
        <w:tc>
          <w:tcPr>
            <w:tcW w:w="6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68"/>
              <w:spacing w:after="0"/>
              <w:rPr>
                <w:sz w:val="20"/>
                <w:szCs w:val="20"/>
                <w:color w:val="auto"/>
              </w:rPr>
            </w:pPr>
            <w:r>
              <w:rPr>
                <w:rFonts w:ascii="Arial" w:cs="Arial" w:eastAsia="Arial" w:hAnsi="Arial"/>
                <w:sz w:val="14"/>
                <w:szCs w:val="14"/>
                <w:color w:val="auto"/>
              </w:rPr>
              <w:t>1,201,613,641</w:t>
            </w:r>
          </w:p>
        </w:tc>
        <w:tc>
          <w:tcPr>
            <w:tcW w:w="260" w:type="dxa"/>
            <w:vAlign w:val="bottom"/>
          </w:tcPr>
          <w:p>
            <w:pPr>
              <w:spacing w:after="0"/>
              <w:rPr>
                <w:sz w:val="17"/>
                <w:szCs w:val="17"/>
                <w:color w:val="auto"/>
              </w:rPr>
            </w:pP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1380" w:type="dxa"/>
            <w:vAlign w:val="bottom"/>
            <w:gridSpan w:val="2"/>
          </w:tcPr>
          <w:p>
            <w:pPr>
              <w:ind w:left="840"/>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1120" w:type="dxa"/>
            <w:vAlign w:val="bottom"/>
          </w:tcPr>
          <w:p>
            <w:pPr>
              <w:ind w:left="8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
        </w:trPr>
        <w:tc>
          <w:tcPr>
            <w:tcW w:w="3300" w:type="dxa"/>
            <w:vAlign w:val="bottom"/>
            <w:vMerge w:val="restart"/>
          </w:tcPr>
          <w:p>
            <w:pPr>
              <w:spacing w:after="0"/>
              <w:rPr>
                <w:sz w:val="20"/>
                <w:szCs w:val="20"/>
                <w:color w:val="auto"/>
              </w:rPr>
            </w:pPr>
            <w:r>
              <w:rPr>
                <w:rFonts w:ascii="Arial" w:cs="Arial" w:eastAsia="Arial" w:hAnsi="Arial"/>
                <w:sz w:val="14"/>
                <w:szCs w:val="14"/>
                <w:color w:val="auto"/>
                <w:w w:val="97"/>
              </w:rPr>
              <w:t>Interest in common/collective trusts, measured at NAV</w:t>
            </w:r>
          </w:p>
        </w:tc>
        <w:tc>
          <w:tcPr>
            <w:tcW w:w="180" w:type="dxa"/>
            <w:vAlign w:val="bottom"/>
          </w:tcPr>
          <w:p>
            <w:pPr>
              <w:spacing w:after="0" w:line="20" w:lineRule="exact"/>
              <w:rPr>
                <w:sz w:val="1"/>
                <w:szCs w:val="1"/>
                <w:color w:val="auto"/>
              </w:rPr>
            </w:pPr>
          </w:p>
        </w:tc>
        <w:tc>
          <w:tcPr>
            <w:tcW w:w="1200" w:type="dxa"/>
            <w:vAlign w:val="bottom"/>
            <w:vMerge w:val="restart"/>
          </w:tcPr>
          <w:p>
            <w:pPr>
              <w:jc w:val="right"/>
              <w:ind w:right="68"/>
              <w:spacing w:after="0"/>
              <w:rPr>
                <w:sz w:val="20"/>
                <w:szCs w:val="20"/>
                <w:color w:val="auto"/>
              </w:rPr>
            </w:pPr>
            <w:r>
              <w:rPr>
                <w:rFonts w:ascii="Arial" w:cs="Arial" w:eastAsia="Arial" w:hAnsi="Arial"/>
                <w:sz w:val="14"/>
                <w:szCs w:val="14"/>
                <w:color w:val="auto"/>
              </w:rPr>
              <w:t>4,409,101,892</w:t>
            </w: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3300" w:type="dxa"/>
            <w:vAlign w:val="bottom"/>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vMerge w:val="continue"/>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3300" w:type="dxa"/>
            <w:vAlign w:val="bottom"/>
          </w:tcPr>
          <w:p>
            <w:pPr>
              <w:ind w:left="280"/>
              <w:spacing w:after="0" w:line="143" w:lineRule="exact"/>
              <w:rPr>
                <w:sz w:val="20"/>
                <w:szCs w:val="20"/>
                <w:color w:val="auto"/>
              </w:rPr>
            </w:pPr>
            <w:r>
              <w:rPr>
                <w:rFonts w:ascii="Arial" w:cs="Arial" w:eastAsia="Arial" w:hAnsi="Arial"/>
                <w:sz w:val="14"/>
                <w:szCs w:val="14"/>
                <w:color w:val="auto"/>
              </w:rPr>
              <w:t>Total Master Trust investments,</w:t>
            </w:r>
          </w:p>
        </w:tc>
        <w:tc>
          <w:tcPr>
            <w:tcW w:w="1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300" w:type="dxa"/>
            <w:vAlign w:val="bottom"/>
          </w:tcPr>
          <w:p>
            <w:pPr>
              <w:spacing w:after="0"/>
              <w:rPr>
                <w:sz w:val="20"/>
                <w:szCs w:val="20"/>
                <w:color w:val="auto"/>
              </w:rPr>
            </w:pPr>
            <w:r>
              <w:rPr>
                <w:rFonts w:ascii="Arial" w:cs="Arial" w:eastAsia="Arial" w:hAnsi="Arial"/>
                <w:sz w:val="14"/>
                <w:szCs w:val="14"/>
                <w:color w:val="auto"/>
              </w:rPr>
              <w:t>at fair value</w:t>
            </w:r>
          </w:p>
        </w:tc>
        <w:tc>
          <w:tcPr>
            <w:tcW w:w="180" w:type="dxa"/>
            <w:vAlign w:val="bottom"/>
          </w:tcPr>
          <w:p>
            <w:pPr>
              <w:spacing w:after="0"/>
              <w:rPr>
                <w:sz w:val="15"/>
                <w:szCs w:val="15"/>
                <w:color w:val="auto"/>
              </w:rPr>
            </w:pP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5,610,715,533</w:t>
            </w: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300" w:type="dxa"/>
            <w:vAlign w:val="bottom"/>
          </w:tcPr>
          <w:p>
            <w:pPr>
              <w:spacing w:after="0"/>
              <w:rPr>
                <w:sz w:val="20"/>
                <w:szCs w:val="20"/>
                <w:color w:val="auto"/>
              </w:rPr>
            </w:pPr>
            <w:r>
              <w:rPr>
                <w:rFonts w:ascii="Arial" w:cs="Arial" w:eastAsia="Arial" w:hAnsi="Arial"/>
                <w:sz w:val="14"/>
                <w:szCs w:val="14"/>
                <w:color w:val="auto"/>
              </w:rPr>
              <w:t>Investments at contract value:</w:t>
            </w: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300" w:type="dxa"/>
            <w:vAlign w:val="bottom"/>
          </w:tcPr>
          <w:p>
            <w:pPr>
              <w:spacing w:after="0"/>
              <w:rPr>
                <w:sz w:val="20"/>
                <w:szCs w:val="20"/>
                <w:color w:val="auto"/>
              </w:rPr>
            </w:pPr>
            <w:r>
              <w:rPr>
                <w:rFonts w:ascii="Arial" w:cs="Arial" w:eastAsia="Arial" w:hAnsi="Arial"/>
                <w:sz w:val="14"/>
                <w:szCs w:val="14"/>
                <w:color w:val="auto"/>
              </w:rPr>
              <w:t>Synthetic GICs</w:t>
            </w: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946,072,310</w:t>
            </w: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300" w:type="dxa"/>
            <w:vAlign w:val="bottom"/>
          </w:tcPr>
          <w:p>
            <w:pPr>
              <w:ind w:left="280"/>
              <w:spacing w:after="0"/>
              <w:rPr>
                <w:sz w:val="20"/>
                <w:szCs w:val="20"/>
                <w:color w:val="auto"/>
              </w:rPr>
            </w:pPr>
            <w:r>
              <w:rPr>
                <w:rFonts w:ascii="Arial" w:cs="Arial" w:eastAsia="Arial" w:hAnsi="Arial"/>
                <w:sz w:val="14"/>
                <w:szCs w:val="14"/>
                <w:color w:val="auto"/>
              </w:rPr>
              <w:t>Total Master Trust investments</w:t>
            </w:r>
          </w:p>
        </w:tc>
        <w:tc>
          <w:tcPr>
            <w:tcW w:w="180" w:type="dxa"/>
            <w:vAlign w:val="bottom"/>
          </w:tcPr>
          <w:p>
            <w:pPr>
              <w:spacing w:after="0"/>
              <w:rPr>
                <w:sz w:val="16"/>
                <w:szCs w:val="16"/>
                <w:color w:val="auto"/>
              </w:rPr>
            </w:pP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6,556,787,843</w:t>
            </w: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300" w:type="dxa"/>
            <w:vAlign w:val="bottom"/>
          </w:tcPr>
          <w:p>
            <w:pPr>
              <w:spacing w:after="0"/>
              <w:rPr>
                <w:sz w:val="20"/>
                <w:szCs w:val="20"/>
                <w:color w:val="auto"/>
              </w:rPr>
            </w:pPr>
            <w:r>
              <w:rPr>
                <w:rFonts w:ascii="Arial" w:cs="Arial" w:eastAsia="Arial" w:hAnsi="Arial"/>
                <w:sz w:val="14"/>
                <w:szCs w:val="14"/>
                <w:color w:val="auto"/>
              </w:rPr>
              <w:t>Accrued income and pending trades -</w:t>
            </w: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3300" w:type="dxa"/>
            <w:vAlign w:val="bottom"/>
          </w:tcPr>
          <w:p>
            <w:pPr>
              <w:spacing w:after="0"/>
              <w:rPr>
                <w:sz w:val="20"/>
                <w:szCs w:val="20"/>
                <w:color w:val="auto"/>
              </w:rPr>
            </w:pPr>
            <w:r>
              <w:rPr>
                <w:rFonts w:ascii="Arial" w:cs="Arial" w:eastAsia="Arial" w:hAnsi="Arial"/>
                <w:sz w:val="14"/>
                <w:szCs w:val="14"/>
                <w:color w:val="auto"/>
              </w:rPr>
              <w:t>Sales</w:t>
            </w:r>
          </w:p>
        </w:tc>
        <w:tc>
          <w:tcPr>
            <w:tcW w:w="180" w:type="dxa"/>
            <w:vAlign w:val="bottom"/>
          </w:tcPr>
          <w:p>
            <w:pPr>
              <w:spacing w:after="0"/>
              <w:rPr>
                <w:sz w:val="15"/>
                <w:szCs w:val="15"/>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3,886,042</w:t>
            </w: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300" w:type="dxa"/>
            <w:vAlign w:val="bottom"/>
          </w:tcPr>
          <w:p>
            <w:pPr>
              <w:spacing w:after="0"/>
              <w:rPr>
                <w:sz w:val="20"/>
                <w:szCs w:val="20"/>
                <w:color w:val="auto"/>
              </w:rPr>
            </w:pPr>
            <w:r>
              <w:rPr>
                <w:rFonts w:ascii="Arial" w:cs="Arial" w:eastAsia="Arial" w:hAnsi="Arial"/>
                <w:sz w:val="14"/>
                <w:szCs w:val="14"/>
                <w:color w:val="auto"/>
              </w:rPr>
              <w:t>Accrued expenses and pending trades</w:t>
            </w: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300" w:type="dxa"/>
            <w:vAlign w:val="bottom"/>
          </w:tcPr>
          <w:p>
            <w:pPr>
              <w:spacing w:after="0"/>
              <w:rPr>
                <w:sz w:val="20"/>
                <w:szCs w:val="20"/>
                <w:color w:val="auto"/>
              </w:rPr>
            </w:pPr>
            <w:r>
              <w:rPr>
                <w:rFonts w:ascii="Arial" w:cs="Arial" w:eastAsia="Arial" w:hAnsi="Arial"/>
                <w:sz w:val="14"/>
                <w:szCs w:val="14"/>
                <w:color w:val="auto"/>
              </w:rPr>
              <w:t>- Purchases</w:t>
            </w: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(1,934,234)</w:t>
            </w: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3300" w:type="dxa"/>
            <w:vAlign w:val="bottom"/>
          </w:tcPr>
          <w:p>
            <w:pPr>
              <w:ind w:left="280"/>
              <w:spacing w:after="0"/>
              <w:rPr>
                <w:sz w:val="20"/>
                <w:szCs w:val="20"/>
                <w:color w:val="auto"/>
              </w:rPr>
            </w:pPr>
            <w:r>
              <w:rPr>
                <w:rFonts w:ascii="Arial" w:cs="Arial" w:eastAsia="Arial" w:hAnsi="Arial"/>
                <w:sz w:val="14"/>
                <w:szCs w:val="14"/>
                <w:color w:val="auto"/>
              </w:rPr>
              <w:t>Total Master Trust net assets</w:t>
            </w:r>
          </w:p>
        </w:tc>
        <w:tc>
          <w:tcPr>
            <w:tcW w:w="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6,558,739,651</w:t>
            </w: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5 - Income Tax Status</w:t>
      </w:r>
    </w:p>
    <w:p>
      <w:pPr>
        <w:spacing w:after="0" w:line="266" w:lineRule="exact"/>
        <w:rPr>
          <w:sz w:val="20"/>
          <w:szCs w:val="20"/>
          <w:color w:val="auto"/>
        </w:rPr>
      </w:pPr>
    </w:p>
    <w:p>
      <w:pPr>
        <w:jc w:val="both"/>
        <w:spacing w:after="0" w:line="294" w:lineRule="auto"/>
        <w:rPr>
          <w:sz w:val="20"/>
          <w:szCs w:val="20"/>
          <w:color w:val="auto"/>
        </w:rPr>
      </w:pPr>
      <w:r>
        <w:rPr>
          <w:rFonts w:ascii="Arial" w:cs="Arial" w:eastAsia="Arial" w:hAnsi="Arial"/>
          <w:sz w:val="19"/>
          <w:szCs w:val="19"/>
          <w:color w:val="auto"/>
        </w:rPr>
        <w:t>The 401(k) Plan has received a determination letter from the IRS dated June 13, 2017, confirming generally that the 401(k) Plan meets the qualification requirements under Section 401(a) of the Internal Revenue Code (the Code) and, therefore, the related trust is exempt from taxation. Subsequent to the effective date of the determination letter, the 401(k) Plan was amended. Once qualified, the 401(k) Plan is required to operate in conformity with the Code to maintain its qualification. The plan administrator believes that the 401(k) Plan is being operated in compliance with applicable requirements of the Code and, therefore, believes that the 401(k) Plan remains qualified and the related trust is tax exempt.</w:t>
      </w:r>
    </w:p>
    <w:p>
      <w:pPr>
        <w:spacing w:after="0" w:line="176"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The Puerto Rico Plan received a determination letter from the Commonwealth of Puerto Rico’s Department of Treasury dated November 30, 2018, confirming generally that the Puerto Rico Plan meets the qualification requirements of Section 1081.01 of the Puerto Rico Internal Revenue Code of 2011 (the Puerto Rico Code). Subsequent to the effective date of the determination letter, the Puerto Rico Plan was amended. Once qualified, the Puerto Rico Plan is required to operate in conformity with the Puerto Rico Code to maintain its qualification. The plan administrator believes that the Puerto Rico Plan is being</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190"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25"/>
          <w:szCs w:val="25"/>
          <w:color w:val="auto"/>
        </w:rPr>
        <w:t>The Lilly Employee 401(k) Plan and</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The Savings Plan for Lilly Affiliate Employees in Puerto Rico</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Notes to Financial Statements, cont.</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December 31, 2019 and 2018</w:t>
      </w:r>
    </w:p>
    <w:p>
      <w:pPr>
        <w:spacing w:after="0" w:line="200" w:lineRule="exact"/>
        <w:rPr>
          <w:sz w:val="20"/>
          <w:szCs w:val="20"/>
          <w:color w:val="auto"/>
        </w:rPr>
      </w:pPr>
    </w:p>
    <w:p>
      <w:pPr>
        <w:spacing w:after="0" w:line="318"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operated in compliance with applicable requirements of the Puerto Rico Code and, therefore, believes that the Puerto Rico Plan is qualified and the related trust is tax exempt.</w:t>
      </w:r>
    </w:p>
    <w:p>
      <w:pPr>
        <w:spacing w:after="0" w:line="215" w:lineRule="exact"/>
        <w:rPr>
          <w:sz w:val="20"/>
          <w:szCs w:val="20"/>
          <w:color w:val="auto"/>
        </w:rPr>
      </w:pPr>
    </w:p>
    <w:p>
      <w:pPr>
        <w:jc w:val="both"/>
        <w:spacing w:after="0" w:line="260" w:lineRule="auto"/>
        <w:rPr>
          <w:sz w:val="20"/>
          <w:szCs w:val="20"/>
          <w:color w:val="auto"/>
        </w:rPr>
      </w:pPr>
      <w:r>
        <w:rPr>
          <w:rFonts w:ascii="Arial" w:cs="Arial" w:eastAsia="Arial" w:hAnsi="Arial"/>
          <w:sz w:val="21"/>
          <w:szCs w:val="21"/>
          <w:color w:val="auto"/>
        </w:rPr>
        <w:t>U.S. GAAP requires plan management to evaluate uncertain tax positions taken by the Plans. The financial statement effects of a tax position are recognized when the position is more likely than not, based on technical merits, to be sustained upon examination by the IRS. The plan administrator has analyzed the tax positions taken by the Plans and has concluded that as of December 31, 2019, there are no uncertain positions taken or expected to be taken. The Plans have recognized no interest or penalties related to uncertain tax positions. The Plans are subject to routine audits by taxing jurisdictions; however, there are currently no audits for any tax periods in progress. The plan administrator believes that the Plans are no longer subject to income tax examinations for years prior to 2016.</w:t>
      </w: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6 - Risks and Uncertainties</w:t>
      </w:r>
    </w:p>
    <w:p>
      <w:pPr>
        <w:spacing w:after="0" w:line="266" w:lineRule="exact"/>
        <w:rPr>
          <w:sz w:val="20"/>
          <w:szCs w:val="20"/>
          <w:color w:val="auto"/>
        </w:rPr>
      </w:pPr>
    </w:p>
    <w:p>
      <w:pPr>
        <w:jc w:val="both"/>
        <w:spacing w:after="0" w:line="302" w:lineRule="auto"/>
        <w:rPr>
          <w:sz w:val="20"/>
          <w:szCs w:val="20"/>
          <w:color w:val="auto"/>
        </w:rPr>
      </w:pPr>
      <w:r>
        <w:rPr>
          <w:rFonts w:ascii="Arial" w:cs="Arial" w:eastAsia="Arial" w:hAnsi="Arial"/>
          <w:sz w:val="19"/>
          <w:szCs w:val="19"/>
          <w:color w:val="auto"/>
        </w:rPr>
        <w:t>The Plans invest in various investment securities. Investment securities are exposed to various risks, such as interest rate, market, and credit risks. Due to the level of risk associated with certain investment securities, it is at least reasonably possible that changes in the values of investment securities will occur in the near term and that such changes could materially affect participants’ account balances and the amounts reported in the statements of net assets available for benefits.</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7 - Transactions with Related Parties</w:t>
      </w:r>
    </w:p>
    <w:p>
      <w:pPr>
        <w:spacing w:after="0" w:line="253" w:lineRule="exact"/>
        <w:rPr>
          <w:sz w:val="20"/>
          <w:szCs w:val="20"/>
          <w:color w:val="auto"/>
        </w:rPr>
      </w:pPr>
    </w:p>
    <w:p>
      <w:pPr>
        <w:jc w:val="both"/>
        <w:ind w:right="20"/>
        <w:spacing w:after="0" w:line="271" w:lineRule="auto"/>
        <w:rPr>
          <w:sz w:val="20"/>
          <w:szCs w:val="20"/>
          <w:color w:val="auto"/>
        </w:rPr>
      </w:pPr>
      <w:r>
        <w:rPr>
          <w:rFonts w:ascii="Arial" w:cs="Arial" w:eastAsia="Arial" w:hAnsi="Arial"/>
          <w:sz w:val="21"/>
          <w:szCs w:val="21"/>
          <w:color w:val="auto"/>
        </w:rPr>
        <w:t>During 2019, the 401(k) Plan received approximately $16,014,000 in cash dividends from the Company on the common stock of the Company owned by the 401(k) Plan. During 2019, the Puerto Rico Plan received approximately $958,000 in cash dividends from the Company on the common stock of the Company owned by the Puerto Rico Plan.</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320" w:top="190" w:right="339" w:bottom="1440" w:gutter="0" w:footer="0" w:header="0"/>
        </w:sectPr>
      </w:pPr>
    </w:p>
    <w:bookmarkStart w:id="16" w:name="page17"/>
    <w:bookmarkEnd w:id="16"/>
    <w:p>
      <w:pPr>
        <w:jc w:val="center"/>
        <w:spacing w:after="0"/>
        <w:rPr>
          <w:sz w:val="20"/>
          <w:szCs w:val="20"/>
          <w:color w:val="auto"/>
        </w:rPr>
      </w:pPr>
      <w:r>
        <w:rPr>
          <w:rFonts w:ascii="Arial" w:cs="Arial" w:eastAsia="Arial" w:hAnsi="Arial"/>
          <w:sz w:val="25"/>
          <w:szCs w:val="25"/>
          <w:color w:val="auto"/>
        </w:rPr>
        <w:t>The Lilly Employee 401(k) Plan and</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The Savings Plan for Lilly Affiliate Employees in Puerto Rico</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Notes to Financial Statements, cont.</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December 31, 2019 and 2018</w:t>
      </w: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8 - Reconciliation of the Financial Statements to Form 5500</w:t>
      </w:r>
    </w:p>
    <w:p>
      <w:pPr>
        <w:spacing w:after="0" w:line="266" w:lineRule="exact"/>
        <w:rPr>
          <w:sz w:val="20"/>
          <w:szCs w:val="20"/>
          <w:color w:val="auto"/>
        </w:rPr>
      </w:pPr>
    </w:p>
    <w:p>
      <w:pPr>
        <w:spacing w:after="0" w:line="343" w:lineRule="auto"/>
        <w:rPr>
          <w:sz w:val="20"/>
          <w:szCs w:val="20"/>
          <w:color w:val="auto"/>
        </w:rPr>
      </w:pPr>
      <w:r>
        <w:rPr>
          <w:rFonts w:ascii="Arial" w:cs="Arial" w:eastAsia="Arial" w:hAnsi="Arial"/>
          <w:sz w:val="19"/>
          <w:szCs w:val="19"/>
          <w:color w:val="auto"/>
        </w:rPr>
        <w:t>The following are reconciliations of net assets available for benefits as of December 31, 2019 and 2018, and the net increase in net assets available for benefits for the year ended December 31, 2019, with the corresponding amounts in the Form 5500.</w:t>
      </w:r>
    </w:p>
    <w:p>
      <w:pPr>
        <w:spacing w:after="0" w:line="171" w:lineRule="exact"/>
        <w:rPr>
          <w:sz w:val="20"/>
          <w:szCs w:val="20"/>
          <w:color w:val="auto"/>
        </w:rPr>
      </w:pPr>
    </w:p>
    <w:tbl>
      <w:tblPr>
        <w:tblLayout w:type="fixed"/>
        <w:tblInd w:w="100" w:type="dxa"/>
        <w:tblCellMar>
          <w:top w:w="0" w:type="dxa"/>
          <w:left w:w="0" w:type="dxa"/>
          <w:bottom w:w="0" w:type="dxa"/>
          <w:right w:w="0" w:type="dxa"/>
        </w:tblCellMar>
      </w:tblPr>
      <w:tr>
        <w:trPr>
          <w:trHeight w:val="256"/>
        </w:trPr>
        <w:tc>
          <w:tcPr>
            <w:tcW w:w="65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260" w:type="dxa"/>
            <w:vAlign w:val="bottom"/>
            <w:gridSpan w:val="4"/>
          </w:tcPr>
          <w:p>
            <w:pPr>
              <w:jc w:val="right"/>
              <w:ind w:right="1401"/>
              <w:spacing w:after="0"/>
              <w:rPr>
                <w:sz w:val="20"/>
                <w:szCs w:val="20"/>
                <w:color w:val="auto"/>
              </w:rPr>
            </w:pPr>
            <w:r>
              <w:rPr>
                <w:rFonts w:ascii="Arial" w:cs="Arial" w:eastAsia="Arial" w:hAnsi="Arial"/>
                <w:sz w:val="20"/>
                <w:szCs w:val="20"/>
                <w:b w:val="1"/>
                <w:bCs w:val="1"/>
                <w:color w:val="auto"/>
              </w:rPr>
              <w:t>December 31, 2019</w:t>
            </w:r>
          </w:p>
        </w:tc>
        <w:tc>
          <w:tcPr>
            <w:tcW w:w="0" w:type="dxa"/>
            <w:vAlign w:val="bottom"/>
          </w:tcPr>
          <w:p>
            <w:pPr>
              <w:spacing w:after="0"/>
              <w:rPr>
                <w:sz w:val="1"/>
                <w:szCs w:val="1"/>
                <w:color w:val="auto"/>
              </w:rPr>
            </w:pPr>
          </w:p>
        </w:tc>
      </w:tr>
      <w:tr>
        <w:trPr>
          <w:trHeight w:val="30"/>
        </w:trPr>
        <w:tc>
          <w:tcPr>
            <w:tcW w:w="65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1"/>
        </w:trPr>
        <w:tc>
          <w:tcPr>
            <w:tcW w:w="65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60" w:type="dxa"/>
            <w:vAlign w:val="bottom"/>
            <w:gridSpan w:val="2"/>
          </w:tcPr>
          <w:p>
            <w:pPr>
              <w:ind w:left="220"/>
              <w:spacing w:after="0"/>
              <w:rPr>
                <w:sz w:val="20"/>
                <w:szCs w:val="20"/>
                <w:color w:val="auto"/>
              </w:rPr>
            </w:pPr>
            <w:r>
              <w:rPr>
                <w:rFonts w:ascii="Arial" w:cs="Arial" w:eastAsia="Arial" w:hAnsi="Arial"/>
                <w:sz w:val="20"/>
                <w:szCs w:val="20"/>
                <w:b w:val="1"/>
                <w:bCs w:val="1"/>
                <w:color w:val="auto"/>
              </w:rPr>
              <w:t>401(k) Plan</w:t>
            </w:r>
          </w:p>
        </w:tc>
        <w:tc>
          <w:tcPr>
            <w:tcW w:w="240" w:type="dxa"/>
            <w:vAlign w:val="bottom"/>
          </w:tcPr>
          <w:p>
            <w:pPr>
              <w:spacing w:after="0"/>
              <w:rPr>
                <w:sz w:val="22"/>
                <w:szCs w:val="22"/>
                <w:color w:val="auto"/>
              </w:rPr>
            </w:pPr>
          </w:p>
        </w:tc>
        <w:tc>
          <w:tcPr>
            <w:tcW w:w="1960" w:type="dxa"/>
            <w:vAlign w:val="bottom"/>
          </w:tcPr>
          <w:p>
            <w:pPr>
              <w:jc w:val="right"/>
              <w:ind w:right="301"/>
              <w:spacing w:after="0"/>
              <w:rPr>
                <w:sz w:val="20"/>
                <w:szCs w:val="20"/>
                <w:color w:val="auto"/>
              </w:rPr>
            </w:pPr>
            <w:r>
              <w:rPr>
                <w:rFonts w:ascii="Arial" w:cs="Arial" w:eastAsia="Arial" w:hAnsi="Arial"/>
                <w:sz w:val="20"/>
                <w:szCs w:val="20"/>
                <w:b w:val="1"/>
                <w:bCs w:val="1"/>
                <w:color w:val="auto"/>
                <w:w w:val="96"/>
              </w:rPr>
              <w:t>Puerto Rico Plan</w:t>
            </w:r>
          </w:p>
        </w:tc>
        <w:tc>
          <w:tcPr>
            <w:tcW w:w="0" w:type="dxa"/>
            <w:vAlign w:val="bottom"/>
          </w:tcPr>
          <w:p>
            <w:pPr>
              <w:spacing w:after="0"/>
              <w:rPr>
                <w:sz w:val="1"/>
                <w:szCs w:val="1"/>
                <w:color w:val="auto"/>
              </w:rPr>
            </w:pPr>
          </w:p>
        </w:tc>
      </w:tr>
      <w:tr>
        <w:trPr>
          <w:trHeight w:val="30"/>
        </w:trPr>
        <w:tc>
          <w:tcPr>
            <w:tcW w:w="6500" w:type="dxa"/>
            <w:vAlign w:val="bottom"/>
            <w:vMerge w:val="restart"/>
          </w:tcPr>
          <w:p>
            <w:pPr>
              <w:spacing w:after="0"/>
              <w:rPr>
                <w:sz w:val="20"/>
                <w:szCs w:val="20"/>
                <w:color w:val="auto"/>
              </w:rPr>
            </w:pPr>
            <w:r>
              <w:rPr>
                <w:rFonts w:ascii="Arial" w:cs="Arial" w:eastAsia="Arial" w:hAnsi="Arial"/>
                <w:sz w:val="20"/>
                <w:szCs w:val="20"/>
                <w:color w:val="auto"/>
              </w:rPr>
              <w:t>Net assets available for benefits at year end, as reported in the</w:t>
            </w:r>
          </w:p>
        </w:tc>
        <w:tc>
          <w:tcPr>
            <w:tcW w:w="3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17"/>
        </w:trPr>
        <w:tc>
          <w:tcPr>
            <w:tcW w:w="650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6500" w:type="dxa"/>
            <w:vAlign w:val="bottom"/>
          </w:tcPr>
          <w:p>
            <w:pPr>
              <w:ind w:left="140"/>
              <w:spacing w:after="0"/>
              <w:rPr>
                <w:sz w:val="20"/>
                <w:szCs w:val="20"/>
                <w:color w:val="auto"/>
              </w:rPr>
            </w:pPr>
            <w:r>
              <w:rPr>
                <w:rFonts w:ascii="Arial" w:cs="Arial" w:eastAsia="Arial" w:hAnsi="Arial"/>
                <w:sz w:val="20"/>
                <w:szCs w:val="20"/>
                <w:color w:val="auto"/>
              </w:rPr>
              <w:t>accompanying financial statements</w:t>
            </w:r>
          </w:p>
        </w:tc>
        <w:tc>
          <w:tcPr>
            <w:tcW w:w="320" w:type="dxa"/>
            <w:vAlign w:val="bottom"/>
          </w:tcPr>
          <w:p>
            <w:pPr>
              <w:jc w:val="right"/>
              <w:ind w:right="121"/>
              <w:spacing w:after="0"/>
              <w:rPr>
                <w:sz w:val="20"/>
                <w:szCs w:val="20"/>
                <w:color w:val="auto"/>
              </w:rPr>
            </w:pPr>
            <w:r>
              <w:rPr>
                <w:rFonts w:ascii="Arial" w:cs="Arial" w:eastAsia="Arial" w:hAnsi="Arial"/>
                <w:sz w:val="20"/>
                <w:szCs w:val="20"/>
                <w:color w:val="auto"/>
                <w:w w:val="71"/>
              </w:rPr>
              <w:t>$</w:t>
            </w:r>
          </w:p>
        </w:tc>
        <w:tc>
          <w:tcPr>
            <w:tcW w:w="1740" w:type="dxa"/>
            <w:vAlign w:val="bottom"/>
          </w:tcPr>
          <w:p>
            <w:pPr>
              <w:jc w:val="right"/>
              <w:ind w:right="61"/>
              <w:spacing w:after="0"/>
              <w:rPr>
                <w:sz w:val="20"/>
                <w:szCs w:val="20"/>
                <w:color w:val="auto"/>
              </w:rPr>
            </w:pPr>
            <w:r>
              <w:rPr>
                <w:rFonts w:ascii="Arial" w:cs="Arial" w:eastAsia="Arial" w:hAnsi="Arial"/>
                <w:sz w:val="20"/>
                <w:szCs w:val="20"/>
                <w:color w:val="auto"/>
              </w:rPr>
              <w:t>7,216,293,877</w:t>
            </w:r>
          </w:p>
        </w:tc>
        <w:tc>
          <w:tcPr>
            <w:tcW w:w="320" w:type="dxa"/>
            <w:vAlign w:val="bottom"/>
          </w:tcPr>
          <w:p>
            <w:pPr>
              <w:spacing w:after="0"/>
              <w:rPr>
                <w:sz w:val="24"/>
                <w:szCs w:val="24"/>
                <w:color w:val="auto"/>
              </w:rPr>
            </w:pPr>
          </w:p>
        </w:tc>
        <w:tc>
          <w:tcPr>
            <w:tcW w:w="240" w:type="dxa"/>
            <w:vAlign w:val="bottom"/>
          </w:tcPr>
          <w:p>
            <w:pPr>
              <w:jc w:val="right"/>
              <w:ind w:right="41"/>
              <w:spacing w:after="0"/>
              <w:rPr>
                <w:sz w:val="20"/>
                <w:szCs w:val="20"/>
                <w:color w:val="auto"/>
              </w:rPr>
            </w:pPr>
            <w:r>
              <w:rPr>
                <w:rFonts w:ascii="Arial" w:cs="Arial" w:eastAsia="Arial" w:hAnsi="Arial"/>
                <w:sz w:val="20"/>
                <w:szCs w:val="20"/>
                <w:color w:val="auto"/>
                <w:w w:val="71"/>
              </w:rPr>
              <w:t>$</w:t>
            </w:r>
          </w:p>
        </w:tc>
        <w:tc>
          <w:tcPr>
            <w:tcW w:w="1960" w:type="dxa"/>
            <w:vAlign w:val="bottom"/>
          </w:tcPr>
          <w:p>
            <w:pPr>
              <w:jc w:val="right"/>
              <w:ind w:right="81"/>
              <w:spacing w:after="0"/>
              <w:rPr>
                <w:sz w:val="20"/>
                <w:szCs w:val="20"/>
                <w:color w:val="auto"/>
              </w:rPr>
            </w:pPr>
            <w:r>
              <w:rPr>
                <w:rFonts w:ascii="Arial" w:cs="Arial" w:eastAsia="Arial" w:hAnsi="Arial"/>
                <w:sz w:val="20"/>
                <w:szCs w:val="20"/>
                <w:color w:val="auto"/>
              </w:rPr>
              <w:t>245,512,702</w:t>
            </w:r>
          </w:p>
        </w:tc>
        <w:tc>
          <w:tcPr>
            <w:tcW w:w="0" w:type="dxa"/>
            <w:vAlign w:val="bottom"/>
          </w:tcPr>
          <w:p>
            <w:pPr>
              <w:spacing w:after="0"/>
              <w:rPr>
                <w:sz w:val="1"/>
                <w:szCs w:val="1"/>
                <w:color w:val="auto"/>
              </w:rPr>
            </w:pPr>
          </w:p>
        </w:tc>
      </w:tr>
      <w:tr>
        <w:trPr>
          <w:trHeight w:val="283"/>
        </w:trPr>
        <w:tc>
          <w:tcPr>
            <w:tcW w:w="6500" w:type="dxa"/>
            <w:vAlign w:val="bottom"/>
          </w:tcPr>
          <w:p>
            <w:pPr>
              <w:spacing w:after="0"/>
              <w:rPr>
                <w:sz w:val="20"/>
                <w:szCs w:val="20"/>
                <w:color w:val="auto"/>
              </w:rPr>
            </w:pPr>
            <w:r>
              <w:rPr>
                <w:rFonts w:ascii="Arial" w:cs="Arial" w:eastAsia="Arial" w:hAnsi="Arial"/>
                <w:sz w:val="20"/>
                <w:szCs w:val="20"/>
                <w:color w:val="auto"/>
              </w:rPr>
              <w:t>Distributions accrued on Form 5500 at year end</w:t>
            </w:r>
          </w:p>
        </w:tc>
        <w:tc>
          <w:tcPr>
            <w:tcW w:w="320" w:type="dxa"/>
            <w:vAlign w:val="bottom"/>
          </w:tcPr>
          <w:p>
            <w:pPr>
              <w:spacing w:after="0"/>
              <w:rPr>
                <w:sz w:val="24"/>
                <w:szCs w:val="24"/>
                <w:color w:val="auto"/>
              </w:rPr>
            </w:pPr>
          </w:p>
        </w:tc>
        <w:tc>
          <w:tcPr>
            <w:tcW w:w="1740" w:type="dxa"/>
            <w:vAlign w:val="bottom"/>
          </w:tcPr>
          <w:p>
            <w:pPr>
              <w:jc w:val="right"/>
              <w:ind w:right="21"/>
              <w:spacing w:after="0"/>
              <w:rPr>
                <w:sz w:val="20"/>
                <w:szCs w:val="20"/>
                <w:color w:val="auto"/>
              </w:rPr>
            </w:pPr>
            <w:r>
              <w:rPr>
                <w:rFonts w:ascii="Arial" w:cs="Arial" w:eastAsia="Arial" w:hAnsi="Arial"/>
                <w:sz w:val="20"/>
                <w:szCs w:val="20"/>
                <w:color w:val="auto"/>
              </w:rPr>
              <w:t>(2,726,758)</w:t>
            </w: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60" w:type="dxa"/>
            <w:vAlign w:val="bottom"/>
          </w:tcPr>
          <w:p>
            <w:pPr>
              <w:jc w:val="right"/>
              <w:ind w:right="21"/>
              <w:spacing w:after="0"/>
              <w:rPr>
                <w:sz w:val="20"/>
                <w:szCs w:val="20"/>
                <w:color w:val="auto"/>
              </w:rPr>
            </w:pPr>
            <w:r>
              <w:rPr>
                <w:rFonts w:ascii="Arial" w:cs="Arial" w:eastAsia="Arial" w:hAnsi="Arial"/>
                <w:sz w:val="20"/>
                <w:szCs w:val="20"/>
                <w:color w:val="auto"/>
              </w:rPr>
              <w:t>(14,084)</w:t>
            </w:r>
          </w:p>
        </w:tc>
        <w:tc>
          <w:tcPr>
            <w:tcW w:w="0" w:type="dxa"/>
            <w:vAlign w:val="bottom"/>
          </w:tcPr>
          <w:p>
            <w:pPr>
              <w:spacing w:after="0"/>
              <w:rPr>
                <w:sz w:val="1"/>
                <w:szCs w:val="1"/>
                <w:color w:val="auto"/>
              </w:rPr>
            </w:pPr>
          </w:p>
        </w:tc>
      </w:tr>
      <w:tr>
        <w:trPr>
          <w:trHeight w:val="23"/>
        </w:trPr>
        <w:tc>
          <w:tcPr>
            <w:tcW w:w="65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6500" w:type="dxa"/>
            <w:vAlign w:val="bottom"/>
          </w:tcPr>
          <w:p>
            <w:pPr>
              <w:spacing w:after="0"/>
              <w:rPr>
                <w:sz w:val="20"/>
                <w:szCs w:val="20"/>
                <w:color w:val="auto"/>
              </w:rPr>
            </w:pPr>
            <w:r>
              <w:rPr>
                <w:rFonts w:ascii="Arial" w:cs="Arial" w:eastAsia="Arial" w:hAnsi="Arial"/>
                <w:sz w:val="20"/>
                <w:szCs w:val="20"/>
                <w:color w:val="auto"/>
              </w:rPr>
              <w:t>Net assets available for benefits per Form 5500</w:t>
            </w:r>
          </w:p>
        </w:tc>
        <w:tc>
          <w:tcPr>
            <w:tcW w:w="320" w:type="dxa"/>
            <w:vAlign w:val="bottom"/>
            <w:tcBorders>
              <w:bottom w:val="single" w:sz="8" w:color="auto"/>
            </w:tcBorders>
          </w:tcPr>
          <w:p>
            <w:pPr>
              <w:jc w:val="right"/>
              <w:ind w:right="121"/>
              <w:spacing w:after="0"/>
              <w:rPr>
                <w:sz w:val="20"/>
                <w:szCs w:val="20"/>
                <w:color w:val="auto"/>
              </w:rPr>
            </w:pPr>
            <w:r>
              <w:rPr>
                <w:rFonts w:ascii="Arial" w:cs="Arial" w:eastAsia="Arial" w:hAnsi="Arial"/>
                <w:sz w:val="20"/>
                <w:szCs w:val="20"/>
                <w:color w:val="auto"/>
                <w:w w:val="71"/>
              </w:rPr>
              <w:t>$</w:t>
            </w:r>
          </w:p>
        </w:tc>
        <w:tc>
          <w:tcPr>
            <w:tcW w:w="1740" w:type="dxa"/>
            <w:vAlign w:val="bottom"/>
            <w:tcBorders>
              <w:bottom w:val="single" w:sz="8" w:color="auto"/>
            </w:tcBorders>
          </w:tcPr>
          <w:p>
            <w:pPr>
              <w:jc w:val="right"/>
              <w:ind w:right="61"/>
              <w:spacing w:after="0"/>
              <w:rPr>
                <w:sz w:val="20"/>
                <w:szCs w:val="20"/>
                <w:color w:val="auto"/>
              </w:rPr>
            </w:pPr>
            <w:r>
              <w:rPr>
                <w:rFonts w:ascii="Arial" w:cs="Arial" w:eastAsia="Arial" w:hAnsi="Arial"/>
                <w:sz w:val="20"/>
                <w:szCs w:val="20"/>
                <w:color w:val="auto"/>
              </w:rPr>
              <w:t>7,213,567,119</w:t>
            </w:r>
          </w:p>
        </w:tc>
        <w:tc>
          <w:tcPr>
            <w:tcW w:w="320" w:type="dxa"/>
            <w:vAlign w:val="bottom"/>
          </w:tcPr>
          <w:p>
            <w:pPr>
              <w:spacing w:after="0"/>
              <w:rPr>
                <w:sz w:val="24"/>
                <w:szCs w:val="24"/>
                <w:color w:val="auto"/>
              </w:rPr>
            </w:pPr>
          </w:p>
        </w:tc>
        <w:tc>
          <w:tcPr>
            <w:tcW w:w="24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w w:val="71"/>
              </w:rPr>
              <w:t>$</w:t>
            </w:r>
          </w:p>
        </w:tc>
        <w:tc>
          <w:tcPr>
            <w:tcW w:w="196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color w:val="auto"/>
              </w:rPr>
              <w:t>245,498,618</w:t>
            </w: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tbl>
      <w:tblPr>
        <w:tblLayout w:type="fixed"/>
        <w:tblInd w:w="100" w:type="dxa"/>
        <w:tblCellMar>
          <w:top w:w="0" w:type="dxa"/>
          <w:left w:w="0" w:type="dxa"/>
          <w:bottom w:w="0" w:type="dxa"/>
          <w:right w:w="0" w:type="dxa"/>
        </w:tblCellMar>
      </w:tblPr>
      <w:tr>
        <w:trPr>
          <w:trHeight w:val="256"/>
        </w:trPr>
        <w:tc>
          <w:tcPr>
            <w:tcW w:w="65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260" w:type="dxa"/>
            <w:vAlign w:val="bottom"/>
            <w:gridSpan w:val="4"/>
          </w:tcPr>
          <w:p>
            <w:pPr>
              <w:jc w:val="right"/>
              <w:ind w:right="1401"/>
              <w:spacing w:after="0"/>
              <w:rPr>
                <w:sz w:val="20"/>
                <w:szCs w:val="20"/>
                <w:color w:val="auto"/>
              </w:rPr>
            </w:pPr>
            <w:r>
              <w:rPr>
                <w:rFonts w:ascii="Arial" w:cs="Arial" w:eastAsia="Arial" w:hAnsi="Arial"/>
                <w:sz w:val="20"/>
                <w:szCs w:val="20"/>
                <w:b w:val="1"/>
                <w:bCs w:val="1"/>
                <w:color w:val="auto"/>
              </w:rPr>
              <w:t>December 31, 2018</w:t>
            </w:r>
          </w:p>
        </w:tc>
        <w:tc>
          <w:tcPr>
            <w:tcW w:w="0" w:type="dxa"/>
            <w:vAlign w:val="bottom"/>
          </w:tcPr>
          <w:p>
            <w:pPr>
              <w:spacing w:after="0"/>
              <w:rPr>
                <w:sz w:val="1"/>
                <w:szCs w:val="1"/>
                <w:color w:val="auto"/>
              </w:rPr>
            </w:pPr>
          </w:p>
        </w:tc>
      </w:tr>
      <w:tr>
        <w:trPr>
          <w:trHeight w:val="30"/>
        </w:trPr>
        <w:tc>
          <w:tcPr>
            <w:tcW w:w="65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0"/>
        </w:trPr>
        <w:tc>
          <w:tcPr>
            <w:tcW w:w="65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60" w:type="dxa"/>
            <w:vAlign w:val="bottom"/>
            <w:gridSpan w:val="2"/>
          </w:tcPr>
          <w:p>
            <w:pPr>
              <w:ind w:left="220"/>
              <w:spacing w:after="0"/>
              <w:rPr>
                <w:sz w:val="20"/>
                <w:szCs w:val="20"/>
                <w:color w:val="auto"/>
              </w:rPr>
            </w:pPr>
            <w:r>
              <w:rPr>
                <w:rFonts w:ascii="Arial" w:cs="Arial" w:eastAsia="Arial" w:hAnsi="Arial"/>
                <w:sz w:val="20"/>
                <w:szCs w:val="20"/>
                <w:b w:val="1"/>
                <w:bCs w:val="1"/>
                <w:color w:val="auto"/>
              </w:rPr>
              <w:t>401(k) Plan</w:t>
            </w:r>
          </w:p>
        </w:tc>
        <w:tc>
          <w:tcPr>
            <w:tcW w:w="240" w:type="dxa"/>
            <w:vAlign w:val="bottom"/>
          </w:tcPr>
          <w:p>
            <w:pPr>
              <w:spacing w:after="0"/>
              <w:rPr>
                <w:sz w:val="22"/>
                <w:szCs w:val="22"/>
                <w:color w:val="auto"/>
              </w:rPr>
            </w:pPr>
          </w:p>
        </w:tc>
        <w:tc>
          <w:tcPr>
            <w:tcW w:w="1960" w:type="dxa"/>
            <w:vAlign w:val="bottom"/>
          </w:tcPr>
          <w:p>
            <w:pPr>
              <w:jc w:val="right"/>
              <w:ind w:right="301"/>
              <w:spacing w:after="0"/>
              <w:rPr>
                <w:sz w:val="20"/>
                <w:szCs w:val="20"/>
                <w:color w:val="auto"/>
              </w:rPr>
            </w:pPr>
            <w:r>
              <w:rPr>
                <w:rFonts w:ascii="Arial" w:cs="Arial" w:eastAsia="Arial" w:hAnsi="Arial"/>
                <w:sz w:val="20"/>
                <w:szCs w:val="20"/>
                <w:b w:val="1"/>
                <w:bCs w:val="1"/>
                <w:color w:val="auto"/>
                <w:w w:val="96"/>
              </w:rPr>
              <w:t>Puerto Rico Plan</w:t>
            </w:r>
          </w:p>
        </w:tc>
        <w:tc>
          <w:tcPr>
            <w:tcW w:w="0" w:type="dxa"/>
            <w:vAlign w:val="bottom"/>
          </w:tcPr>
          <w:p>
            <w:pPr>
              <w:spacing w:after="0"/>
              <w:rPr>
                <w:sz w:val="1"/>
                <w:szCs w:val="1"/>
                <w:color w:val="auto"/>
              </w:rPr>
            </w:pPr>
          </w:p>
        </w:tc>
      </w:tr>
      <w:tr>
        <w:trPr>
          <w:trHeight w:val="30"/>
        </w:trPr>
        <w:tc>
          <w:tcPr>
            <w:tcW w:w="6500" w:type="dxa"/>
            <w:vAlign w:val="bottom"/>
            <w:vMerge w:val="restart"/>
          </w:tcPr>
          <w:p>
            <w:pPr>
              <w:spacing w:after="0"/>
              <w:rPr>
                <w:sz w:val="20"/>
                <w:szCs w:val="20"/>
                <w:color w:val="auto"/>
              </w:rPr>
            </w:pPr>
            <w:r>
              <w:rPr>
                <w:rFonts w:ascii="Arial" w:cs="Arial" w:eastAsia="Arial" w:hAnsi="Arial"/>
                <w:sz w:val="20"/>
                <w:szCs w:val="20"/>
                <w:color w:val="auto"/>
              </w:rPr>
              <w:t>Net assets available for benefits at year end, as reported in the</w:t>
            </w:r>
          </w:p>
        </w:tc>
        <w:tc>
          <w:tcPr>
            <w:tcW w:w="3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17"/>
        </w:trPr>
        <w:tc>
          <w:tcPr>
            <w:tcW w:w="650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6500" w:type="dxa"/>
            <w:vAlign w:val="bottom"/>
          </w:tcPr>
          <w:p>
            <w:pPr>
              <w:ind w:left="140"/>
              <w:spacing w:after="0"/>
              <w:rPr>
                <w:sz w:val="20"/>
                <w:szCs w:val="20"/>
                <w:color w:val="auto"/>
              </w:rPr>
            </w:pPr>
            <w:r>
              <w:rPr>
                <w:rFonts w:ascii="Arial" w:cs="Arial" w:eastAsia="Arial" w:hAnsi="Arial"/>
                <w:sz w:val="20"/>
                <w:szCs w:val="20"/>
                <w:color w:val="auto"/>
              </w:rPr>
              <w:t>accompanying financial statements</w:t>
            </w:r>
          </w:p>
        </w:tc>
        <w:tc>
          <w:tcPr>
            <w:tcW w:w="320" w:type="dxa"/>
            <w:vAlign w:val="bottom"/>
          </w:tcPr>
          <w:p>
            <w:pPr>
              <w:jc w:val="right"/>
              <w:ind w:right="121"/>
              <w:spacing w:after="0"/>
              <w:rPr>
                <w:sz w:val="20"/>
                <w:szCs w:val="20"/>
                <w:color w:val="auto"/>
              </w:rPr>
            </w:pPr>
            <w:r>
              <w:rPr>
                <w:rFonts w:ascii="Arial" w:cs="Arial" w:eastAsia="Arial" w:hAnsi="Arial"/>
                <w:sz w:val="20"/>
                <w:szCs w:val="20"/>
                <w:color w:val="auto"/>
                <w:w w:val="71"/>
              </w:rPr>
              <w:t>$</w:t>
            </w:r>
          </w:p>
        </w:tc>
        <w:tc>
          <w:tcPr>
            <w:tcW w:w="1740" w:type="dxa"/>
            <w:vAlign w:val="bottom"/>
          </w:tcPr>
          <w:p>
            <w:pPr>
              <w:jc w:val="right"/>
              <w:ind w:right="61"/>
              <w:spacing w:after="0"/>
              <w:rPr>
                <w:sz w:val="20"/>
                <w:szCs w:val="20"/>
                <w:color w:val="auto"/>
              </w:rPr>
            </w:pPr>
            <w:r>
              <w:rPr>
                <w:rFonts w:ascii="Arial" w:cs="Arial" w:eastAsia="Arial" w:hAnsi="Arial"/>
                <w:sz w:val="20"/>
                <w:szCs w:val="20"/>
                <w:color w:val="auto"/>
              </w:rPr>
              <w:t>6,395,372,807</w:t>
            </w:r>
          </w:p>
        </w:tc>
        <w:tc>
          <w:tcPr>
            <w:tcW w:w="320" w:type="dxa"/>
            <w:vAlign w:val="bottom"/>
          </w:tcPr>
          <w:p>
            <w:pPr>
              <w:spacing w:after="0"/>
              <w:rPr>
                <w:sz w:val="24"/>
                <w:szCs w:val="24"/>
                <w:color w:val="auto"/>
              </w:rPr>
            </w:pPr>
          </w:p>
        </w:tc>
        <w:tc>
          <w:tcPr>
            <w:tcW w:w="240" w:type="dxa"/>
            <w:vAlign w:val="bottom"/>
          </w:tcPr>
          <w:p>
            <w:pPr>
              <w:jc w:val="right"/>
              <w:ind w:right="41"/>
              <w:spacing w:after="0"/>
              <w:rPr>
                <w:sz w:val="20"/>
                <w:szCs w:val="20"/>
                <w:color w:val="auto"/>
              </w:rPr>
            </w:pPr>
            <w:r>
              <w:rPr>
                <w:rFonts w:ascii="Arial" w:cs="Arial" w:eastAsia="Arial" w:hAnsi="Arial"/>
                <w:sz w:val="20"/>
                <w:szCs w:val="20"/>
                <w:color w:val="auto"/>
                <w:w w:val="71"/>
              </w:rPr>
              <w:t>$</w:t>
            </w:r>
          </w:p>
        </w:tc>
        <w:tc>
          <w:tcPr>
            <w:tcW w:w="1960" w:type="dxa"/>
            <w:vAlign w:val="bottom"/>
          </w:tcPr>
          <w:p>
            <w:pPr>
              <w:jc w:val="right"/>
              <w:ind w:right="81"/>
              <w:spacing w:after="0"/>
              <w:rPr>
                <w:sz w:val="20"/>
                <w:szCs w:val="20"/>
                <w:color w:val="auto"/>
              </w:rPr>
            </w:pPr>
            <w:r>
              <w:rPr>
                <w:rFonts w:ascii="Arial" w:cs="Arial" w:eastAsia="Arial" w:hAnsi="Arial"/>
                <w:sz w:val="20"/>
                <w:szCs w:val="20"/>
                <w:color w:val="auto"/>
              </w:rPr>
              <w:t>204,143,191</w:t>
            </w:r>
          </w:p>
        </w:tc>
        <w:tc>
          <w:tcPr>
            <w:tcW w:w="0" w:type="dxa"/>
            <w:vAlign w:val="bottom"/>
          </w:tcPr>
          <w:p>
            <w:pPr>
              <w:spacing w:after="0"/>
              <w:rPr>
                <w:sz w:val="1"/>
                <w:szCs w:val="1"/>
                <w:color w:val="auto"/>
              </w:rPr>
            </w:pPr>
          </w:p>
        </w:tc>
      </w:tr>
      <w:tr>
        <w:trPr>
          <w:trHeight w:val="283"/>
        </w:trPr>
        <w:tc>
          <w:tcPr>
            <w:tcW w:w="6500" w:type="dxa"/>
            <w:vAlign w:val="bottom"/>
          </w:tcPr>
          <w:p>
            <w:pPr>
              <w:spacing w:after="0"/>
              <w:rPr>
                <w:sz w:val="20"/>
                <w:szCs w:val="20"/>
                <w:color w:val="auto"/>
              </w:rPr>
            </w:pPr>
            <w:r>
              <w:rPr>
                <w:rFonts w:ascii="Arial" w:cs="Arial" w:eastAsia="Arial" w:hAnsi="Arial"/>
                <w:sz w:val="20"/>
                <w:szCs w:val="20"/>
                <w:color w:val="auto"/>
              </w:rPr>
              <w:t>Distributions accrued on Form 5500 at year end</w:t>
            </w:r>
          </w:p>
        </w:tc>
        <w:tc>
          <w:tcPr>
            <w:tcW w:w="320" w:type="dxa"/>
            <w:vAlign w:val="bottom"/>
          </w:tcPr>
          <w:p>
            <w:pPr>
              <w:spacing w:after="0"/>
              <w:rPr>
                <w:sz w:val="24"/>
                <w:szCs w:val="24"/>
                <w:color w:val="auto"/>
              </w:rPr>
            </w:pPr>
          </w:p>
        </w:tc>
        <w:tc>
          <w:tcPr>
            <w:tcW w:w="1740" w:type="dxa"/>
            <w:vAlign w:val="bottom"/>
          </w:tcPr>
          <w:p>
            <w:pPr>
              <w:jc w:val="right"/>
              <w:ind w:right="21"/>
              <w:spacing w:after="0"/>
              <w:rPr>
                <w:sz w:val="20"/>
                <w:szCs w:val="20"/>
                <w:color w:val="auto"/>
              </w:rPr>
            </w:pPr>
            <w:r>
              <w:rPr>
                <w:rFonts w:ascii="Arial" w:cs="Arial" w:eastAsia="Arial" w:hAnsi="Arial"/>
                <w:sz w:val="20"/>
                <w:szCs w:val="20"/>
                <w:color w:val="auto"/>
              </w:rPr>
              <w:t>(1,551,601)</w:t>
            </w: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60" w:type="dxa"/>
            <w:vAlign w:val="bottom"/>
          </w:tcPr>
          <w:p>
            <w:pPr>
              <w:jc w:val="right"/>
              <w:ind w:right="21"/>
              <w:spacing w:after="0"/>
              <w:rPr>
                <w:sz w:val="20"/>
                <w:szCs w:val="20"/>
                <w:color w:val="auto"/>
              </w:rPr>
            </w:pPr>
            <w:r>
              <w:rPr>
                <w:rFonts w:ascii="Arial" w:cs="Arial" w:eastAsia="Arial" w:hAnsi="Arial"/>
                <w:sz w:val="20"/>
                <w:szCs w:val="20"/>
                <w:color w:val="auto"/>
              </w:rPr>
              <w:t>(66,853)</w:t>
            </w:r>
          </w:p>
        </w:tc>
        <w:tc>
          <w:tcPr>
            <w:tcW w:w="0" w:type="dxa"/>
            <w:vAlign w:val="bottom"/>
          </w:tcPr>
          <w:p>
            <w:pPr>
              <w:spacing w:after="0"/>
              <w:rPr>
                <w:sz w:val="1"/>
                <w:szCs w:val="1"/>
                <w:color w:val="auto"/>
              </w:rPr>
            </w:pPr>
          </w:p>
        </w:tc>
      </w:tr>
      <w:tr>
        <w:trPr>
          <w:trHeight w:val="23"/>
        </w:trPr>
        <w:tc>
          <w:tcPr>
            <w:tcW w:w="65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6500" w:type="dxa"/>
            <w:vAlign w:val="bottom"/>
          </w:tcPr>
          <w:p>
            <w:pPr>
              <w:spacing w:after="0"/>
              <w:rPr>
                <w:sz w:val="20"/>
                <w:szCs w:val="20"/>
                <w:color w:val="auto"/>
              </w:rPr>
            </w:pPr>
            <w:r>
              <w:rPr>
                <w:rFonts w:ascii="Arial" w:cs="Arial" w:eastAsia="Arial" w:hAnsi="Arial"/>
                <w:sz w:val="20"/>
                <w:szCs w:val="20"/>
                <w:color w:val="auto"/>
              </w:rPr>
              <w:t>Net assets available for benefits per Form 5500</w:t>
            </w:r>
          </w:p>
        </w:tc>
        <w:tc>
          <w:tcPr>
            <w:tcW w:w="320" w:type="dxa"/>
            <w:vAlign w:val="bottom"/>
            <w:tcBorders>
              <w:bottom w:val="single" w:sz="8" w:color="auto"/>
            </w:tcBorders>
          </w:tcPr>
          <w:p>
            <w:pPr>
              <w:jc w:val="right"/>
              <w:ind w:right="121"/>
              <w:spacing w:after="0"/>
              <w:rPr>
                <w:sz w:val="20"/>
                <w:szCs w:val="20"/>
                <w:color w:val="auto"/>
              </w:rPr>
            </w:pPr>
            <w:r>
              <w:rPr>
                <w:rFonts w:ascii="Arial" w:cs="Arial" w:eastAsia="Arial" w:hAnsi="Arial"/>
                <w:sz w:val="20"/>
                <w:szCs w:val="20"/>
                <w:color w:val="auto"/>
                <w:w w:val="71"/>
              </w:rPr>
              <w:t>$</w:t>
            </w:r>
          </w:p>
        </w:tc>
        <w:tc>
          <w:tcPr>
            <w:tcW w:w="1740" w:type="dxa"/>
            <w:vAlign w:val="bottom"/>
            <w:tcBorders>
              <w:bottom w:val="single" w:sz="8" w:color="auto"/>
            </w:tcBorders>
          </w:tcPr>
          <w:p>
            <w:pPr>
              <w:jc w:val="right"/>
              <w:ind w:right="61"/>
              <w:spacing w:after="0"/>
              <w:rPr>
                <w:sz w:val="20"/>
                <w:szCs w:val="20"/>
                <w:color w:val="auto"/>
              </w:rPr>
            </w:pPr>
            <w:r>
              <w:rPr>
                <w:rFonts w:ascii="Arial" w:cs="Arial" w:eastAsia="Arial" w:hAnsi="Arial"/>
                <w:sz w:val="20"/>
                <w:szCs w:val="20"/>
                <w:color w:val="auto"/>
              </w:rPr>
              <w:t>6,393,821,206</w:t>
            </w:r>
          </w:p>
        </w:tc>
        <w:tc>
          <w:tcPr>
            <w:tcW w:w="320" w:type="dxa"/>
            <w:vAlign w:val="bottom"/>
          </w:tcPr>
          <w:p>
            <w:pPr>
              <w:spacing w:after="0"/>
              <w:rPr>
                <w:sz w:val="24"/>
                <w:szCs w:val="24"/>
                <w:color w:val="auto"/>
              </w:rPr>
            </w:pPr>
          </w:p>
        </w:tc>
        <w:tc>
          <w:tcPr>
            <w:tcW w:w="24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w w:val="71"/>
              </w:rPr>
              <w:t>$</w:t>
            </w:r>
          </w:p>
        </w:tc>
        <w:tc>
          <w:tcPr>
            <w:tcW w:w="196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color w:val="auto"/>
              </w:rPr>
              <w:t>204,076,338</w:t>
            </w: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3" w:lineRule="exact"/>
        <w:rPr>
          <w:sz w:val="20"/>
          <w:szCs w:val="20"/>
          <w:color w:val="auto"/>
        </w:rPr>
      </w:pPr>
    </w:p>
    <w:tbl>
      <w:tblPr>
        <w:tblLayout w:type="fixed"/>
        <w:tblInd w:w="20" w:type="dxa"/>
        <w:tblCellMar>
          <w:top w:w="0" w:type="dxa"/>
          <w:left w:w="0" w:type="dxa"/>
          <w:bottom w:w="0" w:type="dxa"/>
          <w:right w:w="0" w:type="dxa"/>
        </w:tblCellMar>
      </w:tblPr>
      <w:tr>
        <w:trPr>
          <w:trHeight w:val="256"/>
        </w:trPr>
        <w:tc>
          <w:tcPr>
            <w:tcW w:w="68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60" w:type="dxa"/>
            <w:vAlign w:val="bottom"/>
            <w:gridSpan w:val="4"/>
          </w:tcPr>
          <w:p>
            <w:pPr>
              <w:jc w:val="right"/>
              <w:ind w:right="781"/>
              <w:spacing w:after="0"/>
              <w:rPr>
                <w:sz w:val="20"/>
                <w:szCs w:val="20"/>
                <w:color w:val="auto"/>
              </w:rPr>
            </w:pPr>
            <w:r>
              <w:rPr>
                <w:rFonts w:ascii="Arial" w:cs="Arial" w:eastAsia="Arial" w:hAnsi="Arial"/>
                <w:sz w:val="20"/>
                <w:szCs w:val="20"/>
                <w:b w:val="1"/>
                <w:bCs w:val="1"/>
                <w:color w:val="auto"/>
              </w:rPr>
              <w:t>Year Ended December 31, 2019</w:t>
            </w:r>
          </w:p>
        </w:tc>
        <w:tc>
          <w:tcPr>
            <w:tcW w:w="0" w:type="dxa"/>
            <w:vAlign w:val="bottom"/>
          </w:tcPr>
          <w:p>
            <w:pPr>
              <w:spacing w:after="0"/>
              <w:rPr>
                <w:sz w:val="1"/>
                <w:szCs w:val="1"/>
                <w:color w:val="auto"/>
              </w:rPr>
            </w:pPr>
          </w:p>
        </w:tc>
      </w:tr>
      <w:tr>
        <w:trPr>
          <w:trHeight w:val="30"/>
        </w:trPr>
        <w:tc>
          <w:tcPr>
            <w:tcW w:w="68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0"/>
        </w:trPr>
        <w:tc>
          <w:tcPr>
            <w:tcW w:w="68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120" w:type="dxa"/>
            <w:vAlign w:val="bottom"/>
            <w:gridSpan w:val="2"/>
          </w:tcPr>
          <w:p>
            <w:pPr>
              <w:ind w:left="240"/>
              <w:spacing w:after="0"/>
              <w:rPr>
                <w:sz w:val="20"/>
                <w:szCs w:val="20"/>
                <w:color w:val="auto"/>
              </w:rPr>
            </w:pPr>
            <w:r>
              <w:rPr>
                <w:rFonts w:ascii="Arial" w:cs="Arial" w:eastAsia="Arial" w:hAnsi="Arial"/>
                <w:sz w:val="20"/>
                <w:szCs w:val="20"/>
                <w:b w:val="1"/>
                <w:bCs w:val="1"/>
                <w:color w:val="auto"/>
              </w:rPr>
              <w:t>401(k) Plan</w:t>
            </w:r>
          </w:p>
        </w:tc>
        <w:tc>
          <w:tcPr>
            <w:tcW w:w="200" w:type="dxa"/>
            <w:vAlign w:val="bottom"/>
          </w:tcPr>
          <w:p>
            <w:pPr>
              <w:spacing w:after="0"/>
              <w:rPr>
                <w:sz w:val="22"/>
                <w:szCs w:val="22"/>
                <w:color w:val="auto"/>
              </w:rPr>
            </w:pPr>
          </w:p>
        </w:tc>
        <w:tc>
          <w:tcPr>
            <w:tcW w:w="1740" w:type="dxa"/>
            <w:vAlign w:val="bottom"/>
          </w:tcPr>
          <w:p>
            <w:pPr>
              <w:jc w:val="right"/>
              <w:ind w:right="141"/>
              <w:spacing w:after="0"/>
              <w:rPr>
                <w:sz w:val="20"/>
                <w:szCs w:val="20"/>
                <w:color w:val="auto"/>
              </w:rPr>
            </w:pPr>
            <w:r>
              <w:rPr>
                <w:rFonts w:ascii="Arial" w:cs="Arial" w:eastAsia="Arial" w:hAnsi="Arial"/>
                <w:sz w:val="20"/>
                <w:szCs w:val="20"/>
                <w:b w:val="1"/>
                <w:bCs w:val="1"/>
                <w:color w:val="auto"/>
                <w:w w:val="92"/>
              </w:rPr>
              <w:t>Puerto Rico Plan</w:t>
            </w:r>
          </w:p>
        </w:tc>
        <w:tc>
          <w:tcPr>
            <w:tcW w:w="0" w:type="dxa"/>
            <w:vAlign w:val="bottom"/>
          </w:tcPr>
          <w:p>
            <w:pPr>
              <w:spacing w:after="0"/>
              <w:rPr>
                <w:sz w:val="1"/>
                <w:szCs w:val="1"/>
                <w:color w:val="auto"/>
              </w:rPr>
            </w:pPr>
          </w:p>
        </w:tc>
      </w:tr>
      <w:tr>
        <w:trPr>
          <w:trHeight w:val="30"/>
        </w:trPr>
        <w:tc>
          <w:tcPr>
            <w:tcW w:w="6820" w:type="dxa"/>
            <w:vAlign w:val="bottom"/>
            <w:vMerge w:val="restart"/>
          </w:tcPr>
          <w:p>
            <w:pPr>
              <w:spacing w:after="0"/>
              <w:rPr>
                <w:sz w:val="20"/>
                <w:szCs w:val="20"/>
                <w:color w:val="auto"/>
              </w:rPr>
            </w:pPr>
            <w:r>
              <w:rPr>
                <w:rFonts w:ascii="Arial" w:cs="Arial" w:eastAsia="Arial" w:hAnsi="Arial"/>
                <w:sz w:val="20"/>
                <w:szCs w:val="20"/>
                <w:color w:val="auto"/>
              </w:rPr>
              <w:t>Net increase in net assets available for benefits, as</w:t>
            </w:r>
          </w:p>
        </w:tc>
        <w:tc>
          <w:tcPr>
            <w:tcW w:w="3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45"/>
        </w:trPr>
        <w:tc>
          <w:tcPr>
            <w:tcW w:w="6820" w:type="dxa"/>
            <w:vAlign w:val="bottom"/>
            <w:vMerge w:val="continue"/>
          </w:tcPr>
          <w:p>
            <w:pPr>
              <w:spacing w:after="0"/>
              <w:rPr>
                <w:sz w:val="24"/>
                <w:szCs w:val="24"/>
                <w:color w:val="auto"/>
              </w:rPr>
            </w:pPr>
          </w:p>
        </w:tc>
        <w:tc>
          <w:tcPr>
            <w:tcW w:w="340" w:type="dxa"/>
            <w:vAlign w:val="bottom"/>
            <w:vMerge w:val="restart"/>
          </w:tcPr>
          <w:p>
            <w:pPr>
              <w:jc w:val="right"/>
              <w:ind w:right="121"/>
              <w:spacing w:after="0"/>
              <w:rPr>
                <w:sz w:val="20"/>
                <w:szCs w:val="20"/>
                <w:color w:val="auto"/>
              </w:rPr>
            </w:pPr>
            <w:r>
              <w:rPr>
                <w:rFonts w:ascii="Arial" w:cs="Arial" w:eastAsia="Arial" w:hAnsi="Arial"/>
                <w:sz w:val="20"/>
                <w:szCs w:val="20"/>
                <w:color w:val="auto"/>
                <w:w w:val="89"/>
              </w:rPr>
              <w:t>$</w:t>
            </w:r>
          </w:p>
        </w:tc>
        <w:tc>
          <w:tcPr>
            <w:tcW w:w="1800" w:type="dxa"/>
            <w:vAlign w:val="bottom"/>
            <w:vMerge w:val="restart"/>
          </w:tcPr>
          <w:p>
            <w:pPr>
              <w:jc w:val="right"/>
              <w:ind w:right="61"/>
              <w:spacing w:after="0"/>
              <w:rPr>
                <w:sz w:val="20"/>
                <w:szCs w:val="20"/>
                <w:color w:val="auto"/>
              </w:rPr>
            </w:pPr>
            <w:r>
              <w:rPr>
                <w:rFonts w:ascii="Arial" w:cs="Arial" w:eastAsia="Arial" w:hAnsi="Arial"/>
                <w:sz w:val="20"/>
                <w:szCs w:val="20"/>
                <w:color w:val="auto"/>
              </w:rPr>
              <w:t>820,921,070</w:t>
            </w:r>
          </w:p>
        </w:tc>
        <w:tc>
          <w:tcPr>
            <w:tcW w:w="320" w:type="dxa"/>
            <w:vAlign w:val="bottom"/>
          </w:tcPr>
          <w:p>
            <w:pPr>
              <w:spacing w:after="0"/>
              <w:rPr>
                <w:sz w:val="24"/>
                <w:szCs w:val="24"/>
                <w:color w:val="auto"/>
              </w:rPr>
            </w:pPr>
          </w:p>
        </w:tc>
        <w:tc>
          <w:tcPr>
            <w:tcW w:w="200" w:type="dxa"/>
            <w:vAlign w:val="bottom"/>
            <w:vMerge w:val="restart"/>
          </w:tcPr>
          <w:p>
            <w:pPr>
              <w:jc w:val="right"/>
              <w:spacing w:after="0"/>
              <w:rPr>
                <w:sz w:val="20"/>
                <w:szCs w:val="20"/>
                <w:color w:val="auto"/>
              </w:rPr>
            </w:pPr>
            <w:r>
              <w:rPr>
                <w:rFonts w:ascii="Arial" w:cs="Arial" w:eastAsia="Arial" w:hAnsi="Arial"/>
                <w:sz w:val="20"/>
                <w:szCs w:val="20"/>
                <w:color w:val="auto"/>
                <w:w w:val="89"/>
              </w:rPr>
              <w:t>$</w:t>
            </w:r>
          </w:p>
        </w:tc>
        <w:tc>
          <w:tcPr>
            <w:tcW w:w="1740" w:type="dxa"/>
            <w:vAlign w:val="bottom"/>
            <w:vMerge w:val="restart"/>
          </w:tcPr>
          <w:p>
            <w:pPr>
              <w:jc w:val="right"/>
              <w:ind w:right="61"/>
              <w:spacing w:after="0"/>
              <w:rPr>
                <w:sz w:val="20"/>
                <w:szCs w:val="20"/>
                <w:color w:val="auto"/>
              </w:rPr>
            </w:pPr>
            <w:r>
              <w:rPr>
                <w:rFonts w:ascii="Arial" w:cs="Arial" w:eastAsia="Arial" w:hAnsi="Arial"/>
                <w:sz w:val="20"/>
                <w:szCs w:val="20"/>
                <w:color w:val="auto"/>
              </w:rPr>
              <w:t>41,369,511</w:t>
            </w:r>
          </w:p>
        </w:tc>
        <w:tc>
          <w:tcPr>
            <w:tcW w:w="0" w:type="dxa"/>
            <w:vAlign w:val="bottom"/>
          </w:tcPr>
          <w:p>
            <w:pPr>
              <w:spacing w:after="0"/>
              <w:rPr>
                <w:sz w:val="1"/>
                <w:szCs w:val="1"/>
                <w:color w:val="auto"/>
              </w:rPr>
            </w:pPr>
          </w:p>
        </w:tc>
      </w:tr>
      <w:tr>
        <w:trPr>
          <w:trHeight w:val="250"/>
        </w:trPr>
        <w:tc>
          <w:tcPr>
            <w:tcW w:w="6820" w:type="dxa"/>
            <w:vAlign w:val="bottom"/>
          </w:tcPr>
          <w:p>
            <w:pPr>
              <w:ind w:left="160"/>
              <w:spacing w:after="0"/>
              <w:rPr>
                <w:sz w:val="20"/>
                <w:szCs w:val="20"/>
                <w:color w:val="auto"/>
              </w:rPr>
            </w:pPr>
            <w:r>
              <w:rPr>
                <w:rFonts w:ascii="Arial" w:cs="Arial" w:eastAsia="Arial" w:hAnsi="Arial"/>
                <w:sz w:val="20"/>
                <w:szCs w:val="20"/>
                <w:color w:val="auto"/>
              </w:rPr>
              <w:t>reported in the accompanying financial statements</w:t>
            </w:r>
          </w:p>
        </w:tc>
        <w:tc>
          <w:tcPr>
            <w:tcW w:w="340" w:type="dxa"/>
            <w:vAlign w:val="bottom"/>
            <w:vMerge w:val="continue"/>
          </w:tcPr>
          <w:p>
            <w:pPr>
              <w:spacing w:after="0"/>
              <w:rPr>
                <w:sz w:val="21"/>
                <w:szCs w:val="21"/>
                <w:color w:val="auto"/>
              </w:rPr>
            </w:pPr>
          </w:p>
        </w:tc>
        <w:tc>
          <w:tcPr>
            <w:tcW w:w="1800" w:type="dxa"/>
            <w:vAlign w:val="bottom"/>
            <w:vMerge w:val="continue"/>
          </w:tcPr>
          <w:p>
            <w:pPr>
              <w:spacing w:after="0"/>
              <w:rPr>
                <w:sz w:val="21"/>
                <w:szCs w:val="21"/>
                <w:color w:val="auto"/>
              </w:rPr>
            </w:pPr>
          </w:p>
        </w:tc>
        <w:tc>
          <w:tcPr>
            <w:tcW w:w="320" w:type="dxa"/>
            <w:vAlign w:val="bottom"/>
          </w:tcPr>
          <w:p>
            <w:pPr>
              <w:spacing w:after="0"/>
              <w:rPr>
                <w:sz w:val="21"/>
                <w:szCs w:val="21"/>
                <w:color w:val="auto"/>
              </w:rPr>
            </w:pPr>
          </w:p>
        </w:tc>
        <w:tc>
          <w:tcPr>
            <w:tcW w:w="200" w:type="dxa"/>
            <w:vAlign w:val="bottom"/>
            <w:vMerge w:val="continue"/>
          </w:tcPr>
          <w:p>
            <w:pPr>
              <w:spacing w:after="0"/>
              <w:rPr>
                <w:sz w:val="21"/>
                <w:szCs w:val="21"/>
                <w:color w:val="auto"/>
              </w:rPr>
            </w:pPr>
          </w:p>
        </w:tc>
        <w:tc>
          <w:tcPr>
            <w:tcW w:w="17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3"/>
        </w:trPr>
        <w:tc>
          <w:tcPr>
            <w:tcW w:w="6820" w:type="dxa"/>
            <w:vAlign w:val="bottom"/>
          </w:tcPr>
          <w:p>
            <w:pPr>
              <w:spacing w:after="0"/>
              <w:rPr>
                <w:sz w:val="20"/>
                <w:szCs w:val="20"/>
                <w:color w:val="auto"/>
              </w:rPr>
            </w:pPr>
            <w:r>
              <w:rPr>
                <w:rFonts w:ascii="Arial" w:cs="Arial" w:eastAsia="Arial" w:hAnsi="Arial"/>
                <w:sz w:val="20"/>
                <w:szCs w:val="20"/>
                <w:color w:val="auto"/>
              </w:rPr>
              <w:t>Distributions accrued on Form 5500 at December 31, 2019</w:t>
            </w:r>
          </w:p>
        </w:tc>
        <w:tc>
          <w:tcPr>
            <w:tcW w:w="340" w:type="dxa"/>
            <w:vAlign w:val="bottom"/>
          </w:tcPr>
          <w:p>
            <w:pPr>
              <w:spacing w:after="0"/>
              <w:rPr>
                <w:sz w:val="22"/>
                <w:szCs w:val="22"/>
                <w:color w:val="auto"/>
              </w:rPr>
            </w:pPr>
          </w:p>
        </w:tc>
        <w:tc>
          <w:tcPr>
            <w:tcW w:w="1800" w:type="dxa"/>
            <w:vAlign w:val="bottom"/>
          </w:tcPr>
          <w:p>
            <w:pPr>
              <w:jc w:val="right"/>
              <w:ind w:right="21"/>
              <w:spacing w:after="0"/>
              <w:rPr>
                <w:sz w:val="20"/>
                <w:szCs w:val="20"/>
                <w:color w:val="auto"/>
              </w:rPr>
            </w:pPr>
            <w:r>
              <w:rPr>
                <w:rFonts w:ascii="Arial" w:cs="Arial" w:eastAsia="Arial" w:hAnsi="Arial"/>
                <w:sz w:val="20"/>
                <w:szCs w:val="20"/>
                <w:color w:val="auto"/>
              </w:rPr>
              <w:t>(2,726,758)</w:t>
            </w:r>
          </w:p>
        </w:tc>
        <w:tc>
          <w:tcPr>
            <w:tcW w:w="3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740" w:type="dxa"/>
            <w:vAlign w:val="bottom"/>
          </w:tcPr>
          <w:p>
            <w:pPr>
              <w:jc w:val="right"/>
              <w:ind w:right="1"/>
              <w:spacing w:after="0"/>
              <w:rPr>
                <w:sz w:val="20"/>
                <w:szCs w:val="20"/>
                <w:color w:val="auto"/>
              </w:rPr>
            </w:pPr>
            <w:r>
              <w:rPr>
                <w:rFonts w:ascii="Arial" w:cs="Arial" w:eastAsia="Arial" w:hAnsi="Arial"/>
                <w:sz w:val="20"/>
                <w:szCs w:val="20"/>
                <w:color w:val="auto"/>
              </w:rPr>
              <w:t>(14,084)</w:t>
            </w:r>
          </w:p>
        </w:tc>
        <w:tc>
          <w:tcPr>
            <w:tcW w:w="0" w:type="dxa"/>
            <w:vAlign w:val="bottom"/>
          </w:tcPr>
          <w:p>
            <w:pPr>
              <w:spacing w:after="0"/>
              <w:rPr>
                <w:sz w:val="1"/>
                <w:szCs w:val="1"/>
                <w:color w:val="auto"/>
              </w:rPr>
            </w:pPr>
          </w:p>
        </w:tc>
      </w:tr>
      <w:tr>
        <w:trPr>
          <w:trHeight w:val="283"/>
        </w:trPr>
        <w:tc>
          <w:tcPr>
            <w:tcW w:w="6820" w:type="dxa"/>
            <w:vAlign w:val="bottom"/>
          </w:tcPr>
          <w:p>
            <w:pPr>
              <w:spacing w:after="0"/>
              <w:rPr>
                <w:sz w:val="20"/>
                <w:szCs w:val="20"/>
                <w:color w:val="auto"/>
              </w:rPr>
            </w:pPr>
            <w:r>
              <w:rPr>
                <w:rFonts w:ascii="Arial" w:cs="Arial" w:eastAsia="Arial" w:hAnsi="Arial"/>
                <w:sz w:val="20"/>
                <w:szCs w:val="20"/>
                <w:color w:val="auto"/>
              </w:rPr>
              <w:t>Distributions accrued on Form 5500 at December 31, 2018</w:t>
            </w:r>
          </w:p>
        </w:tc>
        <w:tc>
          <w:tcPr>
            <w:tcW w:w="340" w:type="dxa"/>
            <w:vAlign w:val="bottom"/>
          </w:tcPr>
          <w:p>
            <w:pPr>
              <w:spacing w:after="0"/>
              <w:rPr>
                <w:sz w:val="24"/>
                <w:szCs w:val="24"/>
                <w:color w:val="auto"/>
              </w:rPr>
            </w:pPr>
          </w:p>
        </w:tc>
        <w:tc>
          <w:tcPr>
            <w:tcW w:w="1800" w:type="dxa"/>
            <w:vAlign w:val="bottom"/>
          </w:tcPr>
          <w:p>
            <w:pPr>
              <w:jc w:val="right"/>
              <w:ind w:right="61"/>
              <w:spacing w:after="0"/>
              <w:rPr>
                <w:sz w:val="20"/>
                <w:szCs w:val="20"/>
                <w:color w:val="auto"/>
              </w:rPr>
            </w:pPr>
            <w:r>
              <w:rPr>
                <w:rFonts w:ascii="Arial" w:cs="Arial" w:eastAsia="Arial" w:hAnsi="Arial"/>
                <w:sz w:val="20"/>
                <w:szCs w:val="20"/>
                <w:color w:val="auto"/>
              </w:rPr>
              <w:t>1,551,601</w:t>
            </w: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tcPr>
          <w:p>
            <w:pPr>
              <w:jc w:val="right"/>
              <w:ind w:right="61"/>
              <w:spacing w:after="0"/>
              <w:rPr>
                <w:sz w:val="20"/>
                <w:szCs w:val="20"/>
                <w:color w:val="auto"/>
              </w:rPr>
            </w:pPr>
            <w:r>
              <w:rPr>
                <w:rFonts w:ascii="Arial" w:cs="Arial" w:eastAsia="Arial" w:hAnsi="Arial"/>
                <w:sz w:val="20"/>
                <w:szCs w:val="20"/>
                <w:color w:val="auto"/>
              </w:rPr>
              <w:t>66,853</w:t>
            </w:r>
          </w:p>
        </w:tc>
        <w:tc>
          <w:tcPr>
            <w:tcW w:w="0" w:type="dxa"/>
            <w:vAlign w:val="bottom"/>
          </w:tcPr>
          <w:p>
            <w:pPr>
              <w:spacing w:after="0"/>
              <w:rPr>
                <w:sz w:val="1"/>
                <w:szCs w:val="1"/>
                <w:color w:val="auto"/>
              </w:rPr>
            </w:pPr>
          </w:p>
        </w:tc>
      </w:tr>
      <w:tr>
        <w:trPr>
          <w:trHeight w:val="23"/>
        </w:trPr>
        <w:tc>
          <w:tcPr>
            <w:tcW w:w="6820" w:type="dxa"/>
            <w:vAlign w:val="bottom"/>
            <w:vMerge w:val="restart"/>
          </w:tcPr>
          <w:p>
            <w:pPr>
              <w:spacing w:after="0" w:line="212" w:lineRule="exact"/>
              <w:rPr>
                <w:sz w:val="20"/>
                <w:szCs w:val="20"/>
                <w:color w:val="auto"/>
              </w:rPr>
            </w:pPr>
            <w:r>
              <w:rPr>
                <w:rFonts w:ascii="Arial" w:cs="Arial" w:eastAsia="Arial" w:hAnsi="Arial"/>
                <w:sz w:val="20"/>
                <w:szCs w:val="20"/>
                <w:color w:val="auto"/>
              </w:rPr>
              <w:t>Net increase in net assets available for benefits, as</w:t>
            </w:r>
          </w:p>
        </w:tc>
        <w:tc>
          <w:tcPr>
            <w:tcW w:w="3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6820" w:type="dxa"/>
            <w:vAlign w:val="bottom"/>
            <w:vMerge w:val="continue"/>
          </w:tcPr>
          <w:p>
            <w:pPr>
              <w:spacing w:after="0"/>
              <w:rPr>
                <w:sz w:val="14"/>
                <w:szCs w:val="14"/>
                <w:color w:val="auto"/>
              </w:rPr>
            </w:pPr>
          </w:p>
        </w:tc>
        <w:tc>
          <w:tcPr>
            <w:tcW w:w="340" w:type="dxa"/>
            <w:vAlign w:val="bottom"/>
            <w:vMerge w:val="restart"/>
          </w:tcPr>
          <w:p>
            <w:pPr>
              <w:jc w:val="right"/>
              <w:ind w:right="121"/>
              <w:spacing w:after="0"/>
              <w:rPr>
                <w:sz w:val="20"/>
                <w:szCs w:val="20"/>
                <w:color w:val="auto"/>
              </w:rPr>
            </w:pPr>
            <w:r>
              <w:rPr>
                <w:rFonts w:ascii="Arial" w:cs="Arial" w:eastAsia="Arial" w:hAnsi="Arial"/>
                <w:sz w:val="20"/>
                <w:szCs w:val="20"/>
                <w:color w:val="auto"/>
                <w:w w:val="89"/>
              </w:rPr>
              <w:t>$</w:t>
            </w:r>
          </w:p>
        </w:tc>
        <w:tc>
          <w:tcPr>
            <w:tcW w:w="1800" w:type="dxa"/>
            <w:vAlign w:val="bottom"/>
            <w:vMerge w:val="restart"/>
          </w:tcPr>
          <w:p>
            <w:pPr>
              <w:jc w:val="right"/>
              <w:ind w:right="61"/>
              <w:spacing w:after="0"/>
              <w:rPr>
                <w:sz w:val="20"/>
                <w:szCs w:val="20"/>
                <w:color w:val="auto"/>
              </w:rPr>
            </w:pPr>
            <w:r>
              <w:rPr>
                <w:rFonts w:ascii="Arial" w:cs="Arial" w:eastAsia="Arial" w:hAnsi="Arial"/>
                <w:sz w:val="20"/>
                <w:szCs w:val="20"/>
                <w:color w:val="auto"/>
              </w:rPr>
              <w:t>819,745,913</w:t>
            </w:r>
          </w:p>
        </w:tc>
        <w:tc>
          <w:tcPr>
            <w:tcW w:w="320" w:type="dxa"/>
            <w:vAlign w:val="bottom"/>
          </w:tcPr>
          <w:p>
            <w:pPr>
              <w:spacing w:after="0"/>
              <w:rPr>
                <w:sz w:val="14"/>
                <w:szCs w:val="14"/>
                <w:color w:val="auto"/>
              </w:rPr>
            </w:pPr>
          </w:p>
        </w:tc>
        <w:tc>
          <w:tcPr>
            <w:tcW w:w="200" w:type="dxa"/>
            <w:vAlign w:val="bottom"/>
            <w:vMerge w:val="restart"/>
          </w:tcPr>
          <w:p>
            <w:pPr>
              <w:jc w:val="right"/>
              <w:spacing w:after="0"/>
              <w:rPr>
                <w:sz w:val="20"/>
                <w:szCs w:val="20"/>
                <w:color w:val="auto"/>
              </w:rPr>
            </w:pPr>
            <w:r>
              <w:rPr>
                <w:rFonts w:ascii="Arial" w:cs="Arial" w:eastAsia="Arial" w:hAnsi="Arial"/>
                <w:sz w:val="20"/>
                <w:szCs w:val="20"/>
                <w:color w:val="auto"/>
                <w:w w:val="89"/>
              </w:rPr>
              <w:t>$</w:t>
            </w:r>
          </w:p>
        </w:tc>
        <w:tc>
          <w:tcPr>
            <w:tcW w:w="1740" w:type="dxa"/>
            <w:vAlign w:val="bottom"/>
            <w:vMerge w:val="restart"/>
          </w:tcPr>
          <w:p>
            <w:pPr>
              <w:jc w:val="right"/>
              <w:ind w:right="61"/>
              <w:spacing w:after="0"/>
              <w:rPr>
                <w:sz w:val="20"/>
                <w:szCs w:val="20"/>
                <w:color w:val="auto"/>
              </w:rPr>
            </w:pPr>
            <w:r>
              <w:rPr>
                <w:rFonts w:ascii="Arial" w:cs="Arial" w:eastAsia="Arial" w:hAnsi="Arial"/>
                <w:sz w:val="20"/>
                <w:szCs w:val="20"/>
                <w:color w:val="auto"/>
              </w:rPr>
              <w:t>41,422,280</w:t>
            </w:r>
          </w:p>
        </w:tc>
        <w:tc>
          <w:tcPr>
            <w:tcW w:w="0" w:type="dxa"/>
            <w:vAlign w:val="bottom"/>
          </w:tcPr>
          <w:p>
            <w:pPr>
              <w:spacing w:after="0"/>
              <w:rPr>
                <w:sz w:val="1"/>
                <w:szCs w:val="1"/>
                <w:color w:val="auto"/>
              </w:rPr>
            </w:pPr>
          </w:p>
        </w:tc>
      </w:tr>
      <w:tr>
        <w:trPr>
          <w:trHeight w:val="221"/>
        </w:trPr>
        <w:tc>
          <w:tcPr>
            <w:tcW w:w="6820" w:type="dxa"/>
            <w:vAlign w:val="bottom"/>
          </w:tcPr>
          <w:p>
            <w:pPr>
              <w:ind w:left="160"/>
              <w:spacing w:after="0" w:line="216" w:lineRule="exact"/>
              <w:rPr>
                <w:sz w:val="20"/>
                <w:szCs w:val="20"/>
                <w:color w:val="auto"/>
              </w:rPr>
            </w:pPr>
            <w:r>
              <w:rPr>
                <w:rFonts w:ascii="Arial" w:cs="Arial" w:eastAsia="Arial" w:hAnsi="Arial"/>
                <w:sz w:val="20"/>
                <w:szCs w:val="20"/>
                <w:color w:val="auto"/>
              </w:rPr>
              <w:t>reported on the Form 5500</w:t>
            </w:r>
          </w:p>
        </w:tc>
        <w:tc>
          <w:tcPr>
            <w:tcW w:w="340" w:type="dxa"/>
            <w:vAlign w:val="bottom"/>
            <w:tcBorders>
              <w:bottom w:val="single" w:sz="8" w:color="auto"/>
            </w:tcBorders>
            <w:vMerge w:val="continue"/>
          </w:tcPr>
          <w:p>
            <w:pPr>
              <w:spacing w:after="0"/>
              <w:rPr>
                <w:sz w:val="18"/>
                <w:szCs w:val="18"/>
                <w:color w:val="auto"/>
              </w:rPr>
            </w:pPr>
          </w:p>
        </w:tc>
        <w:tc>
          <w:tcPr>
            <w:tcW w:w="1800" w:type="dxa"/>
            <w:vAlign w:val="bottom"/>
            <w:tcBorders>
              <w:bottom w:val="single" w:sz="8" w:color="auto"/>
            </w:tcBorders>
            <w:vMerge w:val="continue"/>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Borders>
              <w:bottom w:val="single" w:sz="8" w:color="auto"/>
            </w:tcBorders>
            <w:vMerge w:val="continue"/>
          </w:tcPr>
          <w:p>
            <w:pPr>
              <w:spacing w:after="0"/>
              <w:rPr>
                <w:sz w:val="18"/>
                <w:szCs w:val="18"/>
                <w:color w:val="auto"/>
              </w:rPr>
            </w:pPr>
          </w:p>
        </w:tc>
        <w:tc>
          <w:tcPr>
            <w:tcW w:w="17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320" w:top="190" w:right="339" w:bottom="1440" w:gutter="0" w:footer="0" w:header="0"/>
        </w:sectPr>
      </w:pPr>
    </w:p>
    <w:bookmarkStart w:id="17" w:name="page18"/>
    <w:bookmarkEnd w:id="17"/>
    <w:p>
      <w:pPr>
        <w:jc w:val="center"/>
        <w:ind w:right="-919"/>
        <w:spacing w:after="0"/>
        <w:rPr>
          <w:sz w:val="20"/>
          <w:szCs w:val="20"/>
          <w:color w:val="auto"/>
        </w:rPr>
      </w:pPr>
      <w:r>
        <w:rPr>
          <w:rFonts w:ascii="Arial" w:cs="Arial" w:eastAsia="Arial" w:hAnsi="Arial"/>
          <w:sz w:val="25"/>
          <w:szCs w:val="25"/>
          <w:color w:val="auto"/>
        </w:rPr>
        <w:t>The Lilly Employee 401(k) Plan and</w:t>
      </w:r>
    </w:p>
    <w:p>
      <w:pPr>
        <w:spacing w:after="0" w:line="145" w:lineRule="exact"/>
        <w:rPr>
          <w:sz w:val="20"/>
          <w:szCs w:val="20"/>
          <w:color w:val="auto"/>
        </w:rPr>
      </w:pPr>
    </w:p>
    <w:p>
      <w:pPr>
        <w:jc w:val="center"/>
        <w:ind w:right="-919"/>
        <w:spacing w:after="0"/>
        <w:rPr>
          <w:sz w:val="20"/>
          <w:szCs w:val="20"/>
          <w:color w:val="auto"/>
        </w:rPr>
      </w:pPr>
      <w:r>
        <w:rPr>
          <w:rFonts w:ascii="Arial" w:cs="Arial" w:eastAsia="Arial" w:hAnsi="Arial"/>
          <w:sz w:val="25"/>
          <w:szCs w:val="25"/>
          <w:color w:val="auto"/>
        </w:rPr>
        <w:t>The Savings Plan for Lilly Affiliate Employees in Puerto Rico</w:t>
      </w:r>
    </w:p>
    <w:p>
      <w:pPr>
        <w:spacing w:after="0" w:line="361" w:lineRule="exact"/>
        <w:rPr>
          <w:sz w:val="20"/>
          <w:szCs w:val="20"/>
          <w:color w:val="auto"/>
        </w:rPr>
      </w:pPr>
    </w:p>
    <w:p>
      <w:pPr>
        <w:jc w:val="center"/>
        <w:ind w:right="-919"/>
        <w:spacing w:after="0"/>
        <w:rPr>
          <w:sz w:val="20"/>
          <w:szCs w:val="20"/>
          <w:color w:val="auto"/>
        </w:rPr>
      </w:pPr>
      <w:r>
        <w:rPr>
          <w:rFonts w:ascii="Arial" w:cs="Arial" w:eastAsia="Arial" w:hAnsi="Arial"/>
          <w:sz w:val="25"/>
          <w:szCs w:val="25"/>
          <w:color w:val="auto"/>
        </w:rPr>
        <w:t>Notes to Financial Statements, cont.</w:t>
      </w:r>
    </w:p>
    <w:p>
      <w:pPr>
        <w:spacing w:after="0" w:line="361" w:lineRule="exact"/>
        <w:rPr>
          <w:sz w:val="20"/>
          <w:szCs w:val="20"/>
          <w:color w:val="auto"/>
        </w:rPr>
      </w:pPr>
    </w:p>
    <w:p>
      <w:pPr>
        <w:ind w:left="4140"/>
        <w:spacing w:after="0"/>
        <w:rPr>
          <w:sz w:val="20"/>
          <w:szCs w:val="20"/>
          <w:color w:val="auto"/>
        </w:rPr>
      </w:pPr>
      <w:r>
        <w:rPr>
          <w:rFonts w:ascii="Arial" w:cs="Arial" w:eastAsia="Arial" w:hAnsi="Arial"/>
          <w:sz w:val="25"/>
          <w:szCs w:val="25"/>
          <w:color w:val="auto"/>
        </w:rPr>
        <w:t>December 31, 2019 and 2018</w:t>
      </w: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9 - Subsequent Events</w:t>
      </w:r>
    </w:p>
    <w:p>
      <w:pPr>
        <w:spacing w:after="0" w:line="253" w:lineRule="exact"/>
        <w:rPr>
          <w:sz w:val="20"/>
          <w:szCs w:val="20"/>
          <w:color w:val="auto"/>
        </w:rPr>
      </w:pPr>
    </w:p>
    <w:p>
      <w:pPr>
        <w:spacing w:after="0"/>
        <w:rPr>
          <w:sz w:val="20"/>
          <w:szCs w:val="20"/>
          <w:color w:val="auto"/>
        </w:rPr>
      </w:pPr>
      <w:r>
        <w:rPr>
          <w:rFonts w:ascii="Arial" w:cs="Arial" w:eastAsia="Arial" w:hAnsi="Arial"/>
          <w:sz w:val="19"/>
          <w:szCs w:val="19"/>
          <w:color w:val="auto"/>
        </w:rPr>
        <w:t>In January 2020, net assets of the Elanco Plan, of approximately $390 million, were transferred out of the Master Trust.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340"/>
          </w:cols>
          <w:pgMar w:left="320" w:top="190" w:right="1239" w:bottom="1440" w:gutter="0" w:footer="0" w:header="0"/>
        </w:sectPr>
      </w:pPr>
    </w:p>
    <w:bookmarkStart w:id="18" w:name="page19"/>
    <w:bookmarkEnd w:id="1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31"/>
          <w:szCs w:val="31"/>
          <w:color w:val="auto"/>
        </w:rPr>
        <w:t>Supplemental Schedules</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9019"/>
          </w:cols>
          <w:pgMar w:left="1440" w:top="1440" w:right="1440" w:bottom="1440" w:gutter="0" w:footer="0" w:header="0"/>
          <w:type w:val="continuous"/>
        </w:sectPr>
      </w:pPr>
    </w:p>
    <w:bookmarkStart w:id="19" w:name="page20"/>
    <w:bookmarkEnd w:id="19"/>
    <w:p>
      <w:pPr>
        <w:jc w:val="center"/>
        <w:ind w:right="20"/>
        <w:spacing w:after="0"/>
        <w:rPr>
          <w:sz w:val="20"/>
          <w:szCs w:val="20"/>
          <w:color w:val="auto"/>
        </w:rPr>
      </w:pPr>
      <w:r>
        <w:rPr>
          <w:rFonts w:ascii="Arial" w:cs="Arial" w:eastAsia="Arial" w:hAnsi="Arial"/>
          <w:sz w:val="25"/>
          <w:szCs w:val="25"/>
          <w:color w:val="auto"/>
        </w:rPr>
        <w:t>The Lilly Employee 401(k) Plan</w:t>
      </w:r>
    </w:p>
    <w:p>
      <w:pPr>
        <w:spacing w:after="0" w:line="334" w:lineRule="exact"/>
        <w:rPr>
          <w:sz w:val="20"/>
          <w:szCs w:val="20"/>
          <w:color w:val="auto"/>
        </w:rPr>
      </w:pPr>
    </w:p>
    <w:p>
      <w:pPr>
        <w:jc w:val="center"/>
        <w:ind w:right="20"/>
        <w:spacing w:after="0"/>
        <w:rPr>
          <w:sz w:val="20"/>
          <w:szCs w:val="20"/>
          <w:color w:val="auto"/>
        </w:rPr>
      </w:pPr>
      <w:r>
        <w:rPr>
          <w:rFonts w:ascii="Arial" w:cs="Arial" w:eastAsia="Arial" w:hAnsi="Arial"/>
          <w:sz w:val="25"/>
          <w:szCs w:val="25"/>
          <w:color w:val="auto"/>
        </w:rPr>
        <w:t>EIN 35-0470950 Plan No. 002</w:t>
      </w:r>
    </w:p>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25"/>
          <w:szCs w:val="25"/>
          <w:color w:val="auto"/>
        </w:rPr>
        <w:t>Schedule H, Line 4i – Schedule of Assets</w:t>
      </w:r>
    </w:p>
    <w:p>
      <w:pPr>
        <w:spacing w:after="0" w:line="172" w:lineRule="exact"/>
        <w:rPr>
          <w:sz w:val="20"/>
          <w:szCs w:val="20"/>
          <w:color w:val="auto"/>
        </w:rPr>
      </w:pPr>
    </w:p>
    <w:p>
      <w:pPr>
        <w:jc w:val="center"/>
        <w:ind w:right="20"/>
        <w:spacing w:after="0"/>
        <w:rPr>
          <w:sz w:val="20"/>
          <w:szCs w:val="20"/>
          <w:color w:val="auto"/>
        </w:rPr>
      </w:pPr>
      <w:r>
        <w:rPr>
          <w:rFonts w:ascii="Arial" w:cs="Arial" w:eastAsia="Arial" w:hAnsi="Arial"/>
          <w:sz w:val="25"/>
          <w:szCs w:val="25"/>
          <w:color w:val="auto"/>
        </w:rPr>
        <w:t>(Held at End of Year)</w:t>
      </w:r>
    </w:p>
    <w:p>
      <w:pPr>
        <w:spacing w:after="0" w:line="388"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December 31,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3460" w:type="dxa"/>
            <w:vAlign w:val="bottom"/>
          </w:tcPr>
          <w:p>
            <w:pPr>
              <w:spacing w:after="0"/>
              <w:rPr>
                <w:sz w:val="22"/>
                <w:szCs w:val="22"/>
                <w:color w:val="auto"/>
              </w:rPr>
            </w:pPr>
          </w:p>
        </w:tc>
        <w:tc>
          <w:tcPr>
            <w:tcW w:w="3080" w:type="dxa"/>
            <w:vAlign w:val="bottom"/>
          </w:tcPr>
          <w:p>
            <w:pPr>
              <w:jc w:val="center"/>
              <w:ind w:left="501"/>
              <w:spacing w:after="0"/>
              <w:rPr>
                <w:sz w:val="20"/>
                <w:szCs w:val="20"/>
                <w:color w:val="auto"/>
              </w:rPr>
            </w:pPr>
            <w:r>
              <w:rPr>
                <w:rFonts w:ascii="Arial" w:cs="Arial" w:eastAsia="Arial" w:hAnsi="Arial"/>
                <w:sz w:val="20"/>
                <w:szCs w:val="20"/>
                <w:b w:val="1"/>
                <w:bCs w:val="1"/>
                <w:color w:val="auto"/>
                <w:w w:val="89"/>
              </w:rPr>
              <w:t>Description of</w:t>
            </w:r>
          </w:p>
        </w:tc>
        <w:tc>
          <w:tcPr>
            <w:tcW w:w="720" w:type="dxa"/>
            <w:vAlign w:val="bottom"/>
          </w:tcPr>
          <w:p>
            <w:pPr>
              <w:spacing w:after="0"/>
              <w:rPr>
                <w:sz w:val="22"/>
                <w:szCs w:val="22"/>
                <w:color w:val="auto"/>
              </w:rPr>
            </w:pPr>
          </w:p>
        </w:tc>
        <w:tc>
          <w:tcPr>
            <w:tcW w:w="1840" w:type="dxa"/>
            <w:vAlign w:val="bottom"/>
          </w:tcPr>
          <w:p>
            <w:pPr>
              <w:spacing w:after="0"/>
              <w:rPr>
                <w:sz w:val="22"/>
                <w:szCs w:val="22"/>
                <w:color w:val="auto"/>
              </w:rPr>
            </w:pPr>
          </w:p>
        </w:tc>
      </w:tr>
      <w:tr>
        <w:trPr>
          <w:trHeight w:val="283"/>
        </w:trPr>
        <w:tc>
          <w:tcPr>
            <w:tcW w:w="3460" w:type="dxa"/>
            <w:vAlign w:val="bottom"/>
          </w:tcPr>
          <w:p>
            <w:pPr>
              <w:spacing w:after="0"/>
              <w:rPr>
                <w:sz w:val="24"/>
                <w:szCs w:val="24"/>
                <w:color w:val="auto"/>
              </w:rPr>
            </w:pPr>
          </w:p>
        </w:tc>
        <w:tc>
          <w:tcPr>
            <w:tcW w:w="3080" w:type="dxa"/>
            <w:vAlign w:val="bottom"/>
          </w:tcPr>
          <w:p>
            <w:pPr>
              <w:jc w:val="center"/>
              <w:ind w:left="501"/>
              <w:spacing w:after="0"/>
              <w:rPr>
                <w:sz w:val="20"/>
                <w:szCs w:val="20"/>
                <w:color w:val="auto"/>
              </w:rPr>
            </w:pPr>
            <w:r>
              <w:rPr>
                <w:rFonts w:ascii="Arial" w:cs="Arial" w:eastAsia="Arial" w:hAnsi="Arial"/>
                <w:sz w:val="20"/>
                <w:szCs w:val="20"/>
                <w:b w:val="1"/>
                <w:bCs w:val="1"/>
                <w:color w:val="auto"/>
                <w:w w:val="89"/>
              </w:rPr>
              <w:t>Investment, including</w:t>
            </w:r>
          </w:p>
        </w:tc>
        <w:tc>
          <w:tcPr>
            <w:tcW w:w="72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283"/>
        </w:trPr>
        <w:tc>
          <w:tcPr>
            <w:tcW w:w="3460" w:type="dxa"/>
            <w:vAlign w:val="bottom"/>
          </w:tcPr>
          <w:p>
            <w:pPr>
              <w:spacing w:after="0"/>
              <w:rPr>
                <w:sz w:val="24"/>
                <w:szCs w:val="24"/>
                <w:color w:val="auto"/>
              </w:rPr>
            </w:pPr>
          </w:p>
        </w:tc>
        <w:tc>
          <w:tcPr>
            <w:tcW w:w="3080" w:type="dxa"/>
            <w:vAlign w:val="bottom"/>
          </w:tcPr>
          <w:p>
            <w:pPr>
              <w:jc w:val="center"/>
              <w:ind w:left="501"/>
              <w:spacing w:after="0"/>
              <w:rPr>
                <w:sz w:val="20"/>
                <w:szCs w:val="20"/>
                <w:color w:val="auto"/>
              </w:rPr>
            </w:pPr>
            <w:r>
              <w:rPr>
                <w:rFonts w:ascii="Arial" w:cs="Arial" w:eastAsia="Arial" w:hAnsi="Arial"/>
                <w:sz w:val="20"/>
                <w:szCs w:val="20"/>
                <w:b w:val="1"/>
                <w:bCs w:val="1"/>
                <w:color w:val="auto"/>
                <w:w w:val="93"/>
              </w:rPr>
              <w:t>Maturity Date, Rate of</w:t>
            </w:r>
          </w:p>
        </w:tc>
        <w:tc>
          <w:tcPr>
            <w:tcW w:w="72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283"/>
        </w:trPr>
        <w:tc>
          <w:tcPr>
            <w:tcW w:w="3460" w:type="dxa"/>
            <w:vAlign w:val="bottom"/>
          </w:tcPr>
          <w:p>
            <w:pPr>
              <w:jc w:val="center"/>
              <w:ind w:left="221"/>
              <w:spacing w:after="0"/>
              <w:rPr>
                <w:sz w:val="20"/>
                <w:szCs w:val="20"/>
                <w:color w:val="auto"/>
              </w:rPr>
            </w:pPr>
            <w:r>
              <w:rPr>
                <w:rFonts w:ascii="Arial" w:cs="Arial" w:eastAsia="Arial" w:hAnsi="Arial"/>
                <w:sz w:val="20"/>
                <w:szCs w:val="20"/>
                <w:b w:val="1"/>
                <w:bCs w:val="1"/>
                <w:color w:val="auto"/>
                <w:w w:val="89"/>
              </w:rPr>
              <w:t>Identity of Issuer, Borrower,</w:t>
            </w:r>
          </w:p>
        </w:tc>
        <w:tc>
          <w:tcPr>
            <w:tcW w:w="3080" w:type="dxa"/>
            <w:vAlign w:val="bottom"/>
          </w:tcPr>
          <w:p>
            <w:pPr>
              <w:jc w:val="center"/>
              <w:ind w:left="501"/>
              <w:spacing w:after="0"/>
              <w:rPr>
                <w:sz w:val="20"/>
                <w:szCs w:val="20"/>
                <w:color w:val="auto"/>
              </w:rPr>
            </w:pPr>
            <w:r>
              <w:rPr>
                <w:rFonts w:ascii="Arial" w:cs="Arial" w:eastAsia="Arial" w:hAnsi="Arial"/>
                <w:sz w:val="20"/>
                <w:szCs w:val="20"/>
                <w:b w:val="1"/>
                <w:bCs w:val="1"/>
                <w:color w:val="auto"/>
                <w:w w:val="89"/>
              </w:rPr>
              <w:t>Interest, Par, or</w:t>
            </w:r>
          </w:p>
        </w:tc>
        <w:tc>
          <w:tcPr>
            <w:tcW w:w="720" w:type="dxa"/>
            <w:vAlign w:val="bottom"/>
          </w:tcPr>
          <w:p>
            <w:pPr>
              <w:spacing w:after="0"/>
              <w:rPr>
                <w:sz w:val="24"/>
                <w:szCs w:val="24"/>
                <w:color w:val="auto"/>
              </w:rPr>
            </w:pPr>
          </w:p>
        </w:tc>
        <w:tc>
          <w:tcPr>
            <w:tcW w:w="1840" w:type="dxa"/>
            <w:vAlign w:val="bottom"/>
          </w:tcPr>
          <w:p>
            <w:pPr>
              <w:jc w:val="center"/>
              <w:ind w:right="361"/>
              <w:spacing w:after="0"/>
              <w:rPr>
                <w:sz w:val="20"/>
                <w:szCs w:val="20"/>
                <w:color w:val="auto"/>
              </w:rPr>
            </w:pPr>
            <w:r>
              <w:rPr>
                <w:rFonts w:ascii="Arial" w:cs="Arial" w:eastAsia="Arial" w:hAnsi="Arial"/>
                <w:sz w:val="20"/>
                <w:szCs w:val="20"/>
                <w:b w:val="1"/>
                <w:bCs w:val="1"/>
                <w:color w:val="auto"/>
                <w:w w:val="96"/>
              </w:rPr>
              <w:t>Current</w:t>
            </w:r>
          </w:p>
        </w:tc>
      </w:tr>
      <w:tr>
        <w:trPr>
          <w:trHeight w:val="284"/>
        </w:trPr>
        <w:tc>
          <w:tcPr>
            <w:tcW w:w="3460" w:type="dxa"/>
            <w:vAlign w:val="bottom"/>
          </w:tcPr>
          <w:p>
            <w:pPr>
              <w:jc w:val="center"/>
              <w:ind w:left="241"/>
              <w:spacing w:after="0"/>
              <w:rPr>
                <w:sz w:val="20"/>
                <w:szCs w:val="20"/>
                <w:color w:val="auto"/>
              </w:rPr>
            </w:pPr>
            <w:r>
              <w:rPr>
                <w:rFonts w:ascii="Arial" w:cs="Arial" w:eastAsia="Arial" w:hAnsi="Arial"/>
                <w:sz w:val="20"/>
                <w:szCs w:val="20"/>
                <w:b w:val="1"/>
                <w:bCs w:val="1"/>
                <w:color w:val="auto"/>
                <w:w w:val="90"/>
              </w:rPr>
              <w:t>Lessor, or Similar Party</w:t>
            </w:r>
          </w:p>
        </w:tc>
        <w:tc>
          <w:tcPr>
            <w:tcW w:w="3080" w:type="dxa"/>
            <w:vAlign w:val="bottom"/>
          </w:tcPr>
          <w:p>
            <w:pPr>
              <w:jc w:val="center"/>
              <w:ind w:left="501"/>
              <w:spacing w:after="0"/>
              <w:rPr>
                <w:sz w:val="20"/>
                <w:szCs w:val="20"/>
                <w:color w:val="auto"/>
              </w:rPr>
            </w:pPr>
            <w:r>
              <w:rPr>
                <w:rFonts w:ascii="Arial" w:cs="Arial" w:eastAsia="Arial" w:hAnsi="Arial"/>
                <w:sz w:val="20"/>
                <w:szCs w:val="20"/>
                <w:b w:val="1"/>
                <w:bCs w:val="1"/>
                <w:color w:val="auto"/>
                <w:w w:val="93"/>
              </w:rPr>
              <w:t>Maturity Value</w:t>
            </w:r>
          </w:p>
        </w:tc>
        <w:tc>
          <w:tcPr>
            <w:tcW w:w="720" w:type="dxa"/>
            <w:vAlign w:val="bottom"/>
          </w:tcPr>
          <w:p>
            <w:pPr>
              <w:spacing w:after="0"/>
              <w:rPr>
                <w:sz w:val="24"/>
                <w:szCs w:val="24"/>
                <w:color w:val="auto"/>
              </w:rPr>
            </w:pPr>
          </w:p>
        </w:tc>
        <w:tc>
          <w:tcPr>
            <w:tcW w:w="1840" w:type="dxa"/>
            <w:vAlign w:val="bottom"/>
          </w:tcPr>
          <w:p>
            <w:pPr>
              <w:jc w:val="center"/>
              <w:ind w:right="381"/>
              <w:spacing w:after="0"/>
              <w:rPr>
                <w:sz w:val="20"/>
                <w:szCs w:val="20"/>
                <w:color w:val="auto"/>
              </w:rPr>
            </w:pPr>
            <w:r>
              <w:rPr>
                <w:rFonts w:ascii="Arial" w:cs="Arial" w:eastAsia="Arial" w:hAnsi="Arial"/>
                <w:sz w:val="20"/>
                <w:szCs w:val="20"/>
                <w:b w:val="1"/>
                <w:bCs w:val="1"/>
                <w:color w:val="auto"/>
                <w:w w:val="89"/>
              </w:rPr>
              <w:t>Value</w:t>
            </w:r>
          </w:p>
        </w:tc>
      </w:tr>
      <w:tr>
        <w:trPr>
          <w:trHeight w:val="23"/>
        </w:trPr>
        <w:tc>
          <w:tcPr>
            <w:tcW w:w="3460" w:type="dxa"/>
            <w:vAlign w:val="bottom"/>
            <w:tcBorders>
              <w:bottom w:val="single" w:sz="8" w:color="auto"/>
            </w:tcBorders>
          </w:tcPr>
          <w:p>
            <w:pPr>
              <w:spacing w:after="0"/>
              <w:rPr>
                <w:sz w:val="2"/>
                <w:szCs w:val="2"/>
                <w:color w:val="auto"/>
              </w:rPr>
            </w:pPr>
          </w:p>
        </w:tc>
        <w:tc>
          <w:tcPr>
            <w:tcW w:w="30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551"/>
        </w:trPr>
        <w:tc>
          <w:tcPr>
            <w:tcW w:w="3460" w:type="dxa"/>
            <w:vAlign w:val="bottom"/>
          </w:tcPr>
          <w:p>
            <w:pPr>
              <w:spacing w:after="0"/>
              <w:rPr>
                <w:sz w:val="20"/>
                <w:szCs w:val="20"/>
                <w:color w:val="auto"/>
              </w:rPr>
            </w:pPr>
            <w:r>
              <w:rPr>
                <w:rFonts w:ascii="Arial" w:cs="Arial" w:eastAsia="Arial" w:hAnsi="Arial"/>
                <w:sz w:val="20"/>
                <w:szCs w:val="20"/>
                <w:color w:val="auto"/>
              </w:rPr>
              <w:t>Notes receivable from participants*</w:t>
            </w:r>
          </w:p>
        </w:tc>
        <w:tc>
          <w:tcPr>
            <w:tcW w:w="3080" w:type="dxa"/>
            <w:vAlign w:val="bottom"/>
          </w:tcPr>
          <w:p>
            <w:pPr>
              <w:ind w:left="360"/>
              <w:spacing w:after="0"/>
              <w:rPr>
                <w:sz w:val="20"/>
                <w:szCs w:val="20"/>
                <w:color w:val="auto"/>
              </w:rPr>
            </w:pPr>
            <w:r>
              <w:rPr>
                <w:rFonts w:ascii="Arial" w:cs="Arial" w:eastAsia="Arial" w:hAnsi="Arial"/>
                <w:sz w:val="20"/>
                <w:szCs w:val="20"/>
                <w:color w:val="auto"/>
              </w:rPr>
              <w:t>Interest rates ranging</w:t>
            </w:r>
          </w:p>
        </w:tc>
        <w:tc>
          <w:tcPr>
            <w:tcW w:w="720" w:type="dxa"/>
            <w:vAlign w:val="bottom"/>
          </w:tcPr>
          <w:p>
            <w:pPr>
              <w:jc w:val="right"/>
              <w:ind w:right="261"/>
              <w:spacing w:after="0"/>
              <w:rPr>
                <w:sz w:val="20"/>
                <w:szCs w:val="20"/>
                <w:color w:val="auto"/>
              </w:rPr>
            </w:pPr>
            <w:r>
              <w:rPr>
                <w:rFonts w:ascii="Arial" w:cs="Arial" w:eastAsia="Arial" w:hAnsi="Arial"/>
                <w:sz w:val="20"/>
                <w:szCs w:val="20"/>
                <w:color w:val="auto"/>
              </w:rPr>
              <w:t>$</w:t>
            </w:r>
          </w:p>
        </w:tc>
        <w:tc>
          <w:tcPr>
            <w:tcW w:w="1840" w:type="dxa"/>
            <w:vAlign w:val="bottom"/>
          </w:tcPr>
          <w:p>
            <w:pPr>
              <w:jc w:val="right"/>
              <w:ind w:right="21"/>
              <w:spacing w:after="0"/>
              <w:rPr>
                <w:sz w:val="20"/>
                <w:szCs w:val="20"/>
                <w:color w:val="auto"/>
              </w:rPr>
            </w:pPr>
            <w:r>
              <w:rPr>
                <w:rFonts w:ascii="Arial" w:cs="Arial" w:eastAsia="Arial" w:hAnsi="Arial"/>
                <w:sz w:val="20"/>
                <w:szCs w:val="20"/>
                <w:color w:val="auto"/>
              </w:rPr>
              <w:t>25,524,186</w:t>
            </w:r>
          </w:p>
        </w:tc>
      </w:tr>
      <w:tr>
        <w:trPr>
          <w:trHeight w:val="283"/>
        </w:trPr>
        <w:tc>
          <w:tcPr>
            <w:tcW w:w="3460" w:type="dxa"/>
            <w:vAlign w:val="bottom"/>
          </w:tcPr>
          <w:p>
            <w:pPr>
              <w:spacing w:after="0"/>
              <w:rPr>
                <w:sz w:val="24"/>
                <w:szCs w:val="24"/>
                <w:color w:val="auto"/>
              </w:rPr>
            </w:pPr>
          </w:p>
        </w:tc>
        <w:tc>
          <w:tcPr>
            <w:tcW w:w="3080" w:type="dxa"/>
            <w:vAlign w:val="bottom"/>
          </w:tcPr>
          <w:p>
            <w:pPr>
              <w:ind w:left="520"/>
              <w:spacing w:after="0"/>
              <w:rPr>
                <w:sz w:val="20"/>
                <w:szCs w:val="20"/>
                <w:color w:val="auto"/>
              </w:rPr>
            </w:pPr>
            <w:r>
              <w:rPr>
                <w:rFonts w:ascii="Arial" w:cs="Arial" w:eastAsia="Arial" w:hAnsi="Arial"/>
                <w:sz w:val="20"/>
                <w:szCs w:val="20"/>
                <w:color w:val="auto"/>
              </w:rPr>
              <w:t>from 4.25% to 10.00%</w:t>
            </w:r>
          </w:p>
        </w:tc>
        <w:tc>
          <w:tcPr>
            <w:tcW w:w="72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540"/>
        </w:trPr>
        <w:tc>
          <w:tcPr>
            <w:tcW w:w="3460" w:type="dxa"/>
            <w:vAlign w:val="bottom"/>
          </w:tcPr>
          <w:p>
            <w:pPr>
              <w:spacing w:after="0"/>
              <w:rPr>
                <w:sz w:val="20"/>
                <w:szCs w:val="20"/>
                <w:color w:val="auto"/>
              </w:rPr>
            </w:pPr>
            <w:r>
              <w:rPr>
                <w:rFonts w:ascii="Arial" w:cs="Arial" w:eastAsia="Arial" w:hAnsi="Arial"/>
                <w:sz w:val="20"/>
                <w:szCs w:val="20"/>
                <w:color w:val="auto"/>
              </w:rPr>
              <w:t>*Parties in interest</w:t>
            </w:r>
          </w:p>
        </w:tc>
        <w:tc>
          <w:tcPr>
            <w:tcW w:w="30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4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9100"/>
          </w:cols>
          <w:pgMar w:left="1400" w:top="1041" w:right="1399" w:bottom="1440" w:gutter="0" w:footer="0" w:header="0"/>
        </w:sectPr>
      </w:pPr>
    </w:p>
    <w:bookmarkStart w:id="20" w:name="page21"/>
    <w:bookmarkEnd w:id="20"/>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The Savings Plan for Lilly Affiliate Employees in Puerto Rico</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EIN 98-0167031 Plan No. 004</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Schedule H, Line 4i – Schedule of Assets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(Held at End of Year)</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December 31,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3480" w:type="dxa"/>
            <w:vAlign w:val="bottom"/>
          </w:tcPr>
          <w:p>
            <w:pPr>
              <w:spacing w:after="0"/>
              <w:rPr>
                <w:sz w:val="22"/>
                <w:szCs w:val="22"/>
                <w:color w:val="auto"/>
              </w:rPr>
            </w:pPr>
          </w:p>
        </w:tc>
        <w:tc>
          <w:tcPr>
            <w:tcW w:w="3080" w:type="dxa"/>
            <w:vAlign w:val="bottom"/>
          </w:tcPr>
          <w:p>
            <w:pPr>
              <w:jc w:val="center"/>
              <w:ind w:left="501"/>
              <w:spacing w:after="0"/>
              <w:rPr>
                <w:sz w:val="20"/>
                <w:szCs w:val="20"/>
                <w:color w:val="auto"/>
              </w:rPr>
            </w:pPr>
            <w:r>
              <w:rPr>
                <w:rFonts w:ascii="Arial" w:cs="Arial" w:eastAsia="Arial" w:hAnsi="Arial"/>
                <w:sz w:val="20"/>
                <w:szCs w:val="20"/>
                <w:b w:val="1"/>
                <w:bCs w:val="1"/>
                <w:color w:val="auto"/>
                <w:w w:val="89"/>
              </w:rPr>
              <w:t>Description of</w:t>
            </w:r>
          </w:p>
        </w:tc>
        <w:tc>
          <w:tcPr>
            <w:tcW w:w="720" w:type="dxa"/>
            <w:vAlign w:val="bottom"/>
          </w:tcPr>
          <w:p>
            <w:pPr>
              <w:spacing w:after="0"/>
              <w:rPr>
                <w:sz w:val="22"/>
                <w:szCs w:val="22"/>
                <w:color w:val="auto"/>
              </w:rPr>
            </w:pPr>
          </w:p>
        </w:tc>
        <w:tc>
          <w:tcPr>
            <w:tcW w:w="1840" w:type="dxa"/>
            <w:vAlign w:val="bottom"/>
          </w:tcPr>
          <w:p>
            <w:pPr>
              <w:spacing w:after="0"/>
              <w:rPr>
                <w:sz w:val="22"/>
                <w:szCs w:val="22"/>
                <w:color w:val="auto"/>
              </w:rPr>
            </w:pPr>
          </w:p>
        </w:tc>
      </w:tr>
      <w:tr>
        <w:trPr>
          <w:trHeight w:val="283"/>
        </w:trPr>
        <w:tc>
          <w:tcPr>
            <w:tcW w:w="3480" w:type="dxa"/>
            <w:vAlign w:val="bottom"/>
          </w:tcPr>
          <w:p>
            <w:pPr>
              <w:spacing w:after="0"/>
              <w:rPr>
                <w:sz w:val="24"/>
                <w:szCs w:val="24"/>
                <w:color w:val="auto"/>
              </w:rPr>
            </w:pPr>
          </w:p>
        </w:tc>
        <w:tc>
          <w:tcPr>
            <w:tcW w:w="3080" w:type="dxa"/>
            <w:vAlign w:val="bottom"/>
          </w:tcPr>
          <w:p>
            <w:pPr>
              <w:jc w:val="center"/>
              <w:ind w:left="501"/>
              <w:spacing w:after="0"/>
              <w:rPr>
                <w:sz w:val="20"/>
                <w:szCs w:val="20"/>
                <w:color w:val="auto"/>
              </w:rPr>
            </w:pPr>
            <w:r>
              <w:rPr>
                <w:rFonts w:ascii="Arial" w:cs="Arial" w:eastAsia="Arial" w:hAnsi="Arial"/>
                <w:sz w:val="20"/>
                <w:szCs w:val="20"/>
                <w:b w:val="1"/>
                <w:bCs w:val="1"/>
                <w:color w:val="auto"/>
                <w:w w:val="89"/>
              </w:rPr>
              <w:t>Investment, including</w:t>
            </w:r>
          </w:p>
        </w:tc>
        <w:tc>
          <w:tcPr>
            <w:tcW w:w="72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284"/>
        </w:trPr>
        <w:tc>
          <w:tcPr>
            <w:tcW w:w="3480" w:type="dxa"/>
            <w:vAlign w:val="bottom"/>
          </w:tcPr>
          <w:p>
            <w:pPr>
              <w:spacing w:after="0"/>
              <w:rPr>
                <w:sz w:val="24"/>
                <w:szCs w:val="24"/>
                <w:color w:val="auto"/>
              </w:rPr>
            </w:pPr>
          </w:p>
        </w:tc>
        <w:tc>
          <w:tcPr>
            <w:tcW w:w="3080" w:type="dxa"/>
            <w:vAlign w:val="bottom"/>
          </w:tcPr>
          <w:p>
            <w:pPr>
              <w:jc w:val="center"/>
              <w:ind w:left="501"/>
              <w:spacing w:after="0"/>
              <w:rPr>
                <w:sz w:val="20"/>
                <w:szCs w:val="20"/>
                <w:color w:val="auto"/>
              </w:rPr>
            </w:pPr>
            <w:r>
              <w:rPr>
                <w:rFonts w:ascii="Arial" w:cs="Arial" w:eastAsia="Arial" w:hAnsi="Arial"/>
                <w:sz w:val="20"/>
                <w:szCs w:val="20"/>
                <w:b w:val="1"/>
                <w:bCs w:val="1"/>
                <w:color w:val="auto"/>
                <w:w w:val="93"/>
              </w:rPr>
              <w:t>Maturity Date, Rate of</w:t>
            </w:r>
          </w:p>
        </w:tc>
        <w:tc>
          <w:tcPr>
            <w:tcW w:w="72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283"/>
        </w:trPr>
        <w:tc>
          <w:tcPr>
            <w:tcW w:w="3480" w:type="dxa"/>
            <w:vAlign w:val="bottom"/>
          </w:tcPr>
          <w:p>
            <w:pPr>
              <w:jc w:val="center"/>
              <w:ind w:left="241"/>
              <w:spacing w:after="0"/>
              <w:rPr>
                <w:sz w:val="20"/>
                <w:szCs w:val="20"/>
                <w:color w:val="auto"/>
              </w:rPr>
            </w:pPr>
            <w:r>
              <w:rPr>
                <w:rFonts w:ascii="Arial" w:cs="Arial" w:eastAsia="Arial" w:hAnsi="Arial"/>
                <w:sz w:val="20"/>
                <w:szCs w:val="20"/>
                <w:b w:val="1"/>
                <w:bCs w:val="1"/>
                <w:color w:val="auto"/>
                <w:w w:val="89"/>
              </w:rPr>
              <w:t>Identity of Issuer, Borrower,</w:t>
            </w:r>
          </w:p>
        </w:tc>
        <w:tc>
          <w:tcPr>
            <w:tcW w:w="3080" w:type="dxa"/>
            <w:vAlign w:val="bottom"/>
          </w:tcPr>
          <w:p>
            <w:pPr>
              <w:jc w:val="center"/>
              <w:ind w:left="501"/>
              <w:spacing w:after="0"/>
              <w:rPr>
                <w:sz w:val="20"/>
                <w:szCs w:val="20"/>
                <w:color w:val="auto"/>
              </w:rPr>
            </w:pPr>
            <w:r>
              <w:rPr>
                <w:rFonts w:ascii="Arial" w:cs="Arial" w:eastAsia="Arial" w:hAnsi="Arial"/>
                <w:sz w:val="20"/>
                <w:szCs w:val="20"/>
                <w:b w:val="1"/>
                <w:bCs w:val="1"/>
                <w:color w:val="auto"/>
                <w:w w:val="89"/>
              </w:rPr>
              <w:t>Interest, Par, or</w:t>
            </w:r>
          </w:p>
        </w:tc>
        <w:tc>
          <w:tcPr>
            <w:tcW w:w="720" w:type="dxa"/>
            <w:vAlign w:val="bottom"/>
          </w:tcPr>
          <w:p>
            <w:pPr>
              <w:spacing w:after="0"/>
              <w:rPr>
                <w:sz w:val="24"/>
                <w:szCs w:val="24"/>
                <w:color w:val="auto"/>
              </w:rPr>
            </w:pPr>
          </w:p>
        </w:tc>
        <w:tc>
          <w:tcPr>
            <w:tcW w:w="1840" w:type="dxa"/>
            <w:vAlign w:val="bottom"/>
          </w:tcPr>
          <w:p>
            <w:pPr>
              <w:jc w:val="center"/>
              <w:ind w:right="361"/>
              <w:spacing w:after="0"/>
              <w:rPr>
                <w:sz w:val="20"/>
                <w:szCs w:val="20"/>
                <w:color w:val="auto"/>
              </w:rPr>
            </w:pPr>
            <w:r>
              <w:rPr>
                <w:rFonts w:ascii="Arial" w:cs="Arial" w:eastAsia="Arial" w:hAnsi="Arial"/>
                <w:sz w:val="20"/>
                <w:szCs w:val="20"/>
                <w:b w:val="1"/>
                <w:bCs w:val="1"/>
                <w:color w:val="auto"/>
                <w:w w:val="96"/>
              </w:rPr>
              <w:t>Current</w:t>
            </w:r>
          </w:p>
        </w:tc>
      </w:tr>
      <w:tr>
        <w:trPr>
          <w:trHeight w:val="283"/>
        </w:trPr>
        <w:tc>
          <w:tcPr>
            <w:tcW w:w="3480" w:type="dxa"/>
            <w:vAlign w:val="bottom"/>
          </w:tcPr>
          <w:p>
            <w:pPr>
              <w:jc w:val="center"/>
              <w:ind w:left="261"/>
              <w:spacing w:after="0"/>
              <w:rPr>
                <w:sz w:val="20"/>
                <w:szCs w:val="20"/>
                <w:color w:val="auto"/>
              </w:rPr>
            </w:pPr>
            <w:r>
              <w:rPr>
                <w:rFonts w:ascii="Arial" w:cs="Arial" w:eastAsia="Arial" w:hAnsi="Arial"/>
                <w:sz w:val="20"/>
                <w:szCs w:val="20"/>
                <w:b w:val="1"/>
                <w:bCs w:val="1"/>
                <w:color w:val="auto"/>
                <w:w w:val="90"/>
              </w:rPr>
              <w:t>Lessor, or Similar Party</w:t>
            </w:r>
          </w:p>
        </w:tc>
        <w:tc>
          <w:tcPr>
            <w:tcW w:w="3080" w:type="dxa"/>
            <w:vAlign w:val="bottom"/>
          </w:tcPr>
          <w:p>
            <w:pPr>
              <w:jc w:val="center"/>
              <w:ind w:left="501"/>
              <w:spacing w:after="0"/>
              <w:rPr>
                <w:sz w:val="20"/>
                <w:szCs w:val="20"/>
                <w:color w:val="auto"/>
              </w:rPr>
            </w:pPr>
            <w:r>
              <w:rPr>
                <w:rFonts w:ascii="Arial" w:cs="Arial" w:eastAsia="Arial" w:hAnsi="Arial"/>
                <w:sz w:val="20"/>
                <w:szCs w:val="20"/>
                <w:b w:val="1"/>
                <w:bCs w:val="1"/>
                <w:color w:val="auto"/>
                <w:w w:val="93"/>
              </w:rPr>
              <w:t>Maturity Value</w:t>
            </w:r>
          </w:p>
        </w:tc>
        <w:tc>
          <w:tcPr>
            <w:tcW w:w="720" w:type="dxa"/>
            <w:vAlign w:val="bottom"/>
          </w:tcPr>
          <w:p>
            <w:pPr>
              <w:spacing w:after="0"/>
              <w:rPr>
                <w:sz w:val="24"/>
                <w:szCs w:val="24"/>
                <w:color w:val="auto"/>
              </w:rPr>
            </w:pPr>
          </w:p>
        </w:tc>
        <w:tc>
          <w:tcPr>
            <w:tcW w:w="1840" w:type="dxa"/>
            <w:vAlign w:val="bottom"/>
          </w:tcPr>
          <w:p>
            <w:pPr>
              <w:jc w:val="center"/>
              <w:ind w:right="381"/>
              <w:spacing w:after="0"/>
              <w:rPr>
                <w:sz w:val="20"/>
                <w:szCs w:val="20"/>
                <w:color w:val="auto"/>
              </w:rPr>
            </w:pPr>
            <w:r>
              <w:rPr>
                <w:rFonts w:ascii="Arial" w:cs="Arial" w:eastAsia="Arial" w:hAnsi="Arial"/>
                <w:sz w:val="20"/>
                <w:szCs w:val="20"/>
                <w:b w:val="1"/>
                <w:bCs w:val="1"/>
                <w:color w:val="auto"/>
                <w:w w:val="89"/>
              </w:rPr>
              <w:t>Value</w:t>
            </w:r>
          </w:p>
        </w:tc>
      </w:tr>
      <w:tr>
        <w:trPr>
          <w:trHeight w:val="23"/>
        </w:trPr>
        <w:tc>
          <w:tcPr>
            <w:tcW w:w="3480" w:type="dxa"/>
            <w:vAlign w:val="bottom"/>
            <w:tcBorders>
              <w:bottom w:val="single" w:sz="8" w:color="auto"/>
            </w:tcBorders>
          </w:tcPr>
          <w:p>
            <w:pPr>
              <w:spacing w:after="0"/>
              <w:rPr>
                <w:sz w:val="2"/>
                <w:szCs w:val="2"/>
                <w:color w:val="auto"/>
              </w:rPr>
            </w:pPr>
          </w:p>
        </w:tc>
        <w:tc>
          <w:tcPr>
            <w:tcW w:w="30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551"/>
        </w:trPr>
        <w:tc>
          <w:tcPr>
            <w:tcW w:w="3480" w:type="dxa"/>
            <w:vAlign w:val="bottom"/>
          </w:tcPr>
          <w:p>
            <w:pPr>
              <w:ind w:left="20"/>
              <w:spacing w:after="0"/>
              <w:rPr>
                <w:sz w:val="20"/>
                <w:szCs w:val="20"/>
                <w:color w:val="auto"/>
              </w:rPr>
            </w:pPr>
            <w:r>
              <w:rPr>
                <w:rFonts w:ascii="Arial" w:cs="Arial" w:eastAsia="Arial" w:hAnsi="Arial"/>
                <w:sz w:val="20"/>
                <w:szCs w:val="20"/>
                <w:color w:val="auto"/>
              </w:rPr>
              <w:t>Notes receivable from participants*</w:t>
            </w:r>
          </w:p>
        </w:tc>
        <w:tc>
          <w:tcPr>
            <w:tcW w:w="3080" w:type="dxa"/>
            <w:vAlign w:val="bottom"/>
          </w:tcPr>
          <w:p>
            <w:pPr>
              <w:ind w:left="380"/>
              <w:spacing w:after="0"/>
              <w:rPr>
                <w:sz w:val="20"/>
                <w:szCs w:val="20"/>
                <w:color w:val="auto"/>
              </w:rPr>
            </w:pPr>
            <w:r>
              <w:rPr>
                <w:rFonts w:ascii="Arial" w:cs="Arial" w:eastAsia="Arial" w:hAnsi="Arial"/>
                <w:sz w:val="20"/>
                <w:szCs w:val="20"/>
                <w:color w:val="auto"/>
              </w:rPr>
              <w:t>Interest rates ranging</w:t>
            </w:r>
          </w:p>
        </w:tc>
        <w:tc>
          <w:tcPr>
            <w:tcW w:w="720" w:type="dxa"/>
            <w:vAlign w:val="bottom"/>
          </w:tcPr>
          <w:p>
            <w:pPr>
              <w:jc w:val="right"/>
              <w:ind w:right="261"/>
              <w:spacing w:after="0"/>
              <w:rPr>
                <w:sz w:val="20"/>
                <w:szCs w:val="20"/>
                <w:color w:val="auto"/>
              </w:rPr>
            </w:pPr>
            <w:r>
              <w:rPr>
                <w:rFonts w:ascii="Arial" w:cs="Arial" w:eastAsia="Arial" w:hAnsi="Arial"/>
                <w:sz w:val="20"/>
                <w:szCs w:val="20"/>
                <w:color w:val="auto"/>
              </w:rPr>
              <w:t>$</w:t>
            </w:r>
          </w:p>
        </w:tc>
        <w:tc>
          <w:tcPr>
            <w:tcW w:w="1840" w:type="dxa"/>
            <w:vAlign w:val="bottom"/>
          </w:tcPr>
          <w:p>
            <w:pPr>
              <w:jc w:val="right"/>
              <w:ind w:right="21"/>
              <w:spacing w:after="0"/>
              <w:rPr>
                <w:sz w:val="20"/>
                <w:szCs w:val="20"/>
                <w:color w:val="auto"/>
              </w:rPr>
            </w:pPr>
            <w:r>
              <w:rPr>
                <w:rFonts w:ascii="Arial" w:cs="Arial" w:eastAsia="Arial" w:hAnsi="Arial"/>
                <w:sz w:val="20"/>
                <w:szCs w:val="20"/>
                <w:color w:val="auto"/>
              </w:rPr>
              <w:t>2,740,636</w:t>
            </w:r>
          </w:p>
        </w:tc>
      </w:tr>
      <w:tr>
        <w:trPr>
          <w:trHeight w:val="284"/>
        </w:trPr>
        <w:tc>
          <w:tcPr>
            <w:tcW w:w="3480" w:type="dxa"/>
            <w:vAlign w:val="bottom"/>
          </w:tcPr>
          <w:p>
            <w:pPr>
              <w:spacing w:after="0"/>
              <w:rPr>
                <w:sz w:val="24"/>
                <w:szCs w:val="24"/>
                <w:color w:val="auto"/>
              </w:rPr>
            </w:pPr>
          </w:p>
        </w:tc>
        <w:tc>
          <w:tcPr>
            <w:tcW w:w="3080" w:type="dxa"/>
            <w:vAlign w:val="bottom"/>
          </w:tcPr>
          <w:p>
            <w:pPr>
              <w:ind w:left="520"/>
              <w:spacing w:after="0"/>
              <w:rPr>
                <w:sz w:val="20"/>
                <w:szCs w:val="20"/>
                <w:color w:val="auto"/>
              </w:rPr>
            </w:pPr>
            <w:r>
              <w:rPr>
                <w:rFonts w:ascii="Arial" w:cs="Arial" w:eastAsia="Arial" w:hAnsi="Arial"/>
                <w:sz w:val="20"/>
                <w:szCs w:val="20"/>
                <w:color w:val="auto"/>
              </w:rPr>
              <w:t>from 4.25% to 9.25%</w:t>
            </w:r>
          </w:p>
        </w:tc>
        <w:tc>
          <w:tcPr>
            <w:tcW w:w="72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540"/>
        </w:trPr>
        <w:tc>
          <w:tcPr>
            <w:tcW w:w="3480" w:type="dxa"/>
            <w:vAlign w:val="bottom"/>
          </w:tcPr>
          <w:p>
            <w:pPr>
              <w:ind w:left="20"/>
              <w:spacing w:after="0"/>
              <w:rPr>
                <w:sz w:val="20"/>
                <w:szCs w:val="20"/>
                <w:color w:val="auto"/>
              </w:rPr>
            </w:pPr>
            <w:r>
              <w:rPr>
                <w:rFonts w:ascii="Arial" w:cs="Arial" w:eastAsia="Arial" w:hAnsi="Arial"/>
                <w:sz w:val="20"/>
                <w:szCs w:val="20"/>
                <w:color w:val="auto"/>
              </w:rPr>
              <w:t>*Parties in interest</w:t>
            </w:r>
          </w:p>
        </w:tc>
        <w:tc>
          <w:tcPr>
            <w:tcW w:w="30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4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9120"/>
          </w:cols>
          <w:pgMar w:left="1380" w:top="1440" w:right="1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9120"/>
          </w:cols>
          <w:pgMar w:left="1380" w:top="1440" w:right="1399" w:bottom="1440" w:gutter="0" w:footer="0" w:header="0"/>
          <w:type w:val="continuous"/>
        </w:sectPr>
      </w:pPr>
    </w:p>
    <w:bookmarkStart w:id="21" w:name="page22"/>
    <w:bookmarkEnd w:id="21"/>
    <w:p>
      <w:pPr>
        <w:jc w:val="center"/>
        <w:ind w:right="-399"/>
        <w:spacing w:after="0"/>
        <w:rPr>
          <w:sz w:val="20"/>
          <w:szCs w:val="20"/>
          <w:color w:val="auto"/>
        </w:rPr>
      </w:pPr>
      <w:r>
        <w:rPr>
          <w:rFonts w:ascii="Arial" w:cs="Arial" w:eastAsia="Arial" w:hAnsi="Arial"/>
          <w:sz w:val="22"/>
          <w:szCs w:val="22"/>
          <w:b w:val="1"/>
          <w:bCs w:val="1"/>
          <w:color w:val="auto"/>
        </w:rPr>
        <w:t>SIGNATURES</w:t>
      </w:r>
    </w:p>
    <w:p>
      <w:pPr>
        <w:spacing w:after="0" w:line="361" w:lineRule="exact"/>
        <w:rPr>
          <w:sz w:val="20"/>
          <w:szCs w:val="20"/>
          <w:color w:val="auto"/>
        </w:rPr>
      </w:pPr>
    </w:p>
    <w:p>
      <w:pPr>
        <w:spacing w:after="0" w:line="461" w:lineRule="auto"/>
        <w:rPr>
          <w:sz w:val="20"/>
          <w:szCs w:val="20"/>
          <w:color w:val="auto"/>
        </w:rPr>
      </w:pPr>
      <w:r>
        <w:rPr>
          <w:rFonts w:ascii="Arial" w:cs="Arial" w:eastAsia="Arial" w:hAnsi="Arial"/>
          <w:sz w:val="19"/>
          <w:szCs w:val="19"/>
          <w:color w:val="auto"/>
        </w:rPr>
        <w:t>Pursuant to the requirements of the Securities Exchange Act of 1934, the trustees (or other persons who administer the Plans) have duly caused this annual report to be signed on its behalf by the undersigned hereunto duly authorized.</w:t>
      </w:r>
    </w:p>
    <w:p>
      <w:pPr>
        <w:sectPr>
          <w:pgSz w:w="11900" w:h="16838" w:orient="portrait"/>
          <w:cols w:equalWidth="0" w:num="1">
            <w:col w:w="10840"/>
          </w:cols>
          <w:pgMar w:left="320" w:top="949" w:right="7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0"/>
        <w:spacing w:after="0"/>
        <w:rPr>
          <w:sz w:val="20"/>
          <w:szCs w:val="20"/>
          <w:color w:val="auto"/>
        </w:rPr>
      </w:pPr>
      <w:r>
        <w:rPr>
          <w:rFonts w:ascii="Arial" w:cs="Arial" w:eastAsia="Arial" w:hAnsi="Arial"/>
          <w:sz w:val="19"/>
          <w:szCs w:val="19"/>
          <w:color w:val="auto"/>
        </w:rPr>
        <w:t>Date: June 16,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20"/>
        <w:spacing w:after="0"/>
        <w:rPr>
          <w:sz w:val="20"/>
          <w:szCs w:val="20"/>
          <w:color w:val="auto"/>
        </w:rPr>
      </w:pPr>
      <w:r>
        <w:rPr>
          <w:rFonts w:ascii="Arial" w:cs="Arial" w:eastAsia="Arial" w:hAnsi="Arial"/>
          <w:sz w:val="19"/>
          <w:szCs w:val="19"/>
          <w:color w:val="auto"/>
        </w:rPr>
        <w:t>Date: June 16, 2020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0" w:lineRule="exact"/>
        <w:rPr>
          <w:sz w:val="20"/>
          <w:szCs w:val="20"/>
          <w:color w:val="auto"/>
        </w:rPr>
      </w:pPr>
    </w:p>
    <w:p>
      <w:pPr>
        <w:jc w:val="center"/>
        <w:ind w:right="3100"/>
        <w:spacing w:after="0"/>
        <w:rPr>
          <w:sz w:val="20"/>
          <w:szCs w:val="20"/>
          <w:color w:val="auto"/>
        </w:rPr>
      </w:pPr>
      <w:r>
        <w:rPr>
          <w:rFonts w:ascii="Arial" w:cs="Arial" w:eastAsia="Arial" w:hAnsi="Arial"/>
          <w:sz w:val="19"/>
          <w:szCs w:val="19"/>
          <w:color w:val="auto"/>
        </w:rPr>
        <w:t>The Lilly Employee 401(k) Plan</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Stacey M. Roberson</w:t>
      </w:r>
    </w:p>
    <w:p>
      <w:pPr>
        <w:spacing w:after="0" w:line="31" w:lineRule="exact"/>
        <w:rPr>
          <w:sz w:val="20"/>
          <w:szCs w:val="20"/>
          <w:color w:val="auto"/>
        </w:rPr>
      </w:pPr>
    </w:p>
    <w:p>
      <w:pPr>
        <w:ind w:left="320"/>
        <w:spacing w:after="0"/>
        <w:rPr>
          <w:sz w:val="20"/>
          <w:szCs w:val="20"/>
          <w:color w:val="auto"/>
        </w:rPr>
      </w:pPr>
      <w:r>
        <w:rPr>
          <w:rFonts w:ascii="Arial" w:cs="Arial" w:eastAsia="Arial" w:hAnsi="Arial"/>
          <w:sz w:val="22"/>
          <w:szCs w:val="22"/>
          <w:color w:val="auto"/>
        </w:rPr>
        <w:t>Stacey M. Roberson</w:t>
      </w:r>
    </w:p>
    <w:p>
      <w:pPr>
        <w:spacing w:after="0" w:line="44" w:lineRule="exact"/>
        <w:rPr>
          <w:sz w:val="20"/>
          <w:szCs w:val="20"/>
          <w:color w:val="auto"/>
        </w:rPr>
      </w:pPr>
    </w:p>
    <w:p>
      <w:pPr>
        <w:ind w:left="300"/>
        <w:spacing w:after="0"/>
        <w:rPr>
          <w:sz w:val="20"/>
          <w:szCs w:val="20"/>
          <w:color w:val="auto"/>
        </w:rPr>
      </w:pPr>
      <w:r>
        <w:rPr>
          <w:rFonts w:ascii="Arial" w:cs="Arial" w:eastAsia="Arial" w:hAnsi="Arial"/>
          <w:sz w:val="22"/>
          <w:szCs w:val="22"/>
          <w:color w:val="auto"/>
        </w:rPr>
        <w:t>Employee Benefits Committee</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9"/>
          <w:szCs w:val="19"/>
          <w:color w:val="auto"/>
        </w:rPr>
        <w:t>The Savings Plan for Lilly Affiliate Employees in Puerto Rico</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Stacey M. Roberson</w:t>
      </w:r>
    </w:p>
    <w:p>
      <w:pPr>
        <w:spacing w:after="0" w:line="31" w:lineRule="exact"/>
        <w:rPr>
          <w:sz w:val="20"/>
          <w:szCs w:val="20"/>
          <w:color w:val="auto"/>
        </w:rPr>
      </w:pPr>
    </w:p>
    <w:p>
      <w:pPr>
        <w:ind w:left="300"/>
        <w:spacing w:after="0"/>
        <w:rPr>
          <w:sz w:val="20"/>
          <w:szCs w:val="20"/>
          <w:color w:val="auto"/>
        </w:rPr>
      </w:pPr>
      <w:r>
        <w:rPr>
          <w:rFonts w:ascii="Arial" w:cs="Arial" w:eastAsia="Arial" w:hAnsi="Arial"/>
          <w:sz w:val="22"/>
          <w:szCs w:val="22"/>
          <w:color w:val="auto"/>
        </w:rPr>
        <w:t>Stacey M. Roberson</w:t>
      </w:r>
    </w:p>
    <w:p>
      <w:pPr>
        <w:spacing w:after="0" w:line="44" w:lineRule="exact"/>
        <w:rPr>
          <w:sz w:val="20"/>
          <w:szCs w:val="20"/>
          <w:color w:val="auto"/>
        </w:rPr>
      </w:pPr>
    </w:p>
    <w:p>
      <w:pPr>
        <w:ind w:left="300"/>
        <w:spacing w:after="0"/>
        <w:rPr>
          <w:sz w:val="20"/>
          <w:szCs w:val="20"/>
          <w:color w:val="auto"/>
        </w:rPr>
      </w:pPr>
      <w:r>
        <w:rPr>
          <w:rFonts w:ascii="Arial" w:cs="Arial" w:eastAsia="Arial" w:hAnsi="Arial"/>
          <w:sz w:val="22"/>
          <w:szCs w:val="22"/>
          <w:color w:val="auto"/>
        </w:rPr>
        <w:t>Employee Benefits Committee</w:t>
      </w:r>
    </w:p>
    <w:p>
      <w:pPr>
        <w:spacing w:after="0" w:line="200" w:lineRule="exact"/>
        <w:rPr>
          <w:sz w:val="20"/>
          <w:szCs w:val="20"/>
          <w:color w:val="auto"/>
        </w:rPr>
      </w:pPr>
    </w:p>
    <w:p>
      <w:pPr>
        <w:sectPr>
          <w:pgSz w:w="11900" w:h="16838" w:orient="portrait"/>
          <w:cols w:equalWidth="0" w:num="2">
            <w:col w:w="4220" w:space="720"/>
            <w:col w:w="5900"/>
          </w:cols>
          <w:pgMar w:left="320" w:top="949" w:right="739" w:bottom="1440" w:gutter="0" w:footer="0" w:header="0"/>
          <w:type w:val="continuous"/>
        </w:sectPr>
      </w:pPr>
    </w:p>
    <w:p>
      <w:pPr>
        <w:spacing w:after="0" w:line="200" w:lineRule="exact"/>
        <w:rPr>
          <w:sz w:val="20"/>
          <w:szCs w:val="20"/>
          <w:color w:val="auto"/>
        </w:rPr>
      </w:pPr>
    </w:p>
    <w:p>
      <w:pPr>
        <w:spacing w:after="0" w:line="286" w:lineRule="exact"/>
        <w:rPr>
          <w:sz w:val="20"/>
          <w:szCs w:val="20"/>
          <w:color w:val="auto"/>
        </w:rPr>
      </w:pPr>
    </w:p>
    <w:p>
      <w:pPr>
        <w:jc w:val="center"/>
        <w:ind w:right="-419"/>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0840"/>
          </w:cols>
          <w:pgMar w:left="320" w:top="949" w:right="739" w:bottom="1440" w:gutter="0" w:footer="0" w:header="0"/>
          <w:type w:val="continuous"/>
        </w:sectPr>
      </w:pPr>
    </w:p>
    <w:bookmarkStart w:id="22" w:name="page23"/>
    <w:bookmarkEnd w:id="22"/>
    <w:p>
      <w:pPr>
        <w:jc w:val="right"/>
        <w:ind w:right="3879"/>
        <w:spacing w:after="0"/>
        <w:rPr>
          <w:sz w:val="20"/>
          <w:szCs w:val="20"/>
          <w:color w:val="auto"/>
        </w:rPr>
      </w:pPr>
      <w:r>
        <w:rPr>
          <w:rFonts w:ascii="Arial" w:cs="Arial" w:eastAsia="Arial" w:hAnsi="Arial"/>
          <w:sz w:val="22"/>
          <w:szCs w:val="22"/>
          <w:b w:val="1"/>
          <w:bCs w:val="1"/>
          <w:color w:val="auto"/>
        </w:rPr>
        <w:t>Exhibit Index</w:t>
      </w:r>
    </w:p>
    <w:p>
      <w:pPr>
        <w:spacing w:after="0" w:line="361" w:lineRule="exact"/>
        <w:rPr>
          <w:sz w:val="20"/>
          <w:szCs w:val="20"/>
          <w:color w:val="auto"/>
        </w:rPr>
      </w:pPr>
    </w:p>
    <w:p>
      <w:pPr>
        <w:spacing w:after="0"/>
        <w:rPr>
          <w:sz w:val="20"/>
          <w:szCs w:val="20"/>
          <w:color w:val="auto"/>
        </w:rPr>
      </w:pPr>
      <w:r>
        <w:rPr>
          <w:rFonts w:ascii="Arial" w:cs="Arial" w:eastAsia="Arial" w:hAnsi="Arial"/>
          <w:sz w:val="22"/>
          <w:szCs w:val="22"/>
          <w:color w:val="auto"/>
        </w:rPr>
        <w:t>Exhibit</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Number Description</w:t>
      </w:r>
    </w:p>
    <w:p>
      <w:pPr>
        <w:spacing w:after="0" w:line="366" w:lineRule="exact"/>
        <w:rPr>
          <w:sz w:val="20"/>
          <w:szCs w:val="20"/>
          <w:color w:val="auto"/>
        </w:rPr>
      </w:pPr>
    </w:p>
    <w:p>
      <w:pPr>
        <w:ind w:left="360" w:hanging="352"/>
        <w:spacing w:after="0"/>
        <w:tabs>
          <w:tab w:leader="none" w:pos="360" w:val="left"/>
        </w:tabs>
        <w:numPr>
          <w:ilvl w:val="0"/>
          <w:numId w:val="10"/>
        </w:numPr>
        <w:rPr>
          <w:rFonts w:ascii="Arial" w:cs="Arial" w:eastAsia="Arial" w:hAnsi="Arial"/>
          <w:sz w:val="18"/>
          <w:szCs w:val="18"/>
          <w:u w:val="single" w:color="auto"/>
          <w:color w:val="0000FF"/>
        </w:rPr>
      </w:pPr>
      <w:hyperlink w:anchor="page25">
        <w:r>
          <w:rPr>
            <w:rFonts w:ascii="Arial" w:cs="Arial" w:eastAsia="Arial" w:hAnsi="Arial"/>
            <w:sz w:val="18"/>
            <w:szCs w:val="18"/>
            <w:u w:val="single" w:color="auto"/>
            <w:color w:val="0000FF"/>
          </w:rPr>
          <w:t>Consent of Independent Registered Public Accounting Firm</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139"/>
          </w:cols>
          <w:pgMar w:left="320" w:top="949" w:right="1440" w:bottom="1440" w:gutter="0" w:footer="0" w:header="0"/>
        </w:sectPr>
      </w:pPr>
    </w:p>
    <w:bookmarkStart w:id="23" w:name="page24"/>
    <w:bookmarkEnd w:id="23"/>
    <w:p>
      <w:pPr>
        <w:jc w:val="right"/>
        <w:spacing w:after="0"/>
        <w:rPr>
          <w:sz w:val="20"/>
          <w:szCs w:val="20"/>
          <w:color w:val="auto"/>
        </w:rPr>
      </w:pPr>
      <w:r>
        <w:rPr>
          <w:rFonts w:ascii="Arial" w:cs="Arial" w:eastAsia="Arial" w:hAnsi="Arial"/>
          <w:sz w:val="20"/>
          <w:szCs w:val="20"/>
          <w:b w:val="1"/>
          <w:bCs w:val="1"/>
          <w:color w:val="auto"/>
        </w:rPr>
        <w:t>Exhibit 23</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right="60"/>
        <w:spacing w:after="0" w:line="236" w:lineRule="auto"/>
        <w:rPr>
          <w:sz w:val="20"/>
          <w:szCs w:val="20"/>
          <w:color w:val="auto"/>
        </w:rPr>
      </w:pPr>
      <w:r>
        <w:rPr>
          <w:rFonts w:ascii="Arial" w:cs="Arial" w:eastAsia="Arial" w:hAnsi="Arial"/>
          <w:sz w:val="22"/>
          <w:szCs w:val="22"/>
          <w:color w:val="auto"/>
        </w:rPr>
        <w:t>We consent to the incorporation by reference in the Registration Statement (Form S-8 No. 333-172422) pertaining to The Lilly Employee 401(k) Plan and The Savings Plan for Lilly Affiliate Employees in Puerto Rico of Eli Lilly and Company of our report dated June 16, 2020, with respect to the financial statements and schedules of The Lilly Employee 401(k) Plan and The Savings Plan for Lilly Affiliate Employees in Puerto Rico included in this Annual Report (Form 11-K) for the year ended December 31, 2019.</w:t>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22"/>
          <w:szCs w:val="22"/>
          <w:color w:val="auto"/>
        </w:rPr>
        <w:t>/s/ Ernst &amp; Young LLP</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Indianapolis, Indiana</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June 16,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40"/>
          </w:cols>
          <w:pgMar w:left="320" w:top="940" w:right="339" w:bottom="1440" w:gutter="0" w:footer="0" w:header="0"/>
        </w:sectPr>
      </w:pPr>
    </w:p>
    <w:bookmarkStart w:id="24" w:name="page25"/>
    <w:bookmarkEnd w:id="24"/>
    <w:p>
      <w:pPr>
        <w:jc w:val="right"/>
        <w:spacing w:after="0"/>
        <w:rPr>
          <w:sz w:val="20"/>
          <w:szCs w:val="20"/>
          <w:color w:val="auto"/>
        </w:rPr>
      </w:pPr>
      <w:r>
        <w:rPr>
          <w:rFonts w:ascii="Arial" w:cs="Arial" w:eastAsia="Arial" w:hAnsi="Arial"/>
          <w:sz w:val="20"/>
          <w:szCs w:val="20"/>
          <w:b w:val="1"/>
          <w:bCs w:val="1"/>
          <w:color w:val="auto"/>
        </w:rPr>
        <w:t>Exhibit 23</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right="60"/>
        <w:spacing w:after="0" w:line="236" w:lineRule="auto"/>
        <w:rPr>
          <w:sz w:val="20"/>
          <w:szCs w:val="20"/>
          <w:color w:val="auto"/>
        </w:rPr>
      </w:pPr>
      <w:r>
        <w:rPr>
          <w:rFonts w:ascii="Arial" w:cs="Arial" w:eastAsia="Arial" w:hAnsi="Arial"/>
          <w:sz w:val="22"/>
          <w:szCs w:val="22"/>
          <w:color w:val="auto"/>
        </w:rPr>
        <w:t>We consent to the incorporation by reference in the Registration Statement (Form S-8 No. 333-172422) pertaining to The Lilly Employee 401(k) Plan and The Savings Plan for Lilly Affiliate Employees in Puerto Rico of Eli Lilly and Company of our report dated June 16, 2020, with respect to the financial statements and schedules of The Lilly Employee 401(k) Plan and The Savings Plan for Lilly Affiliate Employees in Puerto Rico included in this Annual Report (Form 11-K) for the year ended December 31, 2019.</w:t>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22"/>
          <w:szCs w:val="22"/>
          <w:color w:val="auto"/>
        </w:rPr>
        <w:t>/s/ Ernst &amp; Young LLP</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Indianapolis, Indiana</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June 16, 2020</w:t>
      </w:r>
    </w:p>
    <w:sectPr>
      <w:pgSz w:w="11900" w:h="16838" w:orient="portrait"/>
      <w:cols w:equalWidth="0" w:num="1">
        <w:col w:w="11240"/>
      </w:cols>
      <w:pgMar w:left="320" w:top="9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1."/>
      <w:numFmt w:val="decimal"/>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
      <w:numFmt w:val="bullet"/>
      <w:start w:val="1"/>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1"/>
      <w:numFmt w:val="decimal"/>
      <w:start w:val="2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2020-06-16T16:09:11Z</dcterms:created>
  <dcterms:modified xsi:type="dcterms:W3CDTF">2020-06-16T16:09:11Z</dcterms:modified>
</cp:coreProperties>
</file>