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DIN-Regular;sans-serif" w:hAnsi="DIN-Regular;sans-serif"/>
          <w:b/>
          <w:color w:val="000000"/>
          <w:sz w:val="28"/>
        </w:rPr>
      </w:pPr>
      <w:r>
        <w:rPr>
          <w:rFonts w:ascii="DIN-Regular;sans-serif" w:hAnsi="DIN-Regular;sans-serif"/>
          <w:b/>
          <w:color w:val="000000"/>
          <w:sz w:val="28"/>
        </w:rPr>
        <w:t xml:space="preserve">UNITED STATES </w:t>
      </w:r>
    </w:p>
    <w:p>
      <w:pPr>
        <w:pStyle w:val="TextBody"/>
        <w:bidi w:val="0"/>
        <w:spacing w:lineRule="auto" w:line="288" w:before="0" w:after="0"/>
        <w:jc w:val="center"/>
        <w:rPr>
          <w:rFonts w:ascii="DIN-Regular;sans-serif" w:hAnsi="DIN-Regular;sans-serif"/>
          <w:b/>
          <w:color w:val="000000"/>
          <w:sz w:val="28"/>
        </w:rPr>
      </w:pPr>
      <w:r>
        <w:rPr>
          <w:rFonts w:ascii="DIN-Regular;sans-serif" w:hAnsi="DIN-Regular;sans-serif"/>
          <w:b/>
          <w:color w:val="000000"/>
          <w:sz w:val="28"/>
        </w:rPr>
        <w:t xml:space="preserve">SECURITIES AND EXCHANGE COMMISSION </w:t>
      </w:r>
    </w:p>
    <w:p>
      <w:pPr>
        <w:pStyle w:val="TextBody"/>
        <w:bidi w:val="0"/>
        <w:spacing w:lineRule="auto" w:line="288" w:before="0" w:after="0"/>
        <w:jc w:val="center"/>
        <w:rPr>
          <w:rFonts w:ascii="DIN-Regular;sans-serif" w:hAnsi="DIN-Regular;sans-serif"/>
          <w:b/>
          <w:color w:val="000000"/>
          <w:sz w:val="24"/>
        </w:rPr>
      </w:pPr>
      <w:r>
        <w:rPr>
          <w:rFonts w:ascii="DIN-Regular;sans-serif" w:hAnsi="DIN-Regular;sans-serif"/>
          <w:b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180" w:after="283"/>
        <w:jc w:val="center"/>
        <w:rPr>
          <w:rFonts w:ascii="DIN-Regular;sans-serif" w:hAnsi="DIN-Regular;sans-serif"/>
          <w:b/>
          <w:color w:val="000000"/>
          <w:sz w:val="36"/>
        </w:rPr>
      </w:pPr>
      <w:r>
        <w:rPr>
          <w:rFonts w:ascii="DIN-Regular;sans-serif" w:hAnsi="DIN-Regular;sans-serif"/>
          <w:b/>
          <w:color w:val="000000"/>
          <w:sz w:val="36"/>
        </w:rPr>
        <w:t xml:space="preserve">SCHEDULE 14A </w:t>
      </w:r>
    </w:p>
    <w:p>
      <w:pPr>
        <w:pStyle w:val="TextBody"/>
        <w:bidi w:val="0"/>
        <w:spacing w:lineRule="auto" w:line="288" w:before="240" w:after="283"/>
        <w:jc w:val="center"/>
        <w:rPr>
          <w:rFonts w:ascii="DIN-Regular;sans-serif" w:hAnsi="DIN-Regular;sans-serif"/>
          <w:b/>
          <w:color w:val="000000"/>
          <w:sz w:val="24"/>
        </w:rPr>
      </w:pPr>
      <w:r>
        <w:rPr>
          <w:rFonts w:ascii="DIN-Regular;sans-serif" w:hAnsi="DIN-Regular;sans-serif"/>
          <w:b/>
          <w:color w:val="000000"/>
          <w:sz w:val="24"/>
        </w:rPr>
        <w:t xml:space="preserve">Proxy Statement Pursuant to Section 14(a) of the </w:t>
      </w:r>
    </w:p>
    <w:p>
      <w:pPr>
        <w:pStyle w:val="TextBody"/>
        <w:bidi w:val="0"/>
        <w:spacing w:lineRule="auto" w:line="288" w:before="0" w:after="0"/>
        <w:jc w:val="center"/>
        <w:rPr>
          <w:rFonts w:ascii="DIN-Regular;sans-serif" w:hAnsi="DIN-Regular;sans-serif"/>
          <w:b/>
          <w:color w:val="000000"/>
          <w:sz w:val="24"/>
        </w:rPr>
      </w:pPr>
      <w:r>
        <w:rPr>
          <w:rFonts w:ascii="DIN-Regular;sans-serif" w:hAnsi="DIN-Regular;sans-serif"/>
          <w:b/>
          <w:color w:val="000000"/>
          <w:sz w:val="24"/>
        </w:rPr>
        <w:t xml:space="preserve">Securities Exchange Act of 1934 </w:t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rFonts w:ascii="DIN-Regular;sans-serif" w:hAnsi="DIN-Regular;sans-serif"/>
          <w:b/>
          <w:color w:val="000000"/>
          <w:sz w:val="24"/>
        </w:rPr>
        <w:t xml:space="preserve">(Amendment No. </w:t>
      </w:r>
      <w:r>
        <w:rPr>
          <w:color w:val="000000"/>
          <w:u w:val="single"/>
        </w:rPr>
        <w:t>    </w:t>
      </w:r>
      <w:r>
        <w:rPr>
          <w:rFonts w:ascii="DIN-Regular;sans-serif" w:hAnsi="DIN-Regular;sans-serif"/>
          <w:b/>
          <w:color w:val="000000"/>
          <w:sz w:val="24"/>
        </w:rPr>
        <w:t xml:space="preserve">) 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180" w:after="283"/>
        <w:ind w:left="0" w:right="0" w:hanging="360"/>
        <w:jc w:val="left"/>
        <w:rPr/>
      </w:pPr>
      <w:r>
        <w:rPr>
          <w:rFonts w:ascii="DIN-Regular;sans-serif" w:hAnsi="DIN-Regular;sans-serif"/>
          <w:b w:val="false"/>
          <w:color w:val="000000"/>
          <w:sz w:val="18"/>
        </w:rPr>
        <w:t xml:space="preserve">Filed by the Registrant </w:t>
      </w:r>
      <w:r>
        <w:rPr>
          <w:rFonts w:ascii="Wingdings;sans-serif" w:hAnsi="Wingdings;sans-serif"/>
          <w:b w:val="false"/>
          <w:color w:val="000000"/>
          <w:sz w:val="18"/>
        </w:rPr>
        <w:t>x</w:t>
      </w:r>
    </w:p>
    <w:p>
      <w:pPr>
        <w:pStyle w:val="TextBody"/>
        <w:bidi w:val="0"/>
        <w:spacing w:lineRule="auto" w:line="288" w:before="180" w:after="283"/>
        <w:ind w:left="0" w:right="0" w:hanging="360"/>
        <w:jc w:val="left"/>
        <w:rPr/>
      </w:pPr>
      <w:r>
        <w:rPr>
          <w:rFonts w:ascii="DIN-Regular;sans-serif" w:hAnsi="DIN-Regular;sans-serif"/>
          <w:b w:val="false"/>
          <w:color w:val="000000"/>
          <w:sz w:val="18"/>
        </w:rPr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bidi w:val="0"/>
        <w:spacing w:lineRule="auto" w:line="288" w:before="180" w:after="283"/>
        <w:ind w:left="0" w:right="0" w:hanging="360"/>
        <w:jc w:val="left"/>
        <w:rPr>
          <w:rFonts w:ascii="DIN-Regular;sans-serif" w:hAnsi="DIN-Regular;sans-serif"/>
          <w:b w:val="false"/>
          <w:color w:val="000000"/>
          <w:sz w:val="18"/>
        </w:rPr>
      </w:pPr>
      <w:r>
        <w:rPr>
          <w:rFonts w:ascii="DIN-Regular;sans-serif" w:hAnsi="DIN-Regular;sans-serif"/>
          <w:b w:val="false"/>
          <w:color w:val="000000"/>
          <w:sz w:val="18"/>
        </w:rPr>
        <w:t xml:space="preserve">Check the appropriate box: </w:t>
      </w:r>
    </w:p>
    <w:tbl>
      <w:tblPr>
        <w:tblW w:w="6564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718"/>
        <w:gridCol w:w="1718"/>
        <w:gridCol w:w="2459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Wingdings;sans-serif" w:hAnsi="Wingdings;sans-serif"/>
                <w:b w:val="false"/>
                <w:color w:val="000000"/>
                <w:sz w:val="1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14"/>
              </w:rPr>
              <w:t>o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ind w:left="0" w:right="0" w:hanging="450"/>
              <w:jc w:val="left"/>
              <w:rPr>
                <w:rFonts w:ascii="DIN-Regular;sans-serif" w:hAnsi="DIN-Regular;sans-serif"/>
                <w:b w:val="false"/>
                <w:color w:val="000000"/>
                <w:sz w:val="14"/>
              </w:rPr>
            </w:pPr>
            <w:r>
              <w:rPr>
                <w:rFonts w:ascii="DIN-Regular;sans-serif" w:hAnsi="DIN-Regular;sans-serif"/>
                <w:b w:val="false"/>
                <w:color w:val="000000"/>
                <w:sz w:val="14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Wingdings;sans-serif" w:hAnsi="Wingdings;sans-serif"/>
                <w:b w:val="false"/>
                <w:color w:val="000000"/>
                <w:sz w:val="1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14"/>
              </w:rPr>
              <w:t>o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ind w:left="0" w:right="0" w:hanging="450"/>
              <w:jc w:val="left"/>
              <w:rPr>
                <w:rFonts w:ascii="DIN-Regular;sans-serif" w:hAnsi="DIN-Regular;sans-serif"/>
                <w:b w:val="false"/>
                <w:color w:val="000000"/>
                <w:sz w:val="14"/>
              </w:rPr>
            </w:pPr>
            <w:r>
              <w:rPr>
                <w:rFonts w:ascii="DIN-Regular;sans-serif" w:hAnsi="DIN-Regular;sans-serif"/>
                <w:b w:val="false"/>
                <w:color w:val="000000"/>
                <w:sz w:val="14"/>
              </w:rPr>
              <w:t>Confidential, for Use of the Commission Only 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Wingdings;sans-serif" w:hAnsi="Wingdings;sans-serif"/>
                <w:b w:val="false"/>
                <w:color w:val="000000"/>
                <w:sz w:val="1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14"/>
              </w:rPr>
              <w:t>o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ind w:left="0" w:right="0" w:hanging="450"/>
              <w:jc w:val="left"/>
              <w:rPr>
                <w:rFonts w:ascii="DIN-Regular;sans-serif" w:hAnsi="DIN-Regular;sans-serif"/>
                <w:b w:val="false"/>
                <w:color w:val="000000"/>
                <w:sz w:val="14"/>
              </w:rPr>
            </w:pPr>
            <w:r>
              <w:rPr>
                <w:rFonts w:ascii="DIN-Regular;sans-serif" w:hAnsi="DIN-Regular;sans-serif"/>
                <w:b w:val="false"/>
                <w:color w:val="000000"/>
                <w:sz w:val="14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Wingdings;sans-serif" w:hAnsi="Wingdings;sans-serif"/>
                <w:b w:val="false"/>
                <w:color w:val="000000"/>
                <w:sz w:val="1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14"/>
              </w:rPr>
              <w:t>x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ind w:left="0" w:right="0" w:hanging="450"/>
              <w:jc w:val="left"/>
              <w:rPr>
                <w:rFonts w:ascii="DIN-Regular;sans-serif" w:hAnsi="DIN-Regular;sans-serif"/>
                <w:b w:val="false"/>
                <w:color w:val="000000"/>
                <w:sz w:val="14"/>
              </w:rPr>
            </w:pPr>
            <w:r>
              <w:rPr>
                <w:rFonts w:ascii="DIN-Regular;sans-serif" w:hAnsi="DIN-Regular;sans-serif"/>
                <w:b w:val="false"/>
                <w:color w:val="000000"/>
                <w:sz w:val="14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Wingdings;sans-serif" w:hAnsi="Wingdings;sans-serif"/>
                <w:b w:val="false"/>
                <w:color w:val="000000"/>
                <w:sz w:val="1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14"/>
              </w:rPr>
              <w:t>o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ind w:left="0" w:right="0" w:hanging="450"/>
              <w:jc w:val="left"/>
              <w:rPr>
                <w:rFonts w:ascii="DIN-Regular;sans-serif" w:hAnsi="DIN-Regular;sans-serif"/>
                <w:b w:val="false"/>
                <w:color w:val="000000"/>
                <w:sz w:val="14"/>
              </w:rPr>
            </w:pPr>
            <w:r>
              <w:rPr>
                <w:rFonts w:ascii="DIN-Regular;sans-serif" w:hAnsi="DIN-Regular;sans-serif"/>
                <w:b w:val="false"/>
                <w:color w:val="000000"/>
                <w:sz w:val="14"/>
              </w:rPr>
              <w:t>Soliciting Material Pursuant to §240.14a-12</w:t>
            </w:r>
          </w:p>
        </w:tc>
      </w:tr>
    </w:tbl>
    <w:tbl>
      <w:tblPr>
        <w:tblW w:w="456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59"/>
        <w:gridCol w:w="1284"/>
        <w:gridCol w:w="1817"/>
      </w:tblGrid>
      <w:tr>
        <w:trPr/>
        <w:tc>
          <w:tcPr>
            <w:tcW w:w="14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80" w:after="283"/>
              <w:jc w:val="center"/>
              <w:rPr>
                <w:rFonts w:ascii="DIN-Regular;sans-serif" w:hAnsi="DIN-Regular;sans-serif"/>
                <w:b/>
                <w:color w:val="000000"/>
                <w:sz w:val="24"/>
              </w:rPr>
            </w:pPr>
            <w:r>
              <w:rPr>
                <w:rFonts w:ascii="DIN-Regular;sans-serif" w:hAnsi="DIN-Regular;sans-serif"/>
                <w:b/>
                <w:color w:val="000000"/>
                <w:sz w:val="24"/>
              </w:rPr>
              <w:t>ELI LILLY AND COMPANY</w:t>
            </w:r>
          </w:p>
        </w:tc>
      </w:tr>
      <w:tr>
        <w:trPr/>
        <w:tc>
          <w:tcPr>
            <w:tcW w:w="4560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DIN-Regular;sans-serif" w:hAnsi="DIN-Regular;sans-serif"/>
                <w:b/>
                <w:color w:val="000000"/>
                <w:sz w:val="16"/>
              </w:rPr>
            </w:pPr>
            <w:r>
              <w:rPr>
                <w:rFonts w:ascii="DIN-Regular;sans-serif" w:hAnsi="DIN-Regular;sans-serif"/>
                <w:b/>
                <w:color w:val="000000"/>
                <w:sz w:val="16"/>
              </w:rPr>
              <w:t>(Name of Registrant as Specified In Its Charter)</w:t>
            </w:r>
          </w:p>
        </w:tc>
      </w:tr>
    </w:tbl>
    <w:tbl>
      <w:tblPr>
        <w:tblW w:w="6899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09"/>
        <w:gridCol w:w="1938"/>
        <w:gridCol w:w="2752"/>
      </w:tblGrid>
      <w:tr>
        <w:trPr/>
        <w:tc>
          <w:tcPr>
            <w:tcW w:w="22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899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DIN-Regular;sans-serif" w:hAnsi="DIN-Regular;sans-serif"/>
                <w:b/>
                <w:color w:val="000000"/>
                <w:sz w:val="16"/>
              </w:rPr>
            </w:pPr>
            <w:r>
              <w:rPr>
                <w:rFonts w:ascii="DIN-Regular;sans-serif" w:hAnsi="DIN-Regular;sans-serif"/>
                <w:b/>
                <w:color w:val="000000"/>
                <w:sz w:val="16"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8931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7"/>
        <w:gridCol w:w="244"/>
        <w:gridCol w:w="244"/>
        <w:gridCol w:w="244"/>
        <w:gridCol w:w="244"/>
        <w:gridCol w:w="244"/>
        <w:gridCol w:w="790"/>
        <w:gridCol w:w="790"/>
        <w:gridCol w:w="790"/>
        <w:gridCol w:w="790"/>
        <w:gridCol w:w="790"/>
        <w:gridCol w:w="790"/>
        <w:gridCol w:w="790"/>
        <w:gridCol w:w="790"/>
        <w:gridCol w:w="1114"/>
      </w:tblGrid>
      <w:tr>
        <w:trPr/>
        <w:tc>
          <w:tcPr>
            <w:tcW w:w="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931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80" w:after="283"/>
              <w:jc w:val="left"/>
              <w:rPr>
                <w:rFonts w:ascii="DIN-Regular;sans-serif" w:hAnsi="DIN-Regular;sans-serif"/>
                <w:b w:val="false"/>
                <w:color w:val="000000"/>
                <w:sz w:val="14"/>
              </w:rPr>
            </w:pPr>
            <w:r>
              <w:rPr>
                <w:rFonts w:ascii="DIN-Regular;sans-serif" w:hAnsi="DIN-Regular;sans-serif"/>
                <w:b w:val="false"/>
                <w:color w:val="000000"/>
                <w:sz w:val="14"/>
              </w:rPr>
              <w:t>Payment of Filing Fee (Check all boxes that apply):</w:t>
            </w:r>
          </w:p>
        </w:tc>
      </w:tr>
      <w:tr>
        <w:trPr/>
        <w:tc>
          <w:tcPr>
            <w:tcW w:w="7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Wingdings;sans-serif" w:hAnsi="Wingdings;sans-serif"/>
                <w:b w:val="false"/>
                <w:color w:val="000000"/>
                <w:sz w:val="1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14"/>
              </w:rPr>
              <w:t>x</w:t>
            </w:r>
          </w:p>
        </w:tc>
        <w:tc>
          <w:tcPr>
            <w:tcW w:w="73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4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DIN-Regular;sans-serif" w:hAnsi="DIN-Regular;sans-serif"/>
                <w:b w:val="false"/>
                <w:color w:val="000000"/>
                <w:sz w:val="14"/>
              </w:rPr>
            </w:pPr>
            <w:r>
              <w:rPr>
                <w:rFonts w:ascii="DIN-Regular;sans-serif" w:hAnsi="DIN-Regular;sans-serif"/>
                <w:b w:val="false"/>
                <w:color w:val="000000"/>
                <w:sz w:val="14"/>
              </w:rPr>
              <w:t>No fee required</w:t>
            </w:r>
          </w:p>
        </w:tc>
      </w:tr>
      <w:tr>
        <w:trPr/>
        <w:tc>
          <w:tcPr>
            <w:tcW w:w="7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Wingdings;sans-serif" w:hAnsi="Wingdings;sans-serif"/>
                <w:b w:val="false"/>
                <w:color w:val="000000"/>
                <w:sz w:val="1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14"/>
              </w:rPr>
              <w:t>o</w:t>
            </w:r>
          </w:p>
        </w:tc>
        <w:tc>
          <w:tcPr>
            <w:tcW w:w="73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4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DIN-Regular;sans-serif" w:hAnsi="DIN-Regular;sans-serif"/>
                <w:b w:val="false"/>
                <w:color w:val="000000"/>
                <w:sz w:val="14"/>
              </w:rPr>
            </w:pPr>
            <w:r>
              <w:rPr>
                <w:rFonts w:ascii="DIN-Regular;sans-serif" w:hAnsi="DIN-Regular;sans-serif"/>
                <w:b w:val="false"/>
                <w:color w:val="000000"/>
                <w:sz w:val="14"/>
              </w:rPr>
              <w:t>Fee paid previously with preliminary materials</w:t>
            </w:r>
          </w:p>
        </w:tc>
      </w:tr>
      <w:tr>
        <w:trPr/>
        <w:tc>
          <w:tcPr>
            <w:tcW w:w="7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Wingdings;sans-serif" w:hAnsi="Wingdings;sans-serif"/>
                <w:b w:val="false"/>
                <w:color w:val="000000"/>
                <w:sz w:val="1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14"/>
              </w:rPr>
              <w:t>o</w:t>
            </w:r>
          </w:p>
        </w:tc>
        <w:tc>
          <w:tcPr>
            <w:tcW w:w="73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4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DIN-Regular;sans-serif" w:hAnsi="DIN-Regular;sans-serif"/>
                <w:b w:val="false"/>
                <w:color w:val="000000"/>
                <w:sz w:val="14"/>
              </w:rPr>
            </w:pPr>
            <w:r>
              <w:rPr>
                <w:rFonts w:ascii="DIN-Regular;sans-serif" w:hAnsi="DIN-Regular;sans-serif"/>
                <w:b w:val="false"/>
                <w:color w:val="000000"/>
                <w:sz w:val="14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  <w:t>  </w:t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420" w:after="60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420" w:after="60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420" w:after="60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6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7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420" w:after="60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8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9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DIN-Regular">
    <w:altName w:val="sans-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137</Words>
  <Characters>730</Characters>
  <CharactersWithSpaces>853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