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153893.xml.htm"/>
      <w:bookmarkStart w:id="1" w:name="kswkform4_177015389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Dozier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LILLY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ELI LILLY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LLY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5"/>
        <w:gridCol w:w="907"/>
        <w:gridCol w:w="780"/>
        <w:gridCol w:w="602"/>
        <w:gridCol w:w="333"/>
        <w:gridCol w:w="1138"/>
        <w:gridCol w:w="407"/>
        <w:gridCol w:w="982"/>
        <w:gridCol w:w="1323"/>
        <w:gridCol w:w="943"/>
        <w:gridCol w:w="9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5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2,858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12,696.91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1,272.992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1,037.15</w:t>
            </w:r>
            <w:r>
              <w:rPr/>
              <w:t xml:space="preserve"> </w:t>
            </w:r>
          </w:p>
        </w:tc>
        <w:tc>
          <w:tcPr>
            <w:tcW w:w="1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11,423.918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376.93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2,858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Eli Lilly and Company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Groff for Eric Dozier, pursuant to authorization on file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5972" TargetMode="External"/><Relationship Id="rId5" Type="http://schemas.openxmlformats.org/officeDocument/2006/relationships/hyperlink" Target="http://www.sec.gov/cgi-bin/browse-edgar?action=getcompany&amp;CIK=00000594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3333</Characters>
  <CharactersWithSpaces>3867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