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95"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35-0470950</w:t>
      </w:r>
    </w:p>
    <w:p>
      <w:pPr>
        <w:spacing w:after="0" w:line="42" w:lineRule="exact"/>
        <w:rPr>
          <w:sz w:val="24"/>
          <w:szCs w:val="24"/>
          <w:color w:val="auto"/>
        </w:rPr>
      </w:pPr>
    </w:p>
    <w:p>
      <w:pPr>
        <w:sectPr>
          <w:pgSz w:w="11900" w:h="16838" w:orient="portrait"/>
          <w:cols w:equalWidth="0" w:num="2">
            <w:col w:w="7460" w:space="720"/>
            <w:col w:w="3060"/>
          </w:cols>
          <w:pgMar w:left="320" w:top="1195"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sectPr>
          <w:pgSz w:w="11900" w:h="16838" w:orient="portrait"/>
          <w:cols w:equalWidth="0" w:num="2">
            <w:col w:w="7320" w:space="720"/>
            <w:col w:w="3200"/>
          </w:cols>
          <w:pgMar w:left="320" w:top="1195" w:right="339" w:bottom="1440" w:gutter="0" w:footer="0" w:header="0"/>
          <w:type w:val="continuous"/>
        </w:sect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90" w:lineRule="exact"/>
        <w:rPr>
          <w:sz w:val="24"/>
          <w:szCs w:val="24"/>
          <w:color w:val="auto"/>
        </w:rPr>
      </w:pPr>
    </w:p>
    <w:p>
      <w:pPr>
        <w:sectPr>
          <w:pgSz w:w="11900" w:h="16838" w:orient="portrait"/>
          <w:cols w:equalWidth="0" w:num="2">
            <w:col w:w="7280" w:space="720"/>
            <w:col w:w="3240"/>
          </w:cols>
          <w:pgMar w:left="320" w:top="1195"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95" w:right="3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82"/>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7 1/8% Notes due 2025</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LLY25</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2026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6"/>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99"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620"/>
        <w:spacing w:after="0" w:line="26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4960" w:type="dxa"/>
            <w:vAlign w:val="bottom"/>
          </w:tcPr>
          <w:p>
            <w:pPr>
              <w:spacing w:after="0"/>
              <w:rPr>
                <w:sz w:val="21"/>
                <w:szCs w:val="21"/>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October 25, 2024:</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6"/>
                <w:szCs w:val="16"/>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949,315,694</w:t>
            </w:r>
          </w:p>
        </w:tc>
        <w:tc>
          <w:tcPr>
            <w:tcW w:w="20" w:type="dxa"/>
            <w:vAlign w:val="bottom"/>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160" w:type="dxa"/>
            <w:vAlign w:val="bottom"/>
          </w:tcPr>
          <w:p>
            <w:pPr>
              <w:spacing w:after="0"/>
              <w:rPr>
                <w:sz w:val="24"/>
                <w:szCs w:val="24"/>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0000FF"/>
                <w:w w:val="99"/>
              </w:rPr>
              <w:t>Consolidated Condensed Statements of Operations</w:t>
            </w:r>
          </w:p>
        </w:tc>
        <w:tc>
          <w:tcPr>
            <w:tcW w:w="320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20"/>
          </w:tcPr>
          <w:p>
            <w:pPr>
              <w:spacing w:after="0"/>
              <w:rPr>
                <w:sz w:val="20"/>
                <w:szCs w:val="20"/>
                <w:color w:val="auto"/>
              </w:rPr>
            </w:pPr>
            <w:r>
              <w:rPr>
                <w:rFonts w:ascii="Arial" w:cs="Arial" w:eastAsia="Arial" w:hAnsi="Arial"/>
                <w:sz w:val="18"/>
                <w:szCs w:val="18"/>
                <w:color w:val="0000FF"/>
              </w:rPr>
              <w:t>Consolidated Condensed Statements of Comprehensive Income (Loss)</w:t>
            </w:r>
          </w:p>
        </w:tc>
        <w:tc>
          <w:tcPr>
            <w:tcW w:w="300" w:type="dxa"/>
            <w:vAlign w:val="bottom"/>
            <w:gridSpan w:val="3"/>
          </w:tcPr>
          <w:p>
            <w:pPr>
              <w:jc w:val="center"/>
              <w:ind w:left="30"/>
              <w:spacing w:after="0"/>
              <w:rPr>
                <w:sz w:val="20"/>
                <w:szCs w:val="20"/>
                <w:color w:val="auto"/>
              </w:rPr>
            </w:pPr>
            <w:r>
              <w:rPr>
                <w:rFonts w:ascii="Arial" w:cs="Arial" w:eastAsia="Arial" w:hAnsi="Arial"/>
                <w:sz w:val="18"/>
                <w:szCs w:val="18"/>
                <w:color w:val="0000FF"/>
                <w:w w:val="99"/>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FF"/>
                <w:w w:val="99"/>
              </w:rPr>
              <w:t>Consolidated Condensed Balance Sheets</w:t>
            </w:r>
          </w:p>
        </w:tc>
        <w:tc>
          <w:tcPr>
            <w:tcW w:w="2340" w:type="dxa"/>
            <w:vAlign w:val="bottom"/>
            <w:gridSpan w:val="7"/>
          </w:tcPr>
          <w:p>
            <w:pPr>
              <w:spacing w:after="0"/>
              <w:rPr>
                <w:sz w:val="18"/>
                <w:szCs w:val="18"/>
                <w:color w:val="auto"/>
              </w:rPr>
            </w:pPr>
          </w:p>
        </w:tc>
        <w:tc>
          <w:tcPr>
            <w:tcW w:w="16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Shareholders' Equity</w:t>
            </w:r>
          </w:p>
        </w:tc>
        <w:tc>
          <w:tcPr>
            <w:tcW w:w="24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0000FF"/>
                <w:w w:val="99"/>
              </w:rPr>
              <w:t>Consolidated Condensed Statements of Cash Flows</w:t>
            </w:r>
          </w:p>
        </w:tc>
        <w:tc>
          <w:tcPr>
            <w:tcW w:w="720" w:type="dxa"/>
            <w:vAlign w:val="bottom"/>
            <w:gridSpan w:val="4"/>
          </w:tcPr>
          <w:p>
            <w:pPr>
              <w:spacing w:after="0"/>
              <w:rPr>
                <w:sz w:val="18"/>
                <w:szCs w:val="18"/>
                <w:color w:val="auto"/>
              </w:rPr>
            </w:pPr>
          </w:p>
        </w:tc>
        <w:tc>
          <w:tcPr>
            <w:tcW w:w="2420" w:type="dxa"/>
            <w:vAlign w:val="bottom"/>
            <w:gridSpan w:val="3"/>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10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Consolidated Condensed Financial Statements</w:t>
            </w:r>
          </w:p>
        </w:tc>
        <w:tc>
          <w:tcPr>
            <w:tcW w:w="3040" w:type="dxa"/>
            <w:vAlign w:val="bottom"/>
            <w:gridSpan w:val="6"/>
          </w:tcPr>
          <w:p>
            <w:pPr>
              <w:spacing w:after="0"/>
              <w:rPr>
                <w:sz w:val="18"/>
                <w:szCs w:val="18"/>
                <w:color w:val="auto"/>
              </w:rPr>
            </w:pPr>
          </w:p>
        </w:tc>
        <w:tc>
          <w:tcPr>
            <w:tcW w:w="300" w:type="dxa"/>
            <w:vAlign w:val="bottom"/>
            <w:gridSpan w:val="3"/>
          </w:tcPr>
          <w:p>
            <w:pPr>
              <w:jc w:val="center"/>
              <w:ind w:left="30"/>
              <w:spacing w:after="0"/>
              <w:rPr>
                <w:sz w:val="20"/>
                <w:szCs w:val="20"/>
                <w:color w:val="auto"/>
              </w:rPr>
            </w:pPr>
            <w:r>
              <w:rPr>
                <w:rFonts w:ascii="Arial" w:cs="Arial" w:eastAsia="Arial" w:hAnsi="Arial"/>
                <w:sz w:val="18"/>
                <w:szCs w:val="18"/>
                <w:color w:val="0000FF"/>
                <w:w w:val="89"/>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2560" w:type="dxa"/>
            <w:vAlign w:val="bottom"/>
            <w:gridSpan w:val="5"/>
          </w:tcPr>
          <w:p>
            <w:pPr>
              <w:spacing w:after="0"/>
              <w:rPr>
                <w:sz w:val="18"/>
                <w:szCs w:val="18"/>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w w:val="99"/>
              </w:rPr>
              <w:t>Management's Discussion and Analysis of Results of Operations and Financial Condition</w:t>
            </w:r>
          </w:p>
        </w:tc>
        <w:tc>
          <w:tcPr>
            <w:tcW w:w="44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9"/>
          </w:tcPr>
          <w:p>
            <w:pPr>
              <w:spacing w:after="0"/>
              <w:rPr>
                <w:sz w:val="20"/>
                <w:szCs w:val="20"/>
                <w:color w:val="auto"/>
              </w:rPr>
            </w:pPr>
            <w:r>
              <w:rPr>
                <w:rFonts w:ascii="Arial" w:cs="Arial" w:eastAsia="Arial" w:hAnsi="Arial"/>
                <w:sz w:val="18"/>
                <w:szCs w:val="18"/>
                <w:color w:val="0000FF"/>
              </w:rPr>
              <w:t>Executive Overview</w:t>
            </w:r>
          </w:p>
        </w:tc>
        <w:tc>
          <w:tcPr>
            <w:tcW w:w="44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7"/>
          </w:tcPr>
          <w:p>
            <w:pPr>
              <w:spacing w:after="0"/>
              <w:rPr>
                <w:sz w:val="20"/>
                <w:szCs w:val="20"/>
                <w:color w:val="auto"/>
              </w:rPr>
            </w:pPr>
            <w:r>
              <w:rPr>
                <w:rFonts w:ascii="Arial" w:cs="Arial" w:eastAsia="Arial" w:hAnsi="Arial"/>
                <w:sz w:val="18"/>
                <w:szCs w:val="18"/>
                <w:color w:val="0000FF"/>
                <w:w w:val="98"/>
              </w:rPr>
              <w:t>Results of Operations</w:t>
            </w:r>
          </w:p>
        </w:tc>
        <w:tc>
          <w:tcPr>
            <w:tcW w:w="5580" w:type="dxa"/>
            <w:vAlign w:val="bottom"/>
            <w:gridSpan w:val="13"/>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w w:val="99"/>
              </w:rPr>
              <w:t>Financial Condition and Liquidity</w:t>
            </w:r>
          </w:p>
        </w:tc>
        <w:tc>
          <w:tcPr>
            <w:tcW w:w="4720" w:type="dxa"/>
            <w:vAlign w:val="bottom"/>
            <w:gridSpan w:val="11"/>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9"/>
              </w:rPr>
              <w:t>Critical Accounting Estimates</w:t>
            </w:r>
          </w:p>
        </w:tc>
        <w:tc>
          <w:tcPr>
            <w:tcW w:w="260" w:type="dxa"/>
            <w:vAlign w:val="bottom"/>
          </w:tcPr>
          <w:p>
            <w:pPr>
              <w:spacing w:after="0"/>
              <w:rPr>
                <w:sz w:val="18"/>
                <w:szCs w:val="18"/>
                <w:color w:val="auto"/>
              </w:rPr>
            </w:pPr>
          </w:p>
        </w:tc>
        <w:tc>
          <w:tcPr>
            <w:tcW w:w="4720" w:type="dxa"/>
            <w:vAlign w:val="bottom"/>
            <w:gridSpan w:val="11"/>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46</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20"/>
          </w:tcPr>
          <w:p>
            <w:pPr>
              <w:spacing w:after="0"/>
              <w:rPr>
                <w:sz w:val="20"/>
                <w:szCs w:val="20"/>
                <w:color w:val="auto"/>
              </w:rPr>
            </w:pPr>
            <w:r>
              <w:rPr>
                <w:rFonts w:ascii="Arial" w:cs="Arial" w:eastAsia="Arial" w:hAnsi="Arial"/>
                <w:sz w:val="18"/>
                <w:szCs w:val="18"/>
                <w:color w:val="0000FF"/>
              </w:rPr>
              <w:t>Available Information on our Website</w:t>
            </w: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46</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2560" w:type="dxa"/>
            <w:vAlign w:val="bottom"/>
            <w:gridSpan w:val="5"/>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800" w:type="dxa"/>
            <w:vAlign w:val="bottom"/>
            <w:gridSpan w:val="5"/>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560" w:type="dxa"/>
            <w:vAlign w:val="bottom"/>
            <w:gridSpan w:val="5"/>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8"/>
          </w:tcPr>
          <w:p>
            <w:pPr>
              <w:spacing w:after="0"/>
              <w:rPr>
                <w:sz w:val="18"/>
                <w:szCs w:val="18"/>
                <w:color w:val="auto"/>
              </w:rPr>
            </w:pPr>
          </w:p>
        </w:tc>
        <w:tc>
          <w:tcPr>
            <w:tcW w:w="2800" w:type="dxa"/>
            <w:vAlign w:val="bottom"/>
            <w:gridSpan w:val="5"/>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020" w:type="dxa"/>
            <w:vAlign w:val="bottom"/>
            <w:gridSpan w:val="16"/>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40" w:type="dxa"/>
            <w:vAlign w:val="bottom"/>
            <w:gridSpan w:val="4"/>
          </w:tcPr>
          <w:p>
            <w:pPr>
              <w:spacing w:after="0"/>
              <w:rPr>
                <w:sz w:val="18"/>
                <w:szCs w:val="18"/>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660" w:type="dxa"/>
            <w:vAlign w:val="bottom"/>
            <w:gridSpan w:val="4"/>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60" w:type="dxa"/>
            <w:vAlign w:val="bottom"/>
            <w:gridSpan w:val="13"/>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2560" w:type="dxa"/>
            <w:vAlign w:val="bottom"/>
            <w:gridSpan w:val="5"/>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2660" w:type="dxa"/>
            <w:vAlign w:val="bottom"/>
            <w:gridSpan w:val="4"/>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120" w:type="dxa"/>
            <w:vAlign w:val="bottom"/>
            <w:gridSpan w:val="1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2560" w:type="dxa"/>
            <w:vAlign w:val="bottom"/>
            <w:gridSpan w:val="5"/>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6120" w:type="dxa"/>
            <w:vAlign w:val="bottom"/>
            <w:gridSpan w:val="17"/>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49</w:t>
            </w:r>
          </w:p>
        </w:tc>
        <w:tc>
          <w:tcPr>
            <w:tcW w:w="140" w:type="dxa"/>
            <w:vAlign w:val="bottom"/>
          </w:tcPr>
          <w:p>
            <w:pPr>
              <w:spacing w:after="0"/>
              <w:rPr>
                <w:sz w:val="24"/>
                <w:szCs w:val="24"/>
                <w:color w:val="auto"/>
              </w:rPr>
            </w:pPr>
          </w:p>
        </w:tc>
      </w:tr>
      <w:tr>
        <w:trPr>
          <w:trHeight w:val="88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9"/>
          </w:tcPr>
          <w:p>
            <w:pPr>
              <w:ind w:left="244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This Quarterly Report on Form 10-Q </w:t>
      </w:r>
      <w:r>
        <w:rPr>
          <w:rFonts w:ascii="Arial" w:cs="Arial" w:eastAsia="Arial" w:hAnsi="Arial"/>
          <w:sz w:val="17"/>
          <w:szCs w:val="17"/>
          <w:color w:val="auto"/>
        </w:rPr>
        <w:t>and our other publicly available documents include forward-looking statements within the meaning of</w:t>
      </w:r>
      <w:r>
        <w:rPr>
          <w:rFonts w:ascii="Arial" w:cs="Arial" w:eastAsia="Arial" w:hAnsi="Arial"/>
          <w:sz w:val="18"/>
          <w:szCs w:val="18"/>
          <w:color w:val="auto"/>
        </w:rPr>
        <w:t xml:space="preserve"> </w:t>
      </w:r>
      <w:r>
        <w:rPr>
          <w:rFonts w:ascii="Arial" w:cs="Arial" w:eastAsia="Arial" w:hAnsi="Arial"/>
          <w:sz w:val="17"/>
          <w:szCs w:val="17"/>
          <w:color w:val="auto"/>
        </w:rPr>
        <w:t>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safety or efficacy concerns associated with our products;</w:t>
      </w:r>
    </w:p>
    <w:p>
      <w:pPr>
        <w:spacing w:after="0" w:line="63" w:lineRule="exact"/>
        <w:rPr>
          <w:rFonts w:ascii="Arial" w:cs="Arial" w:eastAsia="Arial" w:hAnsi="Arial"/>
          <w:sz w:val="18"/>
          <w:szCs w:val="18"/>
          <w:color w:val="auto"/>
        </w:rPr>
      </w:pPr>
    </w:p>
    <w:p>
      <w:pPr>
        <w:ind w:left="340" w:right="9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an increasingly consolidated supply chain;</w:t>
      </w:r>
    </w:p>
    <w:p>
      <w:pPr>
        <w:spacing w:after="0" w:line="1" w:lineRule="exact"/>
        <w:rPr>
          <w:rFonts w:ascii="Arial" w:cs="Arial" w:eastAsia="Arial" w:hAnsi="Arial"/>
          <w:sz w:val="18"/>
          <w:szCs w:val="18"/>
          <w:color w:val="auto"/>
        </w:rPr>
      </w:pPr>
    </w:p>
    <w:p>
      <w:pPr>
        <w:ind w:left="340" w:right="4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 and risks from the proliferation of counterfeit or illegally compounded products;</w:t>
      </w:r>
    </w:p>
    <w:p>
      <w:pPr>
        <w:spacing w:after="0" w:line="1"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right="3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which may exacerbate competitive, regulatory, litigation, cybersecurity, and other risks;</w:t>
      </w:r>
    </w:p>
    <w:p>
      <w:pPr>
        <w:spacing w:after="0" w:line="1" w:lineRule="exact"/>
        <w:rPr>
          <w:rFonts w:ascii="Arial" w:cs="Arial" w:eastAsia="Arial" w:hAnsi="Arial"/>
          <w:sz w:val="18"/>
          <w:szCs w:val="18"/>
          <w:color w:val="auto"/>
        </w:rPr>
      </w:pPr>
    </w:p>
    <w:p>
      <w:pPr>
        <w:ind w:left="340" w:right="260" w:hanging="332"/>
        <w:spacing w:after="0" w:line="298" w:lineRule="auto"/>
        <w:tabs>
          <w:tab w:leader="none" w:pos="33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global macroeconomic conditions, including uneven economic growth or downturns or uncertainty, trade disruptions, international tension, conflicts, regional dependencies, or other costs, uncertainties, and risks related to engaging in business globally;</w:t>
      </w: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 or changes in interest rates and inflation;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activities;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our actual results or events to differ from those expressed in forward looking statements is included from time to time in our reports filed with the Securities and Exchange Commission, including in our Annual Report on </w:t>
      </w:r>
      <w:hyperlink r:id="rId15">
        <w:r>
          <w:rPr>
            <w:rFonts w:ascii="Arial" w:cs="Arial" w:eastAsia="Arial" w:hAnsi="Arial"/>
            <w:sz w:val="17"/>
            <w:szCs w:val="17"/>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2023, particularly under Part I, Item 1A, "Risk Factors." Investors should understand that it is not possible to predict or identify all such factors and should not consider the risks described above and under Part I, Item 1A, "Risk Factors" of our Annual Report on </w:t>
      </w:r>
      <w:hyperlink r:id="rId15">
        <w:r>
          <w:rPr>
            <w:rFonts w:ascii="Arial" w:cs="Arial" w:eastAsia="Arial" w:hAnsi="Arial"/>
            <w:sz w:val="17"/>
            <w:szCs w:val="17"/>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be a complete statement of all potential risks and uncertainties.</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2" w:right="45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11,439.1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9,498.6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31,509.9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24,770.7</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2,170.8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1,860.1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6,014.5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5,294.2</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2,734.1</w:t>
            </w:r>
          </w:p>
        </w:tc>
        <w:tc>
          <w:tcPr>
            <w:tcW w:w="38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2,409.1</w:t>
            </w:r>
          </w:p>
        </w:tc>
        <w:tc>
          <w:tcPr>
            <w:tcW w:w="20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7,968.1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6,750.7</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2,099.8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1,803.9</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6,169.3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5,478.5</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14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2,826.4</w:t>
            </w:r>
          </w:p>
        </w:tc>
        <w:tc>
          <w:tcPr>
            <w:tcW w:w="38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2,975.1</w:t>
            </w:r>
          </w:p>
        </w:tc>
        <w:tc>
          <w:tcPr>
            <w:tcW w:w="20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3,091.2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3,177.2</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 (Note 5)</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81.6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516.6</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 (Note 12)</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108.5</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23"/>
        </w:trPr>
        <w:tc>
          <w:tcPr>
            <w:tcW w:w="56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9,850.7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9,071.4</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23,868.2</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20,724.9</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1,588.4</w:t>
            </w:r>
          </w:p>
        </w:tc>
        <w:tc>
          <w:tcPr>
            <w:tcW w:w="38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427.2</w:t>
            </w:r>
          </w:p>
        </w:tc>
        <w:tc>
          <w:tcPr>
            <w:tcW w:w="20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7,641.7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4,045.8</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8)</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618.1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484.6</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1,461.5</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995.1</w:t>
            </w:r>
          </w:p>
        </w:tc>
      </w:tr>
      <w:tr>
        <w:trPr>
          <w:trHeight w:val="21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970.3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6,180.2</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3,050.7</w:t>
            </w:r>
          </w:p>
        </w:tc>
      </w:tr>
      <w:tr>
        <w:trPr>
          <w:trHeight w:val="243"/>
        </w:trPr>
        <w:tc>
          <w:tcPr>
            <w:tcW w:w="5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6.86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10"/>
        </w:trPr>
        <w:tc>
          <w:tcPr>
            <w:tcW w:w="562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b w:val="1"/>
                <w:bCs w:val="1"/>
                <w:color w:val="auto"/>
              </w:rPr>
              <w:t>1.07</w:t>
            </w:r>
          </w:p>
        </w:tc>
        <w:tc>
          <w:tcPr>
            <w:tcW w:w="3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(0.06)</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b w:val="1"/>
                <w:bCs w:val="1"/>
                <w:color w:val="auto"/>
              </w:rPr>
              <w:t>6.83</w:t>
            </w:r>
          </w:p>
        </w:tc>
        <w:tc>
          <w:tcPr>
            <w:tcW w:w="3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w:t>
            </w:r>
          </w:p>
        </w:tc>
      </w:tr>
      <w:tr>
        <w:trPr>
          <w:trHeight w:val="243"/>
        </w:trPr>
        <w:tc>
          <w:tcPr>
            <w:tcW w:w="5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Shares used in calculation of earnings (loss) per share: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901.0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899.8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900.9</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r>
      <w:tr>
        <w:trPr>
          <w:trHeight w:val="247"/>
        </w:trPr>
        <w:tc>
          <w:tcPr>
            <w:tcW w:w="56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905.0</w:t>
            </w:r>
          </w:p>
        </w:tc>
        <w:tc>
          <w:tcPr>
            <w:tcW w:w="3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899.8</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904.4</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903.1</w:t>
            </w: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970.3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(57.4)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6,180.2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3,050.7</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 (Note 11)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103.7</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52.2</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1,074.0</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6,232.4</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3,110.4</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(Note 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3,369.0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2,818.6</w:t>
            </w:r>
          </w:p>
        </w:tc>
        <w:tc>
          <w:tcPr>
            <w:tcW w:w="0" w:type="dxa"/>
            <w:vAlign w:val="bottom"/>
          </w:tcPr>
          <w:p>
            <w:pPr>
              <w:spacing w:after="0"/>
              <w:rPr>
                <w:sz w:val="1"/>
                <w:szCs w:val="1"/>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Short-term investments (Note 7)</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149.4</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$15.7 (2024)</w:t>
            </w:r>
            <w:r>
              <w:rPr>
                <w:rFonts w:ascii="Arial" w:cs="Arial" w:eastAsia="Arial" w:hAnsi="Arial"/>
                <w:sz w:val="18"/>
                <w:szCs w:val="18"/>
                <w:color w:val="auto"/>
              </w:rPr>
              <w:t xml:space="preserve"> and $14.8 (2023)</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10,294.8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9,090.5</w:t>
            </w:r>
          </w:p>
        </w:tc>
        <w:tc>
          <w:tcPr>
            <w:tcW w:w="0" w:type="dxa"/>
            <w:vAlign w:val="bottom"/>
          </w:tcPr>
          <w:p>
            <w:pPr>
              <w:spacing w:after="0"/>
              <w:rPr>
                <w:sz w:val="1"/>
                <w:szCs w:val="1"/>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1,756.9</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2,245.7</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(Note 6)</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7,459.8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5,772.8</w:t>
            </w:r>
          </w:p>
        </w:tc>
        <w:tc>
          <w:tcPr>
            <w:tcW w:w="0" w:type="dxa"/>
            <w:vAlign w:val="bottom"/>
          </w:tcPr>
          <w:p>
            <w:pPr>
              <w:spacing w:after="0"/>
              <w:rPr>
                <w:sz w:val="1"/>
                <w:szCs w:val="1"/>
                <w:color w:val="auto"/>
              </w:rPr>
            </w:pP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8,250.6</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5,540.8</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134.6</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31,415.1</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25,727.0</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(Note 7)</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3,200.2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3,052.2</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5,768.4</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4,939.7</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6,537.3</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6,906.6</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7,392.3</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5,477.3</w:t>
            </w:r>
          </w:p>
        </w:tc>
        <w:tc>
          <w:tcPr>
            <w:tcW w:w="0" w:type="dxa"/>
            <w:vAlign w:val="bottom"/>
          </w:tcPr>
          <w:p>
            <w:pPr>
              <w:spacing w:after="0"/>
              <w:rPr>
                <w:sz w:val="1"/>
                <w:szCs w:val="1"/>
                <w:color w:val="auto"/>
              </w:rPr>
            </w:pPr>
          </w:p>
        </w:tc>
      </w:tr>
      <w:tr>
        <w:trPr>
          <w:trHeight w:val="175"/>
        </w:trPr>
        <w:tc>
          <w:tcPr>
            <w:tcW w:w="7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$11,816.0 (2024)</w:t>
            </w:r>
            <w:r>
              <w:rPr>
                <w:rFonts w:ascii="Arial" w:cs="Arial" w:eastAsia="Arial" w:hAnsi="Arial"/>
                <w:sz w:val="18"/>
                <w:szCs w:val="18"/>
                <w:color w:val="auto"/>
              </w:rPr>
              <w:t xml:space="preserve"> and $11,099.3</w:t>
            </w:r>
          </w:p>
        </w:tc>
        <w:tc>
          <w:tcPr>
            <w:tcW w:w="18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16,171.8</w:t>
            </w:r>
          </w:p>
        </w:tc>
        <w:tc>
          <w:tcPr>
            <w:tcW w:w="2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12,913.6</w:t>
            </w:r>
          </w:p>
        </w:tc>
        <w:tc>
          <w:tcPr>
            <w:tcW w:w="0" w:type="dxa"/>
            <w:vAlign w:val="bottom"/>
          </w:tcPr>
          <w:p>
            <w:pPr>
              <w:spacing w:after="0"/>
              <w:rPr>
                <w:sz w:val="1"/>
                <w:szCs w:val="1"/>
                <w:color w:val="auto"/>
              </w:rPr>
            </w:pPr>
          </w:p>
        </w:tc>
      </w:tr>
      <w:tr>
        <w:trPr>
          <w:trHeight w:val="24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5,121.8</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4,989.9</w:t>
            </w:r>
          </w:p>
        </w:tc>
        <w:tc>
          <w:tcPr>
            <w:tcW w:w="0" w:type="dxa"/>
            <w:vAlign w:val="bottom"/>
          </w:tcPr>
          <w:p>
            <w:pPr>
              <w:spacing w:after="0"/>
              <w:rPr>
                <w:sz w:val="1"/>
                <w:szCs w:val="1"/>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75,606.9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64,006.3</w:t>
            </w: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Short-term borrowings and current maturities of long-term debt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2,074.3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6,904.5</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2,886.5</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2,598.8</w:t>
            </w:r>
          </w:p>
        </w:tc>
        <w:tc>
          <w:tcPr>
            <w:tcW w:w="0" w:type="dxa"/>
            <w:vAlign w:val="bottom"/>
          </w:tcPr>
          <w:p>
            <w:pPr>
              <w:spacing w:after="0"/>
              <w:rPr>
                <w:sz w:val="1"/>
                <w:szCs w:val="1"/>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Employee compensation</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1,703.3</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1,650.4</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rebates and discounts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12,429.7</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11,689.0</w:t>
            </w:r>
          </w:p>
        </w:tc>
        <w:tc>
          <w:tcPr>
            <w:tcW w:w="0" w:type="dxa"/>
            <w:vAlign w:val="bottom"/>
          </w:tcPr>
          <w:p>
            <w:pPr>
              <w:spacing w:after="0"/>
              <w:rPr>
                <w:sz w:val="1"/>
                <w:szCs w:val="1"/>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1,169.2</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5,580.3</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24,674.1</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27,293.2</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Noncurrent Liabilities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29,045.4</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18,320.8</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retirement benefits (Note 9)</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1,448.5</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0" w:type="dxa"/>
            <w:vAlign w:val="bottom"/>
          </w:tcPr>
          <w:p>
            <w:pPr>
              <w:spacing w:after="0"/>
              <w:rPr>
                <w:sz w:val="1"/>
                <w:szCs w:val="1"/>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Long-term income taxes payable</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3,878.8</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3,849.2</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2,239.4</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36,612.1</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25,849.4</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Commitments and Contingencies (Note 10)</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i w:val="1"/>
                <w:iCs w:val="1"/>
                <w:color w:val="auto"/>
              </w:rPr>
              <w:t>Eli Lilly and Company Shareholders' Equity</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593.9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b w:val="1"/>
                <w:bCs w:val="1"/>
                <w:color w:val="auto"/>
              </w:rPr>
              <w:t>7,339.6</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13,627.2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10,312.3</w:t>
            </w:r>
          </w:p>
        </w:tc>
        <w:tc>
          <w:tcPr>
            <w:tcW w:w="0" w:type="dxa"/>
            <w:vAlign w:val="bottom"/>
          </w:tcPr>
          <w:p>
            <w:pPr>
              <w:spacing w:after="0"/>
              <w:rPr>
                <w:sz w:val="1"/>
                <w:szCs w:val="1"/>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Employee benefit trust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(Note 11)</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(4,274.8)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common stock in treasury</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14,240.0</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10,771.9</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80.7</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14,320.7</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10,863.7</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75,606.9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64,006.3</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Consolidated Condensed Statements of Shareholders' Equity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37" w:lineRule="exact"/>
        <w:rPr>
          <w:sz w:val="20"/>
          <w:szCs w:val="20"/>
          <w:color w:val="auto"/>
        </w:rPr>
      </w:pPr>
    </w:p>
    <w:tbl>
      <w:tblPr>
        <w:tblLayout w:type="fixed"/>
        <w:tblInd w:w="12"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2"/>
                <w:szCs w:val="22"/>
                <w:color w:val="auto"/>
              </w:rPr>
            </w:pPr>
          </w:p>
        </w:tc>
        <w:tc>
          <w:tcPr>
            <w:tcW w:w="1640" w:type="dxa"/>
            <w:vAlign w:val="bottom"/>
            <w:gridSpan w:val="3"/>
          </w:tcPr>
          <w:p>
            <w:pPr>
              <w:jc w:val="right"/>
              <w:ind w:right="35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2"/>
                <w:szCs w:val="22"/>
                <w:color w:val="auto"/>
              </w:rPr>
            </w:pPr>
          </w:p>
        </w:tc>
        <w:tc>
          <w:tcPr>
            <w:tcW w:w="720" w:type="dxa"/>
            <w:vAlign w:val="bottom"/>
          </w:tcPr>
          <w:p>
            <w:pPr>
              <w:jc w:val="right"/>
              <w:ind w:right="120"/>
              <w:spacing w:after="0"/>
              <w:rPr>
                <w:sz w:val="20"/>
                <w:szCs w:val="20"/>
                <w:color w:val="auto"/>
              </w:rPr>
            </w:pPr>
            <w:r>
              <w:rPr>
                <w:rFonts w:ascii="Arial" w:cs="Arial" w:eastAsia="Arial" w:hAnsi="Arial"/>
                <w:sz w:val="11"/>
                <w:szCs w:val="11"/>
                <w:b w:val="1"/>
                <w:bCs w:val="1"/>
                <w:color w:val="auto"/>
                <w:w w:val="96"/>
              </w:rPr>
              <w:t>Additional</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4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200"/>
              <w:spacing w:after="0" w:line="95" w:lineRule="exact"/>
              <w:rPr>
                <w:sz w:val="20"/>
                <w:szCs w:val="20"/>
                <w:color w:val="auto"/>
              </w:rPr>
            </w:pPr>
            <w:r>
              <w:rPr>
                <w:rFonts w:ascii="Arial" w:cs="Arial" w:eastAsia="Arial" w:hAnsi="Arial"/>
                <w:sz w:val="10"/>
                <w:szCs w:val="10"/>
                <w:b w:val="1"/>
                <w:bCs w:val="1"/>
                <w:color w:val="auto"/>
              </w:rPr>
              <w:t>Paid-in</w:t>
            </w:r>
          </w:p>
        </w:tc>
        <w:tc>
          <w:tcPr>
            <w:tcW w:w="200" w:type="dxa"/>
            <w:vAlign w:val="bottom"/>
          </w:tcPr>
          <w:p>
            <w:pPr>
              <w:spacing w:after="0"/>
              <w:rPr>
                <w:sz w:val="4"/>
                <w:szCs w:val="4"/>
                <w:color w:val="auto"/>
              </w:rPr>
            </w:pPr>
          </w:p>
        </w:tc>
        <w:tc>
          <w:tcPr>
            <w:tcW w:w="720" w:type="dxa"/>
            <w:vAlign w:val="bottom"/>
            <w:vMerge w:val="restart"/>
          </w:tcPr>
          <w:p>
            <w:pPr>
              <w:jc w:val="right"/>
              <w:ind w:right="159"/>
              <w:spacing w:after="0" w:line="95" w:lineRule="exact"/>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4"/>
                <w:szCs w:val="4"/>
                <w:color w:val="auto"/>
              </w:rPr>
            </w:pPr>
          </w:p>
        </w:tc>
        <w:tc>
          <w:tcPr>
            <w:tcW w:w="720" w:type="dxa"/>
            <w:vAlign w:val="bottom"/>
            <w:vMerge w:val="restart"/>
          </w:tcPr>
          <w:p>
            <w:pPr>
              <w:jc w:val="right"/>
              <w:ind w:right="120"/>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7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20" w:type="dxa"/>
            <w:vAlign w:val="bottom"/>
            <w:vMerge w:val="continue"/>
          </w:tcPr>
          <w:p>
            <w:pPr>
              <w:spacing w:after="0" w:line="20" w:lineRule="exact"/>
              <w:rPr>
                <w:sz w:val="1"/>
                <w:szCs w:val="1"/>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Capital</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Earnings</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Benefit Trust</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0"/>
              <w:spacing w:after="0"/>
              <w:rPr>
                <w:sz w:val="20"/>
                <w:szCs w:val="20"/>
                <w:color w:val="auto"/>
              </w:rPr>
            </w:pPr>
            <w:r>
              <w:rPr>
                <w:rFonts w:ascii="Arial" w:cs="Arial" w:eastAsia="Arial" w:hAnsi="Arial"/>
                <w:sz w:val="11"/>
                <w:szCs w:val="11"/>
                <w:b w:val="1"/>
                <w:bCs w:val="1"/>
                <w:color w:val="auto"/>
                <w:w w:val="93"/>
              </w:rPr>
              <w:t>Loss</w:t>
            </w:r>
          </w:p>
        </w:tc>
        <w:tc>
          <w:tcPr>
            <w:tcW w:w="8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July 1, 2023</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949,688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6,948.6</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10,368.5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(3,788.7)</w:t>
            </w:r>
          </w:p>
        </w:tc>
        <w:tc>
          <w:tcPr>
            <w:tcW w:w="840" w:type="dxa"/>
            <w:vAlign w:val="bottom"/>
            <w:shd w:val="clear" w:color="auto" w:fill="CCEEFF"/>
          </w:tcPr>
          <w:p>
            <w:pPr>
              <w:jc w:val="center"/>
              <w:ind w:left="319"/>
              <w:spacing w:after="0"/>
              <w:rPr>
                <w:sz w:val="20"/>
                <w:szCs w:val="20"/>
                <w:color w:val="auto"/>
              </w:rPr>
            </w:pPr>
            <w:r>
              <w:rPr>
                <w:rFonts w:ascii="Arial" w:cs="Arial" w:eastAsia="Arial" w:hAnsi="Arial"/>
                <w:sz w:val="13"/>
                <w:szCs w:val="13"/>
                <w:color w:val="auto"/>
              </w:rPr>
              <w:t>402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(57.4)</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3.8</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20" w:type="dxa"/>
            <w:vAlign w:val="bottom"/>
          </w:tcPr>
          <w:p>
            <w:pPr>
              <w:ind w:left="20"/>
              <w:spacing w:after="0" w:line="122" w:lineRule="exact"/>
              <w:rPr>
                <w:sz w:val="20"/>
                <w:szCs w:val="20"/>
                <w:color w:val="auto"/>
              </w:rPr>
            </w:pPr>
            <w:r>
              <w:rPr>
                <w:rFonts w:ascii="Arial" w:cs="Arial" w:eastAsia="Arial" w:hAnsi="Arial"/>
                <w:sz w:val="13"/>
                <w:szCs w:val="13"/>
                <w:color w:val="auto"/>
                <w:w w:val="99"/>
              </w:rPr>
              <w:t>Issuance of stock under employee stock plans,</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20" w:type="dxa"/>
            <w:vAlign w:val="bottom"/>
          </w:tcPr>
          <w:p>
            <w:pPr>
              <w:ind w:left="20"/>
              <w:spacing w:after="0"/>
              <w:rPr>
                <w:sz w:val="20"/>
                <w:szCs w:val="20"/>
                <w:color w:val="auto"/>
              </w:rPr>
            </w:pPr>
            <w:r>
              <w:rPr>
                <w:rFonts w:ascii="Arial" w:cs="Arial" w:eastAsia="Arial" w:hAnsi="Arial"/>
                <w:sz w:val="13"/>
                <w:szCs w:val="13"/>
                <w:color w:val="auto"/>
              </w:rPr>
              <w:t>net</w:t>
            </w:r>
          </w:p>
        </w:tc>
        <w:tc>
          <w:tcPr>
            <w:tcW w:w="820" w:type="dxa"/>
            <w:vAlign w:val="bottom"/>
          </w:tcPr>
          <w:p>
            <w:pPr>
              <w:jc w:val="right"/>
              <w:ind w:right="39"/>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0"/>
              <w:spacing w:after="0"/>
              <w:rPr>
                <w:sz w:val="20"/>
                <w:szCs w:val="20"/>
                <w:color w:val="auto"/>
              </w:rPr>
            </w:pPr>
            <w:r>
              <w:rPr>
                <w:rFonts w:ascii="Arial" w:cs="Arial" w:eastAsia="Arial" w:hAnsi="Arial"/>
                <w:sz w:val="13"/>
                <w:szCs w:val="13"/>
                <w:color w:val="auto"/>
              </w:rPr>
              <w:t>(4.2)</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215.6</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(1.2)</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30, 2023</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949,705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7,160.0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10,309.9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(3,784.9)</w:t>
            </w:r>
          </w:p>
        </w:tc>
        <w:tc>
          <w:tcPr>
            <w:tcW w:w="84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3"/>
                <w:szCs w:val="13"/>
                <w:color w:val="auto"/>
              </w:rPr>
              <w:t>402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July 1, 2024</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950,781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594.2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7,214.2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13,178.0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(4,378.5)</w:t>
            </w:r>
          </w:p>
        </w:tc>
        <w:tc>
          <w:tcPr>
            <w:tcW w:w="840" w:type="dxa"/>
            <w:vAlign w:val="bottom"/>
            <w:shd w:val="clear" w:color="auto" w:fill="CCEEFF"/>
          </w:tcPr>
          <w:p>
            <w:pPr>
              <w:jc w:val="center"/>
              <w:ind w:left="319"/>
              <w:spacing w:after="0"/>
              <w:rPr>
                <w:sz w:val="20"/>
                <w:szCs w:val="20"/>
                <w:color w:val="auto"/>
              </w:rPr>
            </w:pPr>
            <w:r>
              <w:rPr>
                <w:rFonts w:ascii="Arial" w:cs="Arial" w:eastAsia="Arial" w:hAnsi="Arial"/>
                <w:sz w:val="13"/>
                <w:szCs w:val="13"/>
                <w:b w:val="1"/>
                <w:bCs w:val="1"/>
                <w:color w:val="auto"/>
              </w:rPr>
              <w:t>365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73.5</w:t>
            </w:r>
          </w:p>
        </w:tc>
        <w:tc>
          <w:tcPr>
            <w:tcW w:w="0" w:type="dxa"/>
            <w:vAlign w:val="bottom"/>
          </w:tcPr>
          <w:p>
            <w:pPr>
              <w:spacing w:after="0"/>
              <w:rPr>
                <w:sz w:val="1"/>
                <w:szCs w:val="1"/>
                <w:color w:val="auto"/>
              </w:rPr>
            </w:pP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b w:val="1"/>
                <w:bCs w:val="1"/>
                <w:color w:val="auto"/>
              </w:rPr>
              <w:t>970.3</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11.8</w:t>
            </w: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103.7</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(582)</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(0.3)</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b w:val="1"/>
                <w:bCs w:val="1"/>
                <w:color w:val="auto"/>
              </w:rPr>
              <w:t>(520.8)</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jc w:val="center"/>
              <w:ind w:left="319"/>
              <w:spacing w:after="0"/>
              <w:rPr>
                <w:sz w:val="20"/>
                <w:szCs w:val="20"/>
                <w:color w:val="auto"/>
              </w:rPr>
            </w:pPr>
            <w:r>
              <w:rPr>
                <w:rFonts w:ascii="Arial" w:cs="Arial" w:eastAsia="Arial" w:hAnsi="Arial"/>
                <w:sz w:val="13"/>
                <w:szCs w:val="13"/>
                <w:b w:val="1"/>
                <w:bCs w:val="1"/>
                <w:color w:val="auto"/>
                <w:w w:val="98"/>
              </w:rPr>
              <w:t>(582)</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521.1</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left="319"/>
              <w:spacing w:after="0"/>
              <w:rPr>
                <w:sz w:val="20"/>
                <w:szCs w:val="20"/>
                <w:color w:val="auto"/>
              </w:rPr>
            </w:pPr>
            <w:r>
              <w:rPr>
                <w:rFonts w:ascii="Arial" w:cs="Arial" w:eastAsia="Arial" w:hAnsi="Arial"/>
                <w:sz w:val="13"/>
                <w:szCs w:val="13"/>
                <w:b w:val="1"/>
                <w:bCs w:val="1"/>
                <w:color w:val="auto"/>
              </w:rPr>
              <w:t>582</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(521.1)</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20" w:type="dxa"/>
            <w:vAlign w:val="bottom"/>
          </w:tcPr>
          <w:p>
            <w:pPr>
              <w:ind w:left="20"/>
              <w:spacing w:after="0" w:line="122" w:lineRule="exact"/>
              <w:rPr>
                <w:sz w:val="20"/>
                <w:szCs w:val="20"/>
                <w:color w:val="auto"/>
              </w:rPr>
            </w:pPr>
            <w:r>
              <w:rPr>
                <w:rFonts w:ascii="Arial" w:cs="Arial" w:eastAsia="Arial" w:hAnsi="Arial"/>
                <w:sz w:val="13"/>
                <w:szCs w:val="13"/>
                <w:color w:val="auto"/>
                <w:w w:val="99"/>
              </w:rPr>
              <w:t>Issuance of stock under employee stock plans,</w:t>
            </w:r>
          </w:p>
        </w:tc>
        <w:tc>
          <w:tcPr>
            <w:tcW w:w="82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auto"/>
              </w:rPr>
              <w:t>16</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20"/>
              <w:spacing w:after="0"/>
              <w:rPr>
                <w:sz w:val="20"/>
                <w:szCs w:val="20"/>
                <w:color w:val="auto"/>
              </w:rPr>
            </w:pPr>
            <w:r>
              <w:rPr>
                <w:rFonts w:ascii="Arial" w:cs="Arial" w:eastAsia="Arial" w:hAnsi="Arial"/>
                <w:sz w:val="13"/>
                <w:szCs w:val="13"/>
                <w:b w:val="1"/>
                <w:bCs w:val="1"/>
                <w:color w:val="auto"/>
              </w:rPr>
              <w:t>(7.8)</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Arial" w:cs="Arial" w:eastAsia="Arial" w:hAnsi="Arial"/>
                <w:sz w:val="13"/>
                <w:szCs w:val="13"/>
                <w:color w:val="auto"/>
              </w:rPr>
              <w:t>net</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133.2</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(0.3)</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w:t>
            </w:r>
          </w:p>
        </w:tc>
        <w:tc>
          <w:tcPr>
            <w:tcW w:w="0" w:type="dxa"/>
            <w:vAlign w:val="bottom"/>
          </w:tcPr>
          <w:p>
            <w:pPr>
              <w:spacing w:after="0"/>
              <w:rPr>
                <w:sz w:val="1"/>
                <w:szCs w:val="1"/>
                <w:color w:val="auto"/>
              </w:rPr>
            </w:pPr>
          </w:p>
        </w:tc>
      </w:tr>
      <w:tr>
        <w:trPr>
          <w:trHeight w:val="17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30, 2024</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950,215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7,339.6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13,627.2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(4,274.8)</w:t>
            </w:r>
          </w:p>
        </w:tc>
        <w:tc>
          <w:tcPr>
            <w:tcW w:w="84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3"/>
                <w:szCs w:val="13"/>
                <w:b w:val="1"/>
                <w:bCs w:val="1"/>
                <w:color w:val="auto"/>
              </w:rPr>
              <w:t>365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32" w:hanging="132"/>
        <w:spacing w:after="0"/>
        <w:tabs>
          <w:tab w:leader="none" w:pos="132"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As of September 30, 2024, there was $1.98 billion remaining under our $5.00 billion share repurchase program authorized in May 2021.</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sectPr>
      </w:pPr>
    </w:p>
    <w:bookmarkStart w:id="8" w:name="page9"/>
    <w:bookmarkEnd w:id="8"/>
    <w:tbl>
      <w:tblPr>
        <w:tblLayout w:type="fixed"/>
        <w:tblInd w:w="12"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1640" w:type="dxa"/>
            <w:vAlign w:val="bottom"/>
            <w:gridSpan w:val="3"/>
          </w:tcPr>
          <w:p>
            <w:pPr>
              <w:jc w:val="right"/>
              <w:ind w:right="35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1"/>
                <w:szCs w:val="21"/>
                <w:color w:val="auto"/>
              </w:rPr>
            </w:pPr>
          </w:p>
        </w:tc>
        <w:tc>
          <w:tcPr>
            <w:tcW w:w="720" w:type="dxa"/>
            <w:vAlign w:val="bottom"/>
          </w:tcPr>
          <w:p>
            <w:pPr>
              <w:jc w:val="right"/>
              <w:ind w:right="120"/>
              <w:spacing w:after="0"/>
              <w:rPr>
                <w:sz w:val="20"/>
                <w:szCs w:val="20"/>
                <w:color w:val="auto"/>
              </w:rPr>
            </w:pPr>
            <w:r>
              <w:rPr>
                <w:rFonts w:ascii="Arial" w:cs="Arial" w:eastAsia="Arial" w:hAnsi="Arial"/>
                <w:sz w:val="11"/>
                <w:szCs w:val="11"/>
                <w:b w:val="1"/>
                <w:bCs w:val="1"/>
                <w:color w:val="auto"/>
                <w:w w:val="96"/>
              </w:rPr>
              <w:t>Additional</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Accumulated Other</w:t>
            </w:r>
          </w:p>
        </w:tc>
        <w:tc>
          <w:tcPr>
            <w:tcW w:w="164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200"/>
              <w:spacing w:after="0" w:line="95" w:lineRule="exact"/>
              <w:rPr>
                <w:sz w:val="20"/>
                <w:szCs w:val="20"/>
                <w:color w:val="auto"/>
              </w:rPr>
            </w:pPr>
            <w:r>
              <w:rPr>
                <w:rFonts w:ascii="Arial" w:cs="Arial" w:eastAsia="Arial" w:hAnsi="Arial"/>
                <w:sz w:val="10"/>
                <w:szCs w:val="10"/>
                <w:b w:val="1"/>
                <w:bCs w:val="1"/>
                <w:color w:val="auto"/>
              </w:rPr>
              <w:t>Paid-in</w:t>
            </w:r>
          </w:p>
        </w:tc>
        <w:tc>
          <w:tcPr>
            <w:tcW w:w="200" w:type="dxa"/>
            <w:vAlign w:val="bottom"/>
          </w:tcPr>
          <w:p>
            <w:pPr>
              <w:spacing w:after="0"/>
              <w:rPr>
                <w:sz w:val="4"/>
                <w:szCs w:val="4"/>
                <w:color w:val="auto"/>
              </w:rPr>
            </w:pPr>
          </w:p>
        </w:tc>
        <w:tc>
          <w:tcPr>
            <w:tcW w:w="720" w:type="dxa"/>
            <w:vAlign w:val="bottom"/>
            <w:vMerge w:val="restart"/>
          </w:tcPr>
          <w:p>
            <w:pPr>
              <w:jc w:val="right"/>
              <w:ind w:right="159"/>
              <w:spacing w:after="0" w:line="95" w:lineRule="exact"/>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4"/>
                <w:szCs w:val="4"/>
                <w:color w:val="auto"/>
              </w:rPr>
            </w:pPr>
          </w:p>
        </w:tc>
        <w:tc>
          <w:tcPr>
            <w:tcW w:w="720" w:type="dxa"/>
            <w:vAlign w:val="bottom"/>
            <w:vMerge w:val="restart"/>
          </w:tcPr>
          <w:p>
            <w:pPr>
              <w:jc w:val="right"/>
              <w:ind w:right="120"/>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right"/>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7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20" w:type="dxa"/>
            <w:vAlign w:val="bottom"/>
            <w:vMerge w:val="continue"/>
          </w:tcPr>
          <w:p>
            <w:pPr>
              <w:spacing w:after="0" w:line="20" w:lineRule="exact"/>
              <w:rPr>
                <w:sz w:val="1"/>
                <w:szCs w:val="1"/>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40" w:type="dxa"/>
            <w:vAlign w:val="bottom"/>
            <w:vMerge w:val="restart"/>
          </w:tcPr>
          <w:p>
            <w:pPr>
              <w:jc w:val="right"/>
              <w:ind w:right="199"/>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Capital</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Earnings</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Benefit Trust</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b w:val="1"/>
                <w:bCs w:val="1"/>
                <w:color w:val="auto"/>
              </w:rPr>
              <w:t>Loss</w:t>
            </w:r>
          </w:p>
        </w:tc>
        <w:tc>
          <w:tcPr>
            <w:tcW w:w="8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2023</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950,632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6,921.4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10,042.6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(3,844.6)</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color w:val="auto"/>
              </w:rPr>
              <w:t>3,050.7</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59.7</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Cash dividends declared per share: $2.26</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(2,034.0)</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(748.6)</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(2,299)</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2,299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(750.0)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9"/>
              </w:rPr>
              <w:t>Issuance of stock under employee stock plans,</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1,372</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(269.7)</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(48)</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508.3</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(0.8)</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181"/>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September 30, 2023</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949,705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7,160.0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10,309.9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(3,784.9)</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402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Balance at January 1, 2024</w:t>
            </w:r>
          </w:p>
        </w:tc>
        <w:tc>
          <w:tcPr>
            <w:tcW w:w="820" w:type="dxa"/>
            <w:vAlign w:val="bottom"/>
          </w:tcPr>
          <w:p>
            <w:pPr>
              <w:jc w:val="right"/>
              <w:ind w:right="39"/>
              <w:spacing w:after="0"/>
              <w:rPr>
                <w:sz w:val="20"/>
                <w:szCs w:val="20"/>
                <w:color w:val="auto"/>
              </w:rPr>
            </w:pPr>
            <w:r>
              <w:rPr>
                <w:rFonts w:ascii="Arial" w:cs="Arial" w:eastAsia="Arial" w:hAnsi="Arial"/>
                <w:sz w:val="13"/>
                <w:szCs w:val="13"/>
                <w:b w:val="1"/>
                <w:bCs w:val="1"/>
                <w:color w:val="auto"/>
              </w:rPr>
              <w:t>949,781</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593.6</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40"/>
              <w:spacing w:after="0"/>
              <w:rPr>
                <w:sz w:val="20"/>
                <w:szCs w:val="20"/>
                <w:color w:val="auto"/>
              </w:rPr>
            </w:pPr>
            <w:r>
              <w:rPr>
                <w:rFonts w:ascii="Arial" w:cs="Arial" w:eastAsia="Arial" w:hAnsi="Arial"/>
                <w:sz w:val="13"/>
                <w:szCs w:val="13"/>
                <w:b w:val="1"/>
                <w:bCs w:val="1"/>
                <w:color w:val="auto"/>
              </w:rPr>
              <w:t>7,250.4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59"/>
              <w:spacing w:after="0"/>
              <w:rPr>
                <w:sz w:val="20"/>
                <w:szCs w:val="20"/>
                <w:color w:val="auto"/>
              </w:rPr>
            </w:pPr>
            <w:r>
              <w:rPr>
                <w:rFonts w:ascii="Arial" w:cs="Arial" w:eastAsia="Arial" w:hAnsi="Arial"/>
                <w:sz w:val="13"/>
                <w:szCs w:val="13"/>
                <w:b w:val="1"/>
                <w:bCs w:val="1"/>
                <w:color w:val="auto"/>
              </w:rPr>
              <w:t>10,312.3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20"/>
              <w:spacing w:after="0"/>
              <w:rPr>
                <w:sz w:val="20"/>
                <w:szCs w:val="20"/>
                <w:color w:val="auto"/>
              </w:rPr>
            </w:pPr>
            <w:r>
              <w:rPr>
                <w:rFonts w:ascii="Arial" w:cs="Arial" w:eastAsia="Arial" w:hAnsi="Arial"/>
                <w:sz w:val="13"/>
                <w:szCs w:val="13"/>
                <w:b w:val="1"/>
                <w:bCs w:val="1"/>
                <w:color w:val="auto"/>
              </w:rPr>
              <w:t>(3,013.2)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80"/>
              <w:spacing w:after="0"/>
              <w:rPr>
                <w:sz w:val="20"/>
                <w:szCs w:val="20"/>
                <w:color w:val="auto"/>
              </w:rPr>
            </w:pPr>
            <w:r>
              <w:rPr>
                <w:rFonts w:ascii="Arial" w:cs="Arial" w:eastAsia="Arial" w:hAnsi="Arial"/>
                <w:sz w:val="13"/>
                <w:szCs w:val="13"/>
                <w:b w:val="1"/>
                <w:bCs w:val="1"/>
                <w:color w:val="auto"/>
              </w:rPr>
              <w:t>(4,327.0)</w:t>
            </w:r>
          </w:p>
        </w:tc>
        <w:tc>
          <w:tcPr>
            <w:tcW w:w="840" w:type="dxa"/>
            <w:vAlign w:val="bottom"/>
          </w:tcPr>
          <w:p>
            <w:pPr>
              <w:jc w:val="right"/>
              <w:ind w:right="59"/>
              <w:spacing w:after="0"/>
              <w:rPr>
                <w:sz w:val="20"/>
                <w:szCs w:val="20"/>
                <w:color w:val="auto"/>
              </w:rPr>
            </w:pPr>
            <w:r>
              <w:rPr>
                <w:rFonts w:ascii="Arial" w:cs="Arial" w:eastAsia="Arial" w:hAnsi="Arial"/>
                <w:sz w:val="13"/>
                <w:szCs w:val="13"/>
                <w:b w:val="1"/>
                <w:bCs w:val="1"/>
                <w:color w:val="auto"/>
              </w:rPr>
              <w:t>402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(44.2)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91.8</w:t>
            </w: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6,180.2</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w:t>
            </w:r>
          </w:p>
        </w:tc>
        <w:tc>
          <w:tcPr>
            <w:tcW w:w="0" w:type="dxa"/>
            <w:vAlign w:val="bottom"/>
          </w:tcPr>
          <w:p>
            <w:pPr>
              <w:spacing w:after="0"/>
              <w:rPr>
                <w:sz w:val="1"/>
                <w:szCs w:val="1"/>
                <w:color w:val="auto"/>
              </w:rPr>
            </w:pP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20"/>
              <w:spacing w:after="0"/>
              <w:rPr>
                <w:sz w:val="20"/>
                <w:szCs w:val="20"/>
                <w:color w:val="auto"/>
              </w:rPr>
            </w:pPr>
            <w:r>
              <w:rPr>
                <w:rFonts w:ascii="Arial" w:cs="Arial" w:eastAsia="Arial" w:hAnsi="Arial"/>
                <w:sz w:val="13"/>
                <w:szCs w:val="13"/>
                <w:b w:val="1"/>
                <w:bCs w:val="1"/>
                <w:color w:val="auto"/>
              </w:rPr>
              <w:t>52.2</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per share: $2.60</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(2,342.9)</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(582)</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(0.3)</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b w:val="1"/>
                <w:bCs w:val="1"/>
                <w:color w:val="auto"/>
              </w:rPr>
              <w:t>(520.8)</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3"/>
                <w:szCs w:val="13"/>
                <w:b w:val="1"/>
                <w:bCs w:val="1"/>
                <w:color w:val="auto"/>
              </w:rPr>
              <w:t>(582)</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521.1</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582</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(521.1)</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20" w:type="dxa"/>
            <w:vAlign w:val="bottom"/>
          </w:tcPr>
          <w:p>
            <w:pPr>
              <w:ind w:left="20"/>
              <w:spacing w:after="0" w:line="122" w:lineRule="exact"/>
              <w:rPr>
                <w:sz w:val="20"/>
                <w:szCs w:val="20"/>
                <w:color w:val="auto"/>
              </w:rPr>
            </w:pPr>
            <w:r>
              <w:rPr>
                <w:rFonts w:ascii="Arial" w:cs="Arial" w:eastAsia="Arial" w:hAnsi="Arial"/>
                <w:sz w:val="13"/>
                <w:szCs w:val="13"/>
                <w:color w:val="auto"/>
                <w:w w:val="99"/>
              </w:rPr>
              <w:t>Issuance of stock under employee stock plans,</w:t>
            </w:r>
          </w:p>
        </w:tc>
        <w:tc>
          <w:tcPr>
            <w:tcW w:w="82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auto"/>
              </w:rPr>
              <w:t>1,016</w:t>
            </w:r>
          </w:p>
        </w:tc>
        <w:tc>
          <w:tcPr>
            <w:tcW w:w="2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0.6</w:t>
            </w:r>
          </w:p>
        </w:tc>
        <w:tc>
          <w:tcPr>
            <w:tcW w:w="220" w:type="dxa"/>
            <w:vAlign w:val="bottom"/>
          </w:tcPr>
          <w:p>
            <w:pPr>
              <w:spacing w:after="0"/>
              <w:rPr>
                <w:sz w:val="10"/>
                <w:szCs w:val="10"/>
                <w:color w:val="auto"/>
              </w:rPr>
            </w:pPr>
          </w:p>
        </w:tc>
        <w:tc>
          <w:tcPr>
            <w:tcW w:w="720" w:type="dxa"/>
            <w:vAlign w:val="bottom"/>
            <w:vMerge w:val="restart"/>
          </w:tcPr>
          <w:p>
            <w:pPr>
              <w:jc w:val="right"/>
              <w:ind w:right="20"/>
              <w:spacing w:after="0"/>
              <w:rPr>
                <w:sz w:val="20"/>
                <w:szCs w:val="20"/>
                <w:color w:val="auto"/>
              </w:rPr>
            </w:pPr>
            <w:r>
              <w:rPr>
                <w:rFonts w:ascii="Arial" w:cs="Arial" w:eastAsia="Arial" w:hAnsi="Arial"/>
                <w:sz w:val="13"/>
                <w:szCs w:val="13"/>
                <w:b w:val="1"/>
                <w:bCs w:val="1"/>
                <w:color w:val="auto"/>
              </w:rPr>
              <w:t>(414.5)</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3"/>
                <w:szCs w:val="13"/>
                <w:b w:val="1"/>
                <w:bCs w:val="1"/>
                <w:color w:val="auto"/>
              </w:rPr>
              <w:t>(37)</w:t>
            </w: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11.5</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Arial" w:cs="Arial" w:eastAsia="Arial" w:hAnsi="Arial"/>
                <w:sz w:val="13"/>
                <w:szCs w:val="13"/>
                <w:color w:val="auto"/>
              </w:rPr>
              <w:t>net</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503.7</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(1.6)</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w:t>
            </w:r>
          </w:p>
        </w:tc>
        <w:tc>
          <w:tcPr>
            <w:tcW w:w="0" w:type="dxa"/>
            <w:vAlign w:val="bottom"/>
          </w:tcPr>
          <w:p>
            <w:pPr>
              <w:spacing w:after="0"/>
              <w:rPr>
                <w:sz w:val="1"/>
                <w:szCs w:val="1"/>
                <w:color w:val="auto"/>
              </w:rPr>
            </w:pPr>
          </w:p>
        </w:tc>
      </w:tr>
      <w:tr>
        <w:trPr>
          <w:trHeight w:val="17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30, 2024</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950,215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7,339.6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13,627.2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(4,274.8)</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365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32" w:hanging="132"/>
        <w:spacing w:after="0"/>
        <w:tabs>
          <w:tab w:leader="none" w:pos="132"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As of September 30, 2024, there was $1.98 billion remaining under our $5.00 billion share repurchase program authorized in May 2021.</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Nine Months Ended September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6,180.2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3,050.7</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1,281.8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1,139.6</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(1,716.4)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503.7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508.3</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29.8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Gains on sale of product rights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(100.7)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(1,853.9)</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3,091.2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3,177.2</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(3,160.1)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117.2</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234.6</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6,344.1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4,552.0</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(3,561.8)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(2,377.0)</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and maturities of short-term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107.3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(68.6)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and distributions from noncurrent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318.0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noncurrent investments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(525.1)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(474.8)</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product rights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530.9</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1,604.3</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(947.7)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(3,094.6)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(139.4)</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(7,381.0)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(3,512.1)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(3,051.2)</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(4,894.1)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11,417.1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3,958.5</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(664.2)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(446.1)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(445.1)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1,455.5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131.8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550.4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January 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2,818.6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2,067.0</w:t>
            </w: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September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3,369.0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2,380.8</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0"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5"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We issued our financial statements by filing them with the Securities and Exchange Commission and have evaluated subsequent events up to the time of the filing of this Quarterly Report on Form 10-Q.</w:t>
      </w:r>
    </w:p>
    <w:p>
      <w:pPr>
        <w:spacing w:after="0" w:line="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 if dilutive.</w:t>
      </w:r>
    </w:p>
    <w:p>
      <w:pPr>
        <w:spacing w:after="0" w:line="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Accounting Standards Update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establishes incremental disaggregation of income tax disclosures pertaining to the effective tax rate reconciliation and income taxes paid. This standard is effective for fiscal years beginning after December 15, 2024, and requires prospective application with the option to apply it retrospectively. We intend to adopt this standard in our Annual Report on Form 10-K for the year ending December 31, 2025. We are currently evaluating the potential impact of adopting this standard on our disclosures.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requires disclosures about significant segment expenses and additional interim disclosure requirements. This standard also requires a single reportable segment to provide all disclosures required by Accounting Standards Codification Topic 280. This standard is effective for fiscal years beginning after December 15, 2023, and interim periods within fiscal years beginning after December 15, 2024. The amendments should be applied retrospectively for all prior periods presented in the consolidated financial statements. We intend to adopt this standard in our Annual Report on Form 10-K for the year ending December 31, 2024. We are currently evaluating the potential impact of adopting this standard on our disclosures.</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10,571.6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7,306.2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28,723.0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20,524.2</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867.5</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2,192.4</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2,786.9</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4,246.5</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11,439.1</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9,498.6</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31,509.9</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24,770.7</w:t>
            </w:r>
          </w:p>
        </w:tc>
      </w:tr>
    </w:tbl>
    <w:p>
      <w:pPr>
        <w:spacing w:after="0" w:line="17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Trajenta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families of products resulting from our collaboration with Boehringer Ingelheim, as well as from the 2023 sales of rights for the olanzapine portfolio, including Zyprexa</w:t>
      </w:r>
      <w:r>
        <w:rPr>
          <w:rFonts w:ascii="Arial" w:cs="Arial" w:eastAsia="Arial" w:hAnsi="Arial"/>
          <w:sz w:val="23"/>
          <w:szCs w:val="23"/>
          <w:color w:val="auto"/>
          <w:vertAlign w:val="superscript"/>
        </w:rPr>
        <w:t>®</w:t>
      </w:r>
      <w:r>
        <w:rPr>
          <w:rFonts w:ascii="Arial" w:cs="Arial" w:eastAsia="Arial" w:hAnsi="Arial"/>
          <w:sz w:val="18"/>
          <w:szCs w:val="18"/>
          <w:color w:val="auto"/>
        </w:rPr>
        <w:t>, and for Baqsimi</w:t>
      </w:r>
      <w:r>
        <w:rPr>
          <w:rFonts w:ascii="Arial" w:cs="Arial" w:eastAsia="Arial" w:hAnsi="Arial"/>
          <w:sz w:val="23"/>
          <w:szCs w:val="23"/>
          <w:color w:val="auto"/>
          <w:vertAlign w:val="superscript"/>
        </w:rPr>
        <w:t>®</w:t>
      </w:r>
      <w:r>
        <w:rPr>
          <w:rFonts w:ascii="Arial" w:cs="Arial" w:eastAsia="Arial" w:hAnsi="Arial"/>
          <w:sz w:val="18"/>
          <w:szCs w:val="18"/>
          <w:color w:val="auto"/>
        </w:rPr>
        <w:t>, all of which are discussed in Note 4. Substantially all of the remainder of collaboration and other revenue is related to contracts accounted for as contracts with customers. Collaboration and other revenue associated with intellectual property licensed in prior periods was not material during the three and nine months ended September 30, 2024 and 2023.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Adjustments to revenue recognized as a result of changes in estimates for our most significant United States (U.S.) sales returns, rebates, and discounts liability balances for products shipped in previous periods were 6 percent and 2 percent of U.S. revenue during the three months ended September 30, 2024 and 2023, respectively, and 4 percent and less than 1 percent of U.S. revenue during the nine months ended September 30, 2024 and 2023,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173.2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r>
    </w:tbl>
    <w:p>
      <w:pPr>
        <w:spacing w:after="0" w:line="184"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During the three and nine months ended September 30, 2024 and 2023,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three months ended September 30, 2024 and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Mounjaro</w:t>
            </w:r>
            <w:r>
              <w:rPr>
                <w:rFonts w:ascii="Arial" w:cs="Arial" w:eastAsia="Arial" w:hAnsi="Arial"/>
                <w:sz w:val="23"/>
                <w:szCs w:val="23"/>
                <w:i w:val="1"/>
                <w:iCs w:val="1"/>
                <w:color w:val="auto"/>
                <w:vertAlign w:val="superscript"/>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2,384.7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728.0</w:t>
            </w:r>
          </w:p>
        </w:tc>
        <w:tc>
          <w:tcPr>
            <w:tcW w:w="32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3,112.7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1,277.0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1,409.3</w:t>
            </w:r>
          </w:p>
        </w:tc>
      </w:tr>
      <w:tr>
        <w:trPr>
          <w:trHeight w:val="230"/>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935.3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1,301.4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Zepbound</w:t>
            </w:r>
            <w:r>
              <w:rPr>
                <w:rFonts w:ascii="Arial" w:cs="Arial" w:eastAsia="Arial" w:hAnsi="Arial"/>
                <w:sz w:val="23"/>
                <w:szCs w:val="23"/>
                <w:i w:val="1"/>
                <w:iCs w:val="1"/>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1,257.8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1,257.8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686.4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r>
      <w:tr>
        <w:trPr>
          <w:trHeight w:val="230"/>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323.9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210.8</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534.6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395.4</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207.1</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 (3)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85.5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161.6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Baqsimi</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132.0</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5,517.0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1,890.0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7,407.0</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4,720.4</w:t>
            </w:r>
          </w:p>
        </w:tc>
      </w:tr>
      <w:tr>
        <w:trPr>
          <w:trHeight w:val="94"/>
        </w:trPr>
        <w:tc>
          <w:tcPr>
            <w:tcW w:w="3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878.8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490.4</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1,369.3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1,040.2</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236.0</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30"/>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133.2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152.0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150.2</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150.2</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oncology</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175.8</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148.8</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324.3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oncology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2,231.8</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w:t>
            </w:r>
          </w:p>
        </w:tc>
      </w:tr>
      <w:tr>
        <w:trPr>
          <w:trHeight w:val="95"/>
        </w:trPr>
        <w:tc>
          <w:tcPr>
            <w:tcW w:w="3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Immunology: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600.3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279.3</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879.6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744.2</w:t>
            </w:r>
          </w:p>
        </w:tc>
      </w:tr>
      <w:tr>
        <w:trPr>
          <w:trHeight w:val="230"/>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181.8</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250.8</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55.3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1,185.7</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w:t>
            </w:r>
          </w:p>
        </w:tc>
      </w:tr>
      <w:tr>
        <w:trPr>
          <w:trHeight w:val="95"/>
        </w:trPr>
        <w:tc>
          <w:tcPr>
            <w:tcW w:w="3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141.3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61.6</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202.9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126.5</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30"/>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 xml:space="preserve">Zyprexa </w:t>
            </w:r>
            <w:r>
              <w:rPr>
                <w:rFonts w:ascii="Arial" w:cs="Arial" w:eastAsia="Arial" w:hAnsi="Arial"/>
                <w:sz w:val="23"/>
                <w:szCs w:val="23"/>
                <w:i w:val="1"/>
                <w:iCs w:val="1"/>
                <w:color w:val="auto"/>
                <w:vertAlign w:val="superscript"/>
              </w:rPr>
              <w:t>(4)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31.7</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1,481.4</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neuroscience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117.2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neuroscience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351.8</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r>
      <w:tr>
        <w:trPr>
          <w:trHeight w:val="95"/>
        </w:trPr>
        <w:tc>
          <w:tcPr>
            <w:tcW w:w="3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71.7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118.1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146.4</w:t>
            </w:r>
          </w:p>
        </w:tc>
      </w:tr>
      <w:tr>
        <w:trPr>
          <w:trHeight w:val="230"/>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91.5</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262.8</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3,625.5</w:t>
            </w: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11,439.1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4,130.5</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9,498.6</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ind w:left="160" w:hanging="152"/>
        <w:spacing w:after="0" w:line="204"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Zyprexa revenue includes sale of rights for the olanzapine portfolio in July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ind w:right="8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nine months ended September 30, 2024 and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6,318.7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1,691.3</w:t>
            </w:r>
          </w:p>
        </w:tc>
        <w:tc>
          <w:tcPr>
            <w:tcW w:w="32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8,010.0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2,729.1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2,957.5</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Trulicity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2,894.0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4,003.3</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5,463.2</w:t>
            </w: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Zepbound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3,018.4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3,018.4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1,133.1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1,009.4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2,142.5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1,946.6</w:t>
            </w:r>
          </w:p>
        </w:tc>
      </w:tr>
      <w:tr>
        <w:trPr>
          <w:trHeight w:val="230"/>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1,096.8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608.1</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1,704.9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1,296.8</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Humulin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636.8</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273.9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226.1</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500.0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543.1</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Baqsimi</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24.8</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373.9</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15,323.0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5,091.6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20,414.6</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13,921.6</w:t>
            </w:r>
          </w:p>
        </w:tc>
      </w:tr>
      <w:tr>
        <w:trPr>
          <w:trHeight w:val="94"/>
        </w:trPr>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2,378.4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1,373.1</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3,751.5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1,734.2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2,717.9</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Cyramza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384.8</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714.7</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Erbitux</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408.2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452.4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446.3</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Tyvyt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389.9</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892.0</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oncology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3,567.9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2,632.6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6,200.5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4,774.1</w:t>
            </w:r>
          </w:p>
        </w:tc>
      </w:tr>
      <w:tr>
        <w:trPr>
          <w:trHeight w:val="94"/>
        </w:trPr>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Immunology: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Taltz</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1,486.7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821.7</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2,308.4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681.2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1,975.0</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Olumiant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695.9</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97.7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1,691.0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3,102.0</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2,693.2</w:t>
            </w:r>
          </w:p>
        </w:tc>
      </w:tr>
      <w:tr>
        <w:trPr>
          <w:trHeight w:val="94"/>
        </w:trPr>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Emgality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404.0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216.7</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620.6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492.2</w:t>
            </w:r>
          </w:p>
        </w:tc>
      </w:tr>
      <w:tr>
        <w:trPr>
          <w:trHeight w:val="230"/>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 xml:space="preserve">Zyprexa </w:t>
            </w:r>
            <w:r>
              <w:rPr>
                <w:rFonts w:ascii="Arial" w:cs="Arial" w:eastAsia="Arial" w:hAnsi="Arial"/>
                <w:sz w:val="23"/>
                <w:szCs w:val="23"/>
                <w:i w:val="1"/>
                <w:iCs w:val="1"/>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neuroscience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151.9</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352.3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neuroscience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1,080.4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2,515.8</w:t>
            </w:r>
          </w:p>
        </w:tc>
      </w:tr>
      <w:tr>
        <w:trPr>
          <w:trHeight w:val="94"/>
        </w:trPr>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Cialis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301.0</w:t>
            </w:r>
          </w:p>
        </w:tc>
        <w:tc>
          <w:tcPr>
            <w:tcW w:w="3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318.6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302.7</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Forteo</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249.3</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144.5</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205.0</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507.4</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712.4</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21,343.2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10,166.7</w:t>
            </w: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31,509.9</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9,435.0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24,770.7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4" w:lineRule="exact"/>
        <w:rPr>
          <w:rFonts w:ascii="Arial" w:cs="Arial" w:eastAsia="Arial" w:hAnsi="Arial"/>
          <w:sz w:val="9"/>
          <w:szCs w:val="9"/>
          <w:color w:val="auto"/>
        </w:rPr>
      </w:pPr>
    </w:p>
    <w:p>
      <w:pPr>
        <w:ind w:left="160" w:hanging="152"/>
        <w:spacing w:after="0" w:line="203"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Basaglar revenue includes Rezvoglar.</w:t>
      </w:r>
    </w:p>
    <w:p>
      <w:pPr>
        <w:ind w:left="160" w:hanging="152"/>
        <w:spacing w:after="0" w:line="204"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Zyprexa revenue includes sale of rights for the olanzapine portfolio in July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224"/>
        </w:trPr>
        <w:tc>
          <w:tcPr>
            <w:tcW w:w="48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7,813.6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5,368.1</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21,343.2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15,335.6</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1,628.3</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2,568.6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4,472.7</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4,837.1</w:t>
            </w: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429.1</w:t>
            </w:r>
          </w:p>
        </w:tc>
        <w:tc>
          <w:tcPr>
            <w:tcW w:w="4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390.8</w:t>
            </w: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1,255.7</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1,233.6</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459.9</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390.8</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1,231.2</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foreign countries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1,108.2</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780.3</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3,207.1</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2,201.8</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11,439.1</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9,498.6</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31,509.9</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 or other party.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 We account for each arrangement as either a business combination or an asset acquisition in accordance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an acquisition met the definition of a business under GAAP,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was recorded as goodwill. The results of operations of the acquisition are included in our consolidated condensed financial statements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Facility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May 2024, we acquired all outstanding membership interests of NexPharm Parent HoldCo, LLC and Isopro Holdings, LLC, which together own the assets of a manufacturing site in Pleasant Prairie, Wisconsin, for a purchase price of $924.7 million, net of cash acquired. The facility is intended to further expand our global parenteral (injectable) product manufacturing network.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access to information was limited prior to this acquisition. As a consequence, we are in the process of determining fair values and tax bases of the assets acquired.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May 23,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816.5</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acquired</w:t>
            </w:r>
          </w:p>
        </w:tc>
        <w:tc>
          <w:tcPr>
            <w:tcW w:w="9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r>
    </w:tbl>
    <w:p>
      <w:pPr>
        <w:spacing w:after="0" w:line="85" w:lineRule="exact"/>
        <w:rPr>
          <w:sz w:val="20"/>
          <w:szCs w:val="20"/>
          <w:color w:val="auto"/>
        </w:rPr>
      </w:pPr>
    </w:p>
    <w:p>
      <w:pPr>
        <w:ind w:left="180" w:right="480" w:hanging="172"/>
        <w:spacing w:after="0" w:line="229" w:lineRule="auto"/>
        <w:tabs>
          <w:tab w:leader="none" w:pos="158"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the synergies between the manufacturing capabilities of the site and our products as well as the assembled workforce of the site, which is deductible for tax purposes.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this acquisition for the three and nine months ended September 30, 2024 were not material.</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and nine months ended September 30,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POINT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December 2023, we acquired all shares of POINT Biopharma Global Inc. (POINT) for a purchase price of $12.50 per share in cash (or an aggregate of $ 1.04 billion, net of cash acquired). POINT has capabilities in radiopharmaceutical discovery, development, and manufacturing efforts, as well as clinical and pre-clinical radioligand therapies in development for the treatment of cancer.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and Liabilities Assumed</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access to POINT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27,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 (IPR&amp;D)</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8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1,338.5</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acquired</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r>
    </w:tbl>
    <w:p>
      <w:pPr>
        <w:spacing w:after="0" w:line="85" w:lineRule="exact"/>
        <w:rPr>
          <w:sz w:val="20"/>
          <w:szCs w:val="20"/>
          <w:color w:val="auto"/>
        </w:rPr>
      </w:pPr>
    </w:p>
    <w:p>
      <w:pPr>
        <w:ind w:left="180" w:right="200" w:hanging="172"/>
        <w:spacing w:after="0" w:line="238" w:lineRule="auto"/>
        <w:tabs>
          <w:tab w:leader="none" w:pos="15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the radiopharmaceutical discovery, development, and manufacturing capabilities and the assembled workforce for POINT, which is not deductible for tax purposes.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results of operations attributable to POINT for the three and nine months ended September 30, 2024 were not material.</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and nine months ended September 30,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Upon each asset acquisition, the cost allocated to acquired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 We recognized acquired IPR&amp;D charges of $2.83 billion and $3.09 billion for the three and nine months ended September 30, 2024, respectively, and $2.98 billion and $3.18 billion for the three and nine months ended September 30, 2023, respectively. The following table summarizes our significant acquired IPR&amp;D charges during the three and nine months ended September 30, 2024 and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Counterparty</w:t>
            </w:r>
          </w:p>
        </w:tc>
        <w:tc>
          <w:tcPr>
            <w:tcW w:w="35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Compound(s), Therapy or Asset</w:t>
            </w:r>
          </w:p>
        </w:tc>
        <w:tc>
          <w:tcPr>
            <w:tcW w:w="17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Acquisition Month</w:t>
            </w:r>
          </w:p>
        </w:tc>
        <w:tc>
          <w:tcPr>
            <w:tcW w:w="1520" w:type="dxa"/>
            <w:vAlign w:val="bottom"/>
          </w:tcPr>
          <w:p>
            <w:pPr>
              <w:jc w:val="center"/>
              <w:ind w:left="36"/>
              <w:spacing w:after="0"/>
              <w:rPr>
                <w:sz w:val="20"/>
                <w:szCs w:val="20"/>
                <w:color w:val="auto"/>
              </w:rPr>
            </w:pPr>
            <w:r>
              <w:rPr>
                <w:rFonts w:ascii="Arial" w:cs="Arial" w:eastAsia="Arial" w:hAnsi="Arial"/>
                <w:sz w:val="14"/>
                <w:szCs w:val="14"/>
                <w:b w:val="1"/>
                <w:bCs w:val="1"/>
                <w:color w:val="auto"/>
              </w:rPr>
              <w:t>Phase of</w:t>
            </w:r>
          </w:p>
        </w:tc>
        <w:tc>
          <w:tcPr>
            <w:tcW w:w="34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89"/>
        </w:trPr>
        <w:tc>
          <w:tcPr>
            <w:tcW w:w="2800" w:type="dxa"/>
            <w:vAlign w:val="bottom"/>
            <w:tcBorders>
              <w:bottom w:val="single" w:sz="8" w:color="auto"/>
            </w:tcBorders>
            <w:vMerge w:val="continue"/>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16"/>
              <w:spacing w:after="0" w:line="189" w:lineRule="exact"/>
              <w:rPr>
                <w:sz w:val="20"/>
                <w:szCs w:val="20"/>
                <w:color w:val="auto"/>
              </w:rPr>
            </w:pPr>
            <w:r>
              <w:rPr>
                <w:rFonts w:ascii="Arial" w:cs="Arial" w:eastAsia="Arial" w:hAnsi="Arial"/>
                <w:sz w:val="14"/>
                <w:szCs w:val="14"/>
                <w:b w:val="1"/>
                <w:bCs w:val="1"/>
                <w:color w:val="auto"/>
                <w:w w:val="99"/>
              </w:rPr>
              <w:t>Development</w:t>
            </w:r>
            <w:r>
              <w:rPr>
                <w:rFonts w:ascii="Arial" w:cs="Arial" w:eastAsia="Arial" w:hAnsi="Arial"/>
                <w:sz w:val="18"/>
                <w:szCs w:val="18"/>
                <w:b w:val="1"/>
                <w:bCs w:val="1"/>
                <w:color w:val="auto"/>
                <w:w w:val="99"/>
                <w:vertAlign w:val="superscript"/>
              </w:rPr>
              <w:t>(1)</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Charge</w:t>
            </w:r>
          </w:p>
        </w:tc>
        <w:tc>
          <w:tcPr>
            <w:tcW w:w="0" w:type="dxa"/>
            <w:vAlign w:val="bottom"/>
          </w:tcPr>
          <w:p>
            <w:pPr>
              <w:spacing w:after="0"/>
              <w:rPr>
                <w:sz w:val="1"/>
                <w:szCs w:val="1"/>
                <w:color w:val="auto"/>
              </w:rPr>
            </w:pPr>
          </w:p>
        </w:tc>
      </w:tr>
      <w:tr>
        <w:trPr>
          <w:trHeight w:val="169"/>
        </w:trPr>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Morphic Holding, Inc. (Morphic)</w:t>
            </w:r>
          </w:p>
        </w:tc>
        <w:tc>
          <w:tcPr>
            <w:tcW w:w="3540" w:type="dxa"/>
            <w:vAlign w:val="bottom"/>
            <w:shd w:val="clear" w:color="auto" w:fill="CCEEFF"/>
          </w:tcPr>
          <w:p>
            <w:pPr>
              <w:ind w:left="280"/>
              <w:spacing w:after="0" w:line="169" w:lineRule="exact"/>
              <w:rPr>
                <w:sz w:val="20"/>
                <w:szCs w:val="20"/>
                <w:color w:val="auto"/>
              </w:rPr>
            </w:pPr>
            <w:r>
              <w:rPr>
                <w:rFonts w:ascii="Arial" w:cs="Arial" w:eastAsia="Arial" w:hAnsi="Arial"/>
                <w:sz w:val="18"/>
                <w:szCs w:val="18"/>
                <w:color w:val="auto"/>
              </w:rPr>
              <w:t>MORF-057, inhibitor of α4β7 integrin</w:t>
            </w:r>
          </w:p>
        </w:tc>
        <w:tc>
          <w:tcPr>
            <w:tcW w:w="1700" w:type="dxa"/>
            <w:vAlign w:val="bottom"/>
            <w:vMerge w:val="restart"/>
            <w:shd w:val="clear" w:color="auto" w:fill="CCEEFF"/>
          </w:tcPr>
          <w:p>
            <w:pPr>
              <w:jc w:val="center"/>
              <w:ind w:right="74"/>
              <w:spacing w:after="0"/>
              <w:rPr>
                <w:sz w:val="20"/>
                <w:szCs w:val="20"/>
                <w:color w:val="auto"/>
              </w:rPr>
            </w:pPr>
            <w:r>
              <w:rPr>
                <w:rFonts w:ascii="Arial" w:cs="Arial" w:eastAsia="Arial" w:hAnsi="Arial"/>
                <w:sz w:val="18"/>
                <w:szCs w:val="18"/>
                <w:color w:val="auto"/>
              </w:rPr>
              <w:t>August 2024</w:t>
            </w:r>
          </w:p>
        </w:tc>
        <w:tc>
          <w:tcPr>
            <w:tcW w:w="1520" w:type="dxa"/>
            <w:vAlign w:val="bottom"/>
            <w:vMerge w:val="restart"/>
            <w:shd w:val="clear" w:color="auto" w:fill="CCEEFF"/>
          </w:tcPr>
          <w:p>
            <w:pPr>
              <w:jc w:val="center"/>
              <w:ind w:left="16"/>
              <w:spacing w:after="0"/>
              <w:rPr>
                <w:sz w:val="20"/>
                <w:szCs w:val="20"/>
                <w:color w:val="auto"/>
              </w:rPr>
            </w:pPr>
            <w:r>
              <w:rPr>
                <w:rFonts w:ascii="Arial" w:cs="Arial" w:eastAsia="Arial" w:hAnsi="Arial"/>
                <w:sz w:val="18"/>
                <w:szCs w:val="18"/>
                <w:color w:val="auto"/>
                <w:w w:val="99"/>
              </w:rPr>
              <w:t>Phase 2</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2,548.5</w:t>
            </w:r>
          </w:p>
        </w:tc>
        <w:tc>
          <w:tcPr>
            <w:tcW w:w="0" w:type="dxa"/>
            <w:vAlign w:val="bottom"/>
          </w:tcPr>
          <w:p>
            <w:pPr>
              <w:spacing w:after="0"/>
              <w:rPr>
                <w:sz w:val="1"/>
                <w:szCs w:val="1"/>
                <w:color w:val="auto"/>
              </w:rPr>
            </w:pPr>
          </w:p>
        </w:tc>
      </w:tr>
      <w:tr>
        <w:trPr>
          <w:trHeight w:val="184"/>
        </w:trPr>
        <w:tc>
          <w:tcPr>
            <w:tcW w:w="2800" w:type="dxa"/>
            <w:vAlign w:val="bottom"/>
            <w:vMerge w:val="continue"/>
            <w:shd w:val="clear" w:color="auto" w:fill="CCEEFF"/>
          </w:tcPr>
          <w:p>
            <w:pPr>
              <w:spacing w:after="0"/>
              <w:rPr>
                <w:sz w:val="15"/>
                <w:szCs w:val="15"/>
                <w:color w:val="auto"/>
              </w:rPr>
            </w:pPr>
          </w:p>
        </w:tc>
        <w:tc>
          <w:tcPr>
            <w:tcW w:w="3540" w:type="dxa"/>
            <w:vAlign w:val="bottom"/>
            <w:shd w:val="clear" w:color="auto" w:fill="CCEEFF"/>
          </w:tcPr>
          <w:p>
            <w:pPr>
              <w:ind w:left="280"/>
              <w:spacing w:after="0" w:line="183" w:lineRule="exact"/>
              <w:rPr>
                <w:sz w:val="20"/>
                <w:szCs w:val="20"/>
                <w:color w:val="auto"/>
              </w:rPr>
            </w:pPr>
            <w:r>
              <w:rPr>
                <w:rFonts w:ascii="Arial" w:cs="Arial" w:eastAsia="Arial" w:hAnsi="Arial"/>
                <w:sz w:val="18"/>
                <w:szCs w:val="18"/>
                <w:color w:val="auto"/>
              </w:rPr>
              <w:t>for the treatment of inflammatory bowel</w:t>
            </w:r>
          </w:p>
        </w:tc>
        <w:tc>
          <w:tcPr>
            <w:tcW w:w="1700" w:type="dxa"/>
            <w:vAlign w:val="bottom"/>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800" w:type="dxa"/>
            <w:vAlign w:val="bottom"/>
            <w:tcBorders>
              <w:bottom w:val="single" w:sz="8" w:color="auto"/>
            </w:tcBorders>
            <w:shd w:val="clear" w:color="auto" w:fill="CCEEFF"/>
          </w:tcPr>
          <w:p>
            <w:pPr>
              <w:spacing w:after="0"/>
              <w:rPr>
                <w:sz w:val="20"/>
                <w:szCs w:val="20"/>
                <w:color w:val="auto"/>
              </w:rPr>
            </w:pPr>
          </w:p>
        </w:tc>
        <w:tc>
          <w:tcPr>
            <w:tcW w:w="3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disease</w:t>
            </w:r>
          </w:p>
        </w:tc>
        <w:tc>
          <w:tcPr>
            <w:tcW w:w="17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DICE Therapeutics, Inc.</w:t>
            </w:r>
          </w:p>
        </w:tc>
        <w:tc>
          <w:tcPr>
            <w:tcW w:w="3540" w:type="dxa"/>
            <w:vAlign w:val="bottom"/>
            <w:shd w:val="clear" w:color="auto" w:fill="CCEEFF"/>
          </w:tcPr>
          <w:p>
            <w:pPr>
              <w:ind w:left="280"/>
              <w:spacing w:after="0" w:line="169" w:lineRule="exact"/>
              <w:rPr>
                <w:sz w:val="20"/>
                <w:szCs w:val="20"/>
                <w:color w:val="auto"/>
              </w:rPr>
            </w:pPr>
            <w:r>
              <w:rPr>
                <w:rFonts w:ascii="Arial" w:cs="Arial" w:eastAsia="Arial" w:hAnsi="Arial"/>
                <w:sz w:val="18"/>
                <w:szCs w:val="18"/>
                <w:color w:val="auto"/>
              </w:rPr>
              <w:t>DC-806, an oral IL-17 inhibitor for the</w:t>
            </w:r>
          </w:p>
        </w:tc>
        <w:tc>
          <w:tcPr>
            <w:tcW w:w="1700" w:type="dxa"/>
            <w:vAlign w:val="bottom"/>
            <w:vMerge w:val="restart"/>
            <w:shd w:val="clear" w:color="auto" w:fill="CCEEFF"/>
          </w:tcPr>
          <w:p>
            <w:pPr>
              <w:jc w:val="center"/>
              <w:ind w:right="74"/>
              <w:spacing w:after="0"/>
              <w:rPr>
                <w:sz w:val="20"/>
                <w:szCs w:val="20"/>
                <w:color w:val="auto"/>
              </w:rPr>
            </w:pPr>
            <w:r>
              <w:rPr>
                <w:rFonts w:ascii="Arial" w:cs="Arial" w:eastAsia="Arial" w:hAnsi="Arial"/>
                <w:sz w:val="18"/>
                <w:szCs w:val="18"/>
                <w:color w:val="auto"/>
              </w:rPr>
              <w:t>August 2023</w:t>
            </w:r>
          </w:p>
        </w:tc>
        <w:tc>
          <w:tcPr>
            <w:tcW w:w="1520" w:type="dxa"/>
            <w:vAlign w:val="bottom"/>
            <w:vMerge w:val="restart"/>
            <w:shd w:val="clear" w:color="auto" w:fill="CCEEFF"/>
          </w:tcPr>
          <w:p>
            <w:pPr>
              <w:jc w:val="center"/>
              <w:ind w:left="16"/>
              <w:spacing w:after="0"/>
              <w:rPr>
                <w:sz w:val="20"/>
                <w:szCs w:val="20"/>
                <w:color w:val="auto"/>
              </w:rPr>
            </w:pPr>
            <w:r>
              <w:rPr>
                <w:rFonts w:ascii="Arial" w:cs="Arial" w:eastAsia="Arial" w:hAnsi="Arial"/>
                <w:sz w:val="18"/>
                <w:szCs w:val="18"/>
                <w:color w:val="auto"/>
                <w:w w:val="99"/>
              </w:rPr>
              <w:t>Phase 2</w:t>
            </w:r>
          </w:p>
        </w:tc>
        <w:tc>
          <w:tcPr>
            <w:tcW w:w="3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1,915.5</w:t>
            </w:r>
          </w:p>
        </w:tc>
        <w:tc>
          <w:tcPr>
            <w:tcW w:w="0" w:type="dxa"/>
            <w:vAlign w:val="bottom"/>
          </w:tcPr>
          <w:p>
            <w:pPr>
              <w:spacing w:after="0"/>
              <w:rPr>
                <w:sz w:val="1"/>
                <w:szCs w:val="1"/>
                <w:color w:val="auto"/>
              </w:rPr>
            </w:pPr>
          </w:p>
        </w:tc>
      </w:tr>
      <w:tr>
        <w:trPr>
          <w:trHeight w:val="181"/>
        </w:trPr>
        <w:tc>
          <w:tcPr>
            <w:tcW w:w="2800" w:type="dxa"/>
            <w:vAlign w:val="bottom"/>
            <w:vMerge w:val="continue"/>
            <w:shd w:val="clear" w:color="auto" w:fill="CCEEFF"/>
          </w:tcPr>
          <w:p>
            <w:pPr>
              <w:spacing w:after="0"/>
              <w:rPr>
                <w:sz w:val="15"/>
                <w:szCs w:val="15"/>
                <w:color w:val="auto"/>
              </w:rPr>
            </w:pPr>
          </w:p>
        </w:tc>
        <w:tc>
          <w:tcPr>
            <w:tcW w:w="3540" w:type="dxa"/>
            <w:vAlign w:val="bottom"/>
            <w:shd w:val="clear" w:color="auto" w:fill="CCEEFF"/>
          </w:tcPr>
          <w:p>
            <w:pPr>
              <w:ind w:left="280"/>
              <w:spacing w:after="0" w:line="182" w:lineRule="exact"/>
              <w:rPr>
                <w:sz w:val="20"/>
                <w:szCs w:val="20"/>
                <w:color w:val="auto"/>
              </w:rPr>
            </w:pPr>
            <w:r>
              <w:rPr>
                <w:rFonts w:ascii="Arial" w:cs="Arial" w:eastAsia="Arial" w:hAnsi="Arial"/>
                <w:sz w:val="18"/>
                <w:szCs w:val="18"/>
                <w:color w:val="auto"/>
              </w:rPr>
              <w:t>treatment of chronic diseases in</w:t>
            </w:r>
          </w:p>
        </w:tc>
        <w:tc>
          <w:tcPr>
            <w:tcW w:w="1700" w:type="dxa"/>
            <w:vAlign w:val="bottom"/>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auto"/>
            </w:tcBorders>
            <w:shd w:val="clear" w:color="auto" w:fill="CCEEFF"/>
          </w:tcPr>
          <w:p>
            <w:pPr>
              <w:spacing w:after="0"/>
              <w:rPr>
                <w:sz w:val="20"/>
                <w:szCs w:val="20"/>
                <w:color w:val="auto"/>
              </w:rPr>
            </w:pPr>
          </w:p>
        </w:tc>
        <w:tc>
          <w:tcPr>
            <w:tcW w:w="3540" w:type="dxa"/>
            <w:vAlign w:val="bottom"/>
            <w:tcBorders>
              <w:bottom w:val="single" w:sz="8" w:color="auto"/>
            </w:tcBorders>
            <w:shd w:val="clear" w:color="auto" w:fill="CCEEFF"/>
          </w:tcPr>
          <w:p>
            <w:pPr>
              <w:ind w:left="280"/>
              <w:spacing w:after="0" w:line="237" w:lineRule="exact"/>
              <w:rPr>
                <w:sz w:val="20"/>
                <w:szCs w:val="20"/>
                <w:color w:val="auto"/>
              </w:rPr>
            </w:pPr>
            <w:r>
              <w:rPr>
                <w:rFonts w:ascii="Arial" w:cs="Arial" w:eastAsia="Arial" w:hAnsi="Arial"/>
                <w:sz w:val="18"/>
                <w:szCs w:val="18"/>
                <w:color w:val="auto"/>
              </w:rPr>
              <w:t>immunology</w:t>
            </w:r>
            <w:r>
              <w:rPr>
                <w:rFonts w:ascii="Arial" w:cs="Arial" w:eastAsia="Arial" w:hAnsi="Arial"/>
                <w:sz w:val="23"/>
                <w:szCs w:val="23"/>
                <w:color w:val="auto"/>
                <w:vertAlign w:val="superscript"/>
              </w:rPr>
              <w:t>(2)</w:t>
            </w:r>
          </w:p>
        </w:tc>
        <w:tc>
          <w:tcPr>
            <w:tcW w:w="17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3540" w:type="dxa"/>
            <w:vAlign w:val="bottom"/>
          </w:tcPr>
          <w:p>
            <w:pPr>
              <w:ind w:left="280"/>
              <w:spacing w:after="0" w:line="169" w:lineRule="exact"/>
              <w:rPr>
                <w:sz w:val="20"/>
                <w:szCs w:val="20"/>
                <w:color w:val="auto"/>
              </w:rPr>
            </w:pPr>
            <w:r>
              <w:rPr>
                <w:rFonts w:ascii="Arial" w:cs="Arial" w:eastAsia="Arial" w:hAnsi="Arial"/>
                <w:sz w:val="18"/>
                <w:szCs w:val="18"/>
                <w:color w:val="auto"/>
              </w:rPr>
              <w:t>Bimagrumab, a monoclonal antibody</w:t>
            </w: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Versanis Bio, Inc.</w:t>
            </w:r>
          </w:p>
        </w:tc>
        <w:tc>
          <w:tcPr>
            <w:tcW w:w="3540" w:type="dxa"/>
            <w:vAlign w:val="bottom"/>
          </w:tcPr>
          <w:p>
            <w:pPr>
              <w:ind w:left="280"/>
              <w:spacing w:after="0" w:line="183" w:lineRule="exact"/>
              <w:rPr>
                <w:sz w:val="20"/>
                <w:szCs w:val="20"/>
                <w:color w:val="auto"/>
              </w:rPr>
            </w:pPr>
            <w:r>
              <w:rPr>
                <w:rFonts w:ascii="Arial" w:cs="Arial" w:eastAsia="Arial" w:hAnsi="Arial"/>
                <w:sz w:val="18"/>
                <w:szCs w:val="18"/>
                <w:color w:val="auto"/>
              </w:rPr>
              <w:t>for the treatment of people living with</w:t>
            </w:r>
          </w:p>
        </w:tc>
        <w:tc>
          <w:tcPr>
            <w:tcW w:w="1700" w:type="dxa"/>
            <w:vAlign w:val="bottom"/>
            <w:vMerge w:val="restart"/>
          </w:tcPr>
          <w:p>
            <w:pPr>
              <w:jc w:val="center"/>
              <w:ind w:right="74"/>
              <w:spacing w:after="0"/>
              <w:rPr>
                <w:sz w:val="20"/>
                <w:szCs w:val="20"/>
                <w:color w:val="auto"/>
              </w:rPr>
            </w:pPr>
            <w:r>
              <w:rPr>
                <w:rFonts w:ascii="Arial" w:cs="Arial" w:eastAsia="Arial" w:hAnsi="Arial"/>
                <w:sz w:val="18"/>
                <w:szCs w:val="18"/>
                <w:color w:val="auto"/>
              </w:rPr>
              <w:t>August 2023</w:t>
            </w:r>
          </w:p>
        </w:tc>
        <w:tc>
          <w:tcPr>
            <w:tcW w:w="1520" w:type="dxa"/>
            <w:vAlign w:val="bottom"/>
            <w:vMerge w:val="restart"/>
          </w:tcPr>
          <w:p>
            <w:pPr>
              <w:jc w:val="center"/>
              <w:ind w:left="16"/>
              <w:spacing w:after="0"/>
              <w:rPr>
                <w:sz w:val="20"/>
                <w:szCs w:val="20"/>
                <w:color w:val="auto"/>
              </w:rPr>
            </w:pPr>
            <w:r>
              <w:rPr>
                <w:rFonts w:ascii="Arial" w:cs="Arial" w:eastAsia="Arial" w:hAnsi="Arial"/>
                <w:sz w:val="18"/>
                <w:szCs w:val="18"/>
                <w:color w:val="auto"/>
                <w:w w:val="99"/>
              </w:rPr>
              <w:t>Phase 2</w:t>
            </w:r>
          </w:p>
        </w:tc>
        <w:tc>
          <w:tcPr>
            <w:tcW w:w="3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144"/>
        </w:trPr>
        <w:tc>
          <w:tcPr>
            <w:tcW w:w="2800" w:type="dxa"/>
            <w:vAlign w:val="bottom"/>
            <w:vMerge w:val="continue"/>
          </w:tcPr>
          <w:p>
            <w:pPr>
              <w:spacing w:after="0"/>
              <w:rPr>
                <w:sz w:val="12"/>
                <w:szCs w:val="12"/>
                <w:color w:val="auto"/>
              </w:rPr>
            </w:pPr>
          </w:p>
        </w:tc>
        <w:tc>
          <w:tcPr>
            <w:tcW w:w="3540" w:type="dxa"/>
            <w:vAlign w:val="bottom"/>
            <w:vMerge w:val="restart"/>
          </w:tcPr>
          <w:p>
            <w:pPr>
              <w:ind w:left="280"/>
              <w:spacing w:after="0" w:line="181" w:lineRule="exact"/>
              <w:rPr>
                <w:sz w:val="20"/>
                <w:szCs w:val="20"/>
                <w:color w:val="auto"/>
              </w:rPr>
            </w:pPr>
            <w:r>
              <w:rPr>
                <w:rFonts w:ascii="Arial" w:cs="Arial" w:eastAsia="Arial" w:hAnsi="Arial"/>
                <w:sz w:val="18"/>
                <w:szCs w:val="18"/>
                <w:color w:val="auto"/>
              </w:rPr>
              <w:t>obesity and obesity-related</w:t>
            </w:r>
          </w:p>
        </w:tc>
        <w:tc>
          <w:tcPr>
            <w:tcW w:w="17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540" w:type="dxa"/>
            <w:vAlign w:val="bottom"/>
            <w:vMerge w:val="continue"/>
          </w:tcPr>
          <w:p>
            <w:pPr>
              <w:spacing w:after="0"/>
              <w:rPr>
                <w:sz w:val="3"/>
                <w:szCs w:val="3"/>
                <w:color w:val="auto"/>
              </w:rPr>
            </w:pPr>
          </w:p>
        </w:tc>
        <w:tc>
          <w:tcPr>
            <w:tcW w:w="1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8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complications</w:t>
            </w: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Emergence Therapeutics AG</w:t>
            </w:r>
          </w:p>
        </w:tc>
        <w:tc>
          <w:tcPr>
            <w:tcW w:w="3540" w:type="dxa"/>
            <w:vAlign w:val="bottom"/>
          </w:tcPr>
          <w:p>
            <w:pPr>
              <w:ind w:left="280"/>
              <w:spacing w:after="0" w:line="169" w:lineRule="exact"/>
              <w:rPr>
                <w:sz w:val="20"/>
                <w:szCs w:val="20"/>
                <w:color w:val="auto"/>
              </w:rPr>
            </w:pPr>
            <w:r>
              <w:rPr>
                <w:rFonts w:ascii="Arial" w:cs="Arial" w:eastAsia="Arial" w:hAnsi="Arial"/>
                <w:sz w:val="18"/>
                <w:szCs w:val="18"/>
                <w:color w:val="auto"/>
              </w:rPr>
              <w:t>ETx-22, a Nectin-4 antibody-drug</w:t>
            </w:r>
          </w:p>
        </w:tc>
        <w:tc>
          <w:tcPr>
            <w:tcW w:w="1700" w:type="dxa"/>
            <w:vAlign w:val="bottom"/>
            <w:vMerge w:val="restart"/>
          </w:tcPr>
          <w:p>
            <w:pPr>
              <w:jc w:val="center"/>
              <w:ind w:right="74"/>
              <w:spacing w:after="0"/>
              <w:rPr>
                <w:sz w:val="20"/>
                <w:szCs w:val="20"/>
                <w:color w:val="auto"/>
              </w:rPr>
            </w:pPr>
            <w:r>
              <w:rPr>
                <w:rFonts w:ascii="Arial" w:cs="Arial" w:eastAsia="Arial" w:hAnsi="Arial"/>
                <w:sz w:val="18"/>
                <w:szCs w:val="18"/>
                <w:color w:val="auto"/>
              </w:rPr>
              <w:t>August 2023</w:t>
            </w:r>
          </w:p>
        </w:tc>
        <w:tc>
          <w:tcPr>
            <w:tcW w:w="1520" w:type="dxa"/>
            <w:vAlign w:val="bottom"/>
            <w:vMerge w:val="restart"/>
          </w:tcPr>
          <w:p>
            <w:pPr>
              <w:jc w:val="center"/>
              <w:ind w:left="36"/>
              <w:spacing w:after="0"/>
              <w:rPr>
                <w:sz w:val="20"/>
                <w:szCs w:val="20"/>
                <w:color w:val="auto"/>
              </w:rPr>
            </w:pPr>
            <w:r>
              <w:rPr>
                <w:rFonts w:ascii="Arial" w:cs="Arial" w:eastAsia="Arial" w:hAnsi="Arial"/>
                <w:sz w:val="18"/>
                <w:szCs w:val="18"/>
                <w:color w:val="auto"/>
                <w:w w:val="99"/>
              </w:rPr>
              <w:t>Pre-clinical</w:t>
            </w:r>
          </w:p>
        </w:tc>
        <w:tc>
          <w:tcPr>
            <w:tcW w:w="3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02"/>
        </w:trPr>
        <w:tc>
          <w:tcPr>
            <w:tcW w:w="2800" w:type="dxa"/>
            <w:vAlign w:val="bottom"/>
            <w:vMerge w:val="continue"/>
          </w:tcPr>
          <w:p>
            <w:pPr>
              <w:spacing w:after="0"/>
              <w:rPr>
                <w:sz w:val="17"/>
                <w:szCs w:val="17"/>
                <w:color w:val="auto"/>
              </w:rPr>
            </w:pPr>
          </w:p>
        </w:tc>
        <w:tc>
          <w:tcPr>
            <w:tcW w:w="3540" w:type="dxa"/>
            <w:vAlign w:val="bottom"/>
          </w:tcPr>
          <w:p>
            <w:pPr>
              <w:ind w:left="280"/>
              <w:spacing w:after="0" w:line="201" w:lineRule="exact"/>
              <w:rPr>
                <w:sz w:val="20"/>
                <w:szCs w:val="20"/>
                <w:color w:val="auto"/>
              </w:rPr>
            </w:pPr>
            <w:r>
              <w:rPr>
                <w:rFonts w:ascii="Arial" w:cs="Arial" w:eastAsia="Arial" w:hAnsi="Arial"/>
                <w:sz w:val="18"/>
                <w:szCs w:val="18"/>
                <w:color w:val="auto"/>
              </w:rPr>
              <w:t>conjugate for the treatment of urothelial</w:t>
            </w:r>
          </w:p>
        </w:tc>
        <w:tc>
          <w:tcPr>
            <w:tcW w:w="17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385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385445"/>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color w:val="auto"/>
        </w:rPr>
        <w:t>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6"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phase of development presented is as of the date of the arrangement and represents the phase of development of the most advanced asset acquired, where applicable.</w:t>
      </w: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In 2024, we discontinued development of this molecule in favor of another molecule in development.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Collaboration</w:t>
      </w:r>
    </w:p>
    <w:p>
      <w:pPr>
        <w:spacing w:after="0" w:line="117"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We and Boehringer Ingelheim have a global agreement to jointly develop and commercialize a portfolio of compounds. Currently included in the collaboration are Boehringer Ingelheim's products: Jardiance, Glyxambi, Synjardy, Trijardy XR, Trajenta, and Jentadueto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our products: Basaglar and Rezvoglar. Glyxambi, Synjardy, and Trijardy XR are included in the Jardiance product family. Jentadueto is included in the Trajenta product family. Rezvoglar is included in the Basaglar product family.</w:t>
      </w:r>
    </w:p>
    <w:p>
      <w:pPr>
        <w:spacing w:after="0" w:line="8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Net milestones capitalized with respect to Jardiance and Trajenta and net milestones deferred with respect to Basaglar are not material.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spacing w:after="0" w:line="254" w:lineRule="auto"/>
        <w:rPr>
          <w:sz w:val="20"/>
          <w:szCs w:val="20"/>
          <w:color w:val="auto"/>
        </w:rPr>
      </w:pPr>
      <w:r>
        <w:rPr>
          <w:rFonts w:ascii="Arial" w:cs="Arial" w:eastAsia="Arial" w:hAnsi="Arial"/>
          <w:sz w:val="18"/>
          <w:szCs w:val="18"/>
          <w:color w:val="auto"/>
        </w:rPr>
        <w:t>For the Jardiance product family, we and Boehringer Ingelheim generally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the Basaglar product family in the U.S. We record our sales of the Basaglar product family to third parties as net product revenue with the royalty payments made to Boehringer Ingelheim recorded as cost of sales. The following table summarizes our revenue recognized: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686.4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700.8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2,142.5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1,946.6</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Basaglar</w:t>
            </w:r>
          </w:p>
        </w:tc>
        <w:tc>
          <w:tcPr>
            <w:tcW w:w="9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161.6</w:t>
            </w:r>
          </w:p>
        </w:tc>
        <w:tc>
          <w:tcPr>
            <w:tcW w:w="4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179.6</w:t>
            </w:r>
          </w:p>
        </w:tc>
        <w:tc>
          <w:tcPr>
            <w:tcW w:w="340" w:type="dxa"/>
            <w:vAlign w:val="bottom"/>
          </w:tcPr>
          <w:p>
            <w:pPr>
              <w:spacing w:after="0"/>
              <w:rPr>
                <w:sz w:val="19"/>
                <w:szCs w:val="19"/>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b w:val="1"/>
                <w:bCs w:val="1"/>
                <w:color w:val="auto"/>
              </w:rPr>
              <w:t>500.0</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Trajenta</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91.7</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95.2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257.3</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baricitinib, which is branded and trademarked as Olumiant, and certain follow-on compounds, for the treatment of inflammatory and autoimmune diseases and COVID-19.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regulatory approvals of Olumiant in the U.S., Europe, and Japan, as well as achievement of a sales-based milestone, milestone payments were capitalized as intangible assets and are being amortized to cost of sales through the term of the collaboration. Net milestones capitalized are not material. As of September 30, 2024, Incyte is eligible to receive up to $100.0 million of additional payments from us in potential sales-based milestones.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250.8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231.4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695.9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Tyvyt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collaboration agreement with Innovent Biologics, Inc. (Innovent) to jointly develop and commercialize sintilimab injection in China, where it is branded and trademarked as Tyvyt. 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Tyvyt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150.2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115.1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389.9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Ebglyss</w:t>
      </w:r>
      <w:r>
        <w:rPr>
          <w:rFonts w:ascii="Arial" w:cs="Arial" w:eastAsia="Arial" w:hAnsi="Arial"/>
          <w:sz w:val="23"/>
          <w:szCs w:val="23"/>
          <w:b w:val="1"/>
          <w:bCs w:val="1"/>
          <w:color w:val="auto"/>
          <w:vertAlign w:val="superscript"/>
        </w:rPr>
        <w:t>TM</w:t>
      </w:r>
    </w:p>
    <w:p>
      <w:pPr>
        <w:spacing w:after="0" w:line="64"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September 30, 2024, Roche is eligible to receive additional payments from us, including up to $ 1.03 billion in potential sales-based milestones. During the three and nine months ended September 30, 2024 and 2023, milestone payments to Roche were not material.</w:t>
      </w:r>
    </w:p>
    <w:p>
      <w:pPr>
        <w:spacing w:after="0" w:line="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During the three and nine months ended September 30, 2024 and 2023, collaboration and other revenue recognized under this license agreement was not material. As of September 30, 2024, we are eligible to receive additional payments up to $1.25 billion in a series of sales-based milestones.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Orforglipron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license agreement with Chugai Pharmaceutical Co., Ltd (Chugai), which provides us with the worldwide development and commercialization rights to orforglipron. Chugai has the right to receive tiered royalty payments on future worldwide net sales from mid-single digits to low teens if the product is successfully commercialized. As of September 30, 2024, Chugai is eligible to receive up to $140.0 million contingent upon the achievement of success-based regulatory milestones and up to $250.0 million in a series of sales-based milestones, contingent upon the commercial success of orforglipron. During the three and nine months ended September 30, 2024 and 2023, milestone payments to Chugai were not material.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Olanzapine Portfolio (including Zyprexa)</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July 2023, we sold the rights for the olanzapine portfolio, including Zyprexa, to Cheplapharm Arzneimittel GmbH (Cheplapharm), a European company. Under the terms of the agreement, we received $1.05 billion in cash upon closing and an additional $305.0 million in cash upon the one-year anniversary of closing. We included both in the transaction price as of September 30, 2023.</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entered into a supply agreement with Cheplapharm that obligates Cheplapharm to purchase Zyprexa product we are manufacturing at an amount which represents a standalone selling price. As the product we are manufacturing under this supply agreement has no alternative use to us and we have right to payment, we recognize net product revenue over time as we manufacture the product.</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During the three and nine months ended September 30, 2023, we recognized $1.42 billion in revenue primarily related to the net gain on the sale of rights for the olanzapine portfolio.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Baqsimi</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June 2023, we sold the rights for Baqsimi to Amphastar Pharmaceuticals, Inc. (Amphastar). Under the terms of the agreement, we received $500.0 million in cash upon closing and an additional $125.0 million in cash upon the one-year anniversary of closing. We included both in the transaction price as of September 30, 2023. We are eligible to receive payments of up to $450.0 million in a series of sales-based milestones that have not been included in the transaction price as of September 30, 2024.</w:t>
      </w:r>
    </w:p>
    <w:p>
      <w:pPr>
        <w:spacing w:after="0" w:line="6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entered into a supply agreement with Amphastar that obligates Amphastar to purchase Baqsimi product we are manufacturing at an amount which represents a standalone selling price. As the product we are manufacturing under this supply agreement has no alternative use to us and we have right to payment, we recognize net product revenue over time as we manufacture the product.</w:t>
      </w:r>
    </w:p>
    <w:p>
      <w:pPr>
        <w:spacing w:after="0" w:line="6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For the nine months ended September 30, 2023, we recognized $579.0 million in revenue primarily related to the net gain on the sale of rights for Baqsimi.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 impairment, restructuring, and other special charges recognized during the three months ended September 30, 2024 were</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$81.6 million, which primarily related to impairment of an intangible asset in development driven by expected commercial projections. Asset impairment, restructuring, and other special charges recognized during the nine months ended September 30, 2024 were $516.6 million, which primarily related to litigation charges and the previously mentioned impairment. See Note 10 for additional information related to the litigation charges.</w:t>
      </w:r>
    </w:p>
    <w:p>
      <w:pPr>
        <w:spacing w:after="0" w:line="74" w:lineRule="exact"/>
        <w:rPr>
          <w:sz w:val="20"/>
          <w:szCs w:val="20"/>
          <w:color w:val="auto"/>
        </w:rPr>
      </w:pPr>
    </w:p>
    <w:p>
      <w:pPr>
        <w:ind w:right="1220"/>
        <w:spacing w:after="0" w:line="287" w:lineRule="auto"/>
        <w:rPr>
          <w:sz w:val="20"/>
          <w:szCs w:val="20"/>
          <w:color w:val="auto"/>
        </w:rPr>
      </w:pPr>
      <w:r>
        <w:rPr>
          <w:rFonts w:ascii="Arial" w:cs="Arial" w:eastAsia="Arial" w:hAnsi="Arial"/>
          <w:sz w:val="18"/>
          <w:szCs w:val="18"/>
          <w:color w:val="auto"/>
        </w:rPr>
        <w:t>There were no asset impairment, restructuring, and other special charges recognized during the three and nine months ended September 30, 2023.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inventories: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1,114.0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b w:val="1"/>
                <w:bCs w:val="1"/>
                <w:color w:val="auto"/>
              </w:rPr>
              <w:t>4,035.1</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3,248.6</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2,237.3</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180" w:type="dxa"/>
            <w:vAlign w:val="bottom"/>
          </w:tcPr>
          <w:p>
            <w:pPr>
              <w:spacing w:after="0"/>
              <w:rPr>
                <w:sz w:val="19"/>
                <w:szCs w:val="19"/>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b w:val="1"/>
                <w:bCs w:val="1"/>
                <w:color w:val="auto"/>
              </w:rPr>
              <w:t>7,386.4</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5,670.4</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last-in, first-out (LIFO) cost</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73.4</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7,459.8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5,772.8</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three and nine months ended September 30, 2024 and 2023 were not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net gains (losses) recognized in our consolidated condensed statements of operations for equity securities were $112.4 million and</w:t>
      </w:r>
    </w:p>
    <w:p>
      <w:pPr>
        <w:spacing w:after="0" w:line="2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$(29.5) million for the three and nine months ended September 30, 2024, respectively, and $(62.9) million and $(141.5) million for the three and nine months ended September 30, 2023, respectively. The net gains (losses) recognized for the three and nine months ended September 30, 2024 and 2023 on equity securities sold during the respective periods were not material.</w:t>
      </w:r>
    </w:p>
    <w:p>
      <w:pPr>
        <w:spacing w:after="0" w:line="7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As of September 30, 2024, we had approximately $925 million of unfunded commitments to invest in venture capital funds, which we anticipate will be paid over a period of up to 10 years.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ind w:right="80"/>
        <w:spacing w:after="0" w:line="25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 We periodically assess our investment in available-for-sale securities for impairment losses and credit losses. The amount of credit losses is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and nine months ended September 30, 2024 and 2023.</w:t>
      </w:r>
    </w:p>
    <w:p>
      <w:pPr>
        <w:spacing w:after="0" w:line="7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September 30,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7"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7"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685.2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185.1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800" w:type="dxa"/>
            <w:vAlign w:val="bottom"/>
          </w:tcPr>
          <w:p>
            <w:pPr>
              <w:spacing w:after="0"/>
              <w:rPr>
                <w:sz w:val="19"/>
                <w:szCs w:val="19"/>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b w:val="1"/>
                <w:bCs w:val="1"/>
                <w:color w:val="auto"/>
              </w:rPr>
              <w:t>29.2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8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278.0</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r>
      <w:tr>
        <w:trPr>
          <w:trHeight w:val="247"/>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8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b w:val="1"/>
                <w:bCs w:val="1"/>
                <w:color w:val="auto"/>
              </w:rPr>
              <w:t>367.6</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452.0</w:t>
            </w:r>
          </w:p>
        </w:tc>
      </w:tr>
    </w:tbl>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2024, the available-for-sale securities in an unrealized loss position include primarily fixed-rate debt securities of varying maturities, which are sensitive to changes in the yield curve and other market conditions. Substantially all of the fixed-rate debt securities in a loss position are investment-grade debt securities. As of September 30, 2024,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 and were not material for the three and nine months ended September 30, 2024 and 2023. Proceeds from sales of available-for-sale investments were $23.2 million and $68.6 million for the three and nine months ended September 30, 2024, respectively, and $60.0 million and $121.8 million for the three and nine months ended September 30, 2023,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The following table summarizes certain fair value information at September 30, 2024 and December 31, 2023 for investment assets measured at fair value on a recurring basis, as well as the carrying amount and amortized cost of certain other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w:t>
            </w: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1,850.5</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1,850.5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1,842.7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7.8</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1,850.5</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34.5</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34.5</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68.7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68.8</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68.7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68.7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43.5</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9.2</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34.3</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43.5</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149.4</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144.3</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153.9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144.3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144.3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225.7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219.1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219.1</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162.7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169.1</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162.7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162.7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53.1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53.2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149.6</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101.9</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143.3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149.6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552.6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492.7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552.6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552.6</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831.1</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1,087.6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3,200.2</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1,088.4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1,088.4</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25.0</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13.6</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11.4</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148.1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161.0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148.1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226.6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214.3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167.1</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157.3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197.4</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100.2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493.2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711.3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608.0</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3,052.2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80" w:right="860" w:hanging="172"/>
        <w:spacing w:after="0" w:line="261" w:lineRule="auto"/>
        <w:tabs>
          <w:tab w:leader="none" w:pos="172" w:val="left"/>
        </w:tabs>
        <w:numPr>
          <w:ilvl w:val="0"/>
          <w:numId w:val="11"/>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04"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2" w:name="page23"/>
    <w:bookmarkEnd w:id="22"/>
    <w:p>
      <w:pPr>
        <w:ind w:right="22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August 2024, we issued $750.0 million of 4.150 percent fixed-rate notes due in 2027, $1.00 billion of 4.200 percent fixed-rate notes due in 2029, $1.25 billion of 4.600 percent fixed-rate notes due in 2034, $1.25 billion of 5.050 percent fixed rate notes due in 2054, and</w:t>
      </w:r>
    </w:p>
    <w:p>
      <w:pPr>
        <w:spacing w:after="0" w:line="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$750.0 million of 5.200 percent fixed-rate notes due in 2064, all with interest to be paid semi-annually. We used a portion of the net cash proceeds from the offering of $4.96 billion to fund the acquisition of Morphic and related fees and expenses, with any remaining funds used for general business purposes, including the repayment of outstanding commercial paper.</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2024, we issued $1.00 billion of 4.500 percent fixed-rate notes due in 2027, $1.00 billion of 4.500 percent fixed-rate notes due in 2029, $1.50 billion of 4.700 percent fixed-rate notes due in 2034, $1.50 billion of 5.000 percent fixed-rate notes due in 2054, and $1.50 billion of 5.100 percent fixed-rate notes due in 2064, all with interest to be paid semi-annually. We used, or may be using, the net cash proceeds from the offering of $6.45 billion for general business purposes, including the repayment of outstanding commercial paper, repayment of current maturities of long-term debt, and repayment of the $750.0 million of 5.000 percent fixed-rate notes due in 2026.</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February 2023, we issued $750.0 million of 5.000 percent fixed-rate notes due in 2026, $1.00 billion of 4.700 percent fixed-rate notes due in 2033, $ 1.25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September 2024, we renewed our 364-day credit facility and increased capacity to $5.00 billion, which will expire in September 2025 and is available to support our commercial paper program. We have not drawn against the $5.00 billion 364-day facility as of September 30, 2024.</w:t>
      </w:r>
    </w:p>
    <w:p>
      <w:pPr>
        <w:spacing w:after="0" w:line="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In September 2024, we extended our $3.00 billion multi-year credit facility, which will now expire in December 2028 and is available to support our commercial paper program. We have not drawn against the $3.00 billion multi-year facility as of September 30, 2024.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Debt</w:t>
      </w:r>
    </w:p>
    <w:p>
      <w:pPr>
        <w:spacing w:after="0" w:line="115"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The following table summarizes certain fair value information at September 30, 2024 and December 31, 2023 for our short-term and long-term debt: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5"/>
          </w:tcPr>
          <w:p>
            <w:pPr>
              <w:jc w:val="center"/>
              <w:ind w:right="59"/>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2"/>
                <w:szCs w:val="12"/>
                <w:color w:val="auto"/>
              </w:rPr>
            </w:pPr>
          </w:p>
        </w:tc>
        <w:tc>
          <w:tcPr>
            <w:tcW w:w="11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5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Significant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rPr>
              <w:t>Active Markets</w:t>
            </w: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8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for Identical</w:t>
            </w:r>
          </w:p>
        </w:tc>
        <w:tc>
          <w:tcPr>
            <w:tcW w:w="14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1"/>
                <w:szCs w:val="11"/>
                <w:color w:val="auto"/>
              </w:rPr>
            </w:pPr>
          </w:p>
        </w:tc>
        <w:tc>
          <w:tcPr>
            <w:tcW w:w="15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Unobservable</w:t>
            </w: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Inputs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commercial paper borrowings</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September 30, 2024</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(1,295.3)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(1,293.4)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ind w:left="900"/>
              <w:spacing w:after="0"/>
              <w:rPr>
                <w:sz w:val="20"/>
                <w:szCs w:val="20"/>
                <w:color w:val="auto"/>
              </w:rPr>
            </w:pPr>
            <w:r>
              <w:rPr>
                <w:rFonts w:ascii="Arial" w:cs="Arial" w:eastAsia="Arial" w:hAnsi="Arial"/>
                <w:sz w:val="18"/>
                <w:szCs w:val="18"/>
                <w:b w:val="1"/>
                <w:bCs w:val="1"/>
                <w:color w:val="auto"/>
              </w:rPr>
              <w:t>—  $</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(1,293.4)</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2023</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(6,189.4)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September 30, 2024</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(29,824.4)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(28,023.3)</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(28,023.3)</w:t>
            </w:r>
          </w:p>
        </w:tc>
        <w:tc>
          <w:tcPr>
            <w:tcW w:w="0" w:type="dxa"/>
            <w:vAlign w:val="bottom"/>
          </w:tcPr>
          <w:p>
            <w:pPr>
              <w:spacing w:after="0"/>
              <w:rPr>
                <w:sz w:val="1"/>
                <w:szCs w:val="1"/>
                <w:color w:val="auto"/>
              </w:rPr>
            </w:pPr>
          </w:p>
        </w:tc>
      </w:tr>
      <w:tr>
        <w:trPr>
          <w:trHeight w:val="239"/>
        </w:trPr>
        <w:tc>
          <w:tcPr>
            <w:tcW w:w="3820" w:type="dxa"/>
            <w:vAlign w:val="bottom"/>
          </w:tcPr>
          <w:p>
            <w:pPr>
              <w:ind w:left="140"/>
              <w:spacing w:after="0"/>
              <w:rPr>
                <w:sz w:val="20"/>
                <w:szCs w:val="20"/>
                <w:color w:val="auto"/>
              </w:rPr>
            </w:pPr>
            <w:r>
              <w:rPr>
                <w:rFonts w:ascii="Arial" w:cs="Arial" w:eastAsia="Arial" w:hAnsi="Arial"/>
                <w:sz w:val="18"/>
                <w:szCs w:val="18"/>
                <w:color w:val="auto"/>
              </w:rPr>
              <w:t>December 31, 2023</w:t>
            </w:r>
          </w:p>
        </w:tc>
        <w:tc>
          <w:tcPr>
            <w:tcW w:w="7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(19,035.9)</w:t>
            </w:r>
          </w:p>
        </w:tc>
        <w:tc>
          <w:tcPr>
            <w:tcW w:w="14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(17,221.7)</w:t>
            </w:r>
          </w:p>
        </w:tc>
        <w:tc>
          <w:tcPr>
            <w:tcW w:w="220" w:type="dxa"/>
            <w:vAlign w:val="bottom"/>
          </w:tcPr>
          <w:p>
            <w:pPr>
              <w:spacing w:after="0"/>
              <w:rPr>
                <w:sz w:val="20"/>
                <w:szCs w:val="20"/>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(17,221.7)</w:t>
            </w:r>
          </w:p>
        </w:tc>
        <w:tc>
          <w:tcPr>
            <w:tcW w:w="0" w:type="dxa"/>
            <w:vAlign w:val="bottom"/>
          </w:tcPr>
          <w:p>
            <w:pPr>
              <w:spacing w:after="0"/>
              <w:rPr>
                <w:sz w:val="1"/>
                <w:szCs w:val="1"/>
                <w:color w:val="auto"/>
              </w:rPr>
            </w:pPr>
          </w:p>
        </w:tc>
      </w:tr>
      <w:tr>
        <w:trPr>
          <w:trHeight w:val="859"/>
        </w:trPr>
        <w:tc>
          <w:tcPr>
            <w:tcW w:w="3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7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We derecognized $419.2 million and $431.9 million of accounts receivable as of September 30, 2024 and December 31, 2023, respectively, under these factoring arrangements. The costs of factoring such accounts receivable as well as estimated credit losses were not material for the three and nine months ended September 30, 2024 and 2023.</w:t>
      </w:r>
    </w:p>
    <w:p>
      <w:pPr>
        <w:spacing w:after="0" w:line="56"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11)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11). Derivative contracts that are not designated as hedging instruments are recorded at fair value with the gain or loss recognized in earnings during the period of change.</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(primarily the euro, Chinese yuan,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Forward contracts generally have maturities not exceeding 12 months. At September 30, 2024, we had outstanding foreign currency forward commitments as follows, all of which have settlement dates within 180 days: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2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1098"/>
              <w:spacing w:after="0"/>
              <w:rPr>
                <w:sz w:val="20"/>
                <w:szCs w:val="20"/>
                <w:color w:val="auto"/>
              </w:rPr>
            </w:pPr>
            <w:r>
              <w:rPr>
                <w:rFonts w:ascii="Arial" w:cs="Arial" w:eastAsia="Arial" w:hAnsi="Arial"/>
                <w:sz w:val="14"/>
                <w:szCs w:val="14"/>
                <w:b w:val="1"/>
                <w:bCs w:val="1"/>
                <w:color w:val="auto"/>
              </w:rPr>
              <w:t>Purchase</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1318"/>
              <w:spacing w:after="0"/>
              <w:rPr>
                <w:sz w:val="20"/>
                <w:szCs w:val="20"/>
                <w:color w:val="auto"/>
              </w:rPr>
            </w:pPr>
            <w:r>
              <w:rPr>
                <w:rFonts w:ascii="Arial" w:cs="Arial" w:eastAsia="Arial" w:hAnsi="Arial"/>
                <w:sz w:val="14"/>
                <w:szCs w:val="14"/>
                <w:b w:val="1"/>
                <w:bCs w:val="1"/>
                <w:color w:val="auto"/>
              </w:rPr>
              <w:t>Sell</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rPr>
                <w:sz w:val="12"/>
                <w:szCs w:val="12"/>
                <w:color w:val="auto"/>
              </w:rPr>
            </w:pPr>
          </w:p>
        </w:tc>
        <w:tc>
          <w:tcPr>
            <w:tcW w:w="11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Currency</w:t>
            </w:r>
          </w:p>
        </w:tc>
        <w:tc>
          <w:tcPr>
            <w:tcW w:w="1840" w:type="dxa"/>
            <w:vAlign w:val="bottom"/>
          </w:tcPr>
          <w:p>
            <w:pPr>
              <w:jc w:val="right"/>
              <w:ind w:right="398"/>
              <w:spacing w:after="0" w:line="147"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Currency</w:t>
            </w:r>
          </w:p>
        </w:tc>
        <w:tc>
          <w:tcPr>
            <w:tcW w:w="4280" w:type="dxa"/>
            <w:vAlign w:val="bottom"/>
            <w:gridSpan w:val="2"/>
          </w:tcPr>
          <w:p>
            <w:pPr>
              <w:jc w:val="center"/>
              <w:ind w:right="2260"/>
              <w:spacing w:after="0" w:line="14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840" w:type="dxa"/>
            <w:vAlign w:val="bottom"/>
          </w:tcPr>
          <w:p>
            <w:pPr>
              <w:jc w:val="right"/>
              <w:ind w:right="258"/>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280" w:type="dxa"/>
            <w:vAlign w:val="bottom"/>
            <w:gridSpan w:val="2"/>
          </w:tcPr>
          <w:p>
            <w:pPr>
              <w:jc w:val="center"/>
              <w:ind w:right="2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5,325.1</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dollars</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5,955.9</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840" w:type="dxa"/>
            <w:vAlign w:val="bottom"/>
          </w:tcPr>
          <w:p>
            <w:pPr>
              <w:jc w:val="right"/>
              <w:spacing w:after="0"/>
              <w:rPr>
                <w:sz w:val="20"/>
                <w:szCs w:val="20"/>
                <w:color w:val="auto"/>
              </w:rPr>
            </w:pPr>
            <w:r>
              <w:rPr>
                <w:rFonts w:ascii="Arial" w:cs="Arial" w:eastAsia="Arial" w:hAnsi="Arial"/>
                <w:sz w:val="18"/>
                <w:szCs w:val="18"/>
                <w:color w:val="auto"/>
              </w:rPr>
              <w:t>1,945.4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Euro</w:t>
            </w:r>
          </w:p>
        </w:tc>
        <w:tc>
          <w:tcPr>
            <w:tcW w:w="1780" w:type="dxa"/>
            <w:vAlign w:val="bottom"/>
          </w:tcPr>
          <w:p>
            <w:pPr>
              <w:jc w:val="right"/>
              <w:spacing w:after="0"/>
              <w:rPr>
                <w:sz w:val="20"/>
                <w:szCs w:val="20"/>
                <w:color w:val="auto"/>
              </w:rPr>
            </w:pPr>
            <w:r>
              <w:rPr>
                <w:rFonts w:ascii="Arial" w:cs="Arial" w:eastAsia="Arial" w:hAnsi="Arial"/>
                <w:sz w:val="18"/>
                <w:szCs w:val="18"/>
                <w:color w:val="auto"/>
              </w:rPr>
              <w:t>1,744.4</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73,217.3</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w w:val="98"/>
              </w:rPr>
              <w:t>British pounds</w:t>
            </w:r>
          </w:p>
        </w:tc>
        <w:tc>
          <w:tcPr>
            <w:tcW w:w="1840" w:type="dxa"/>
            <w:vAlign w:val="bottom"/>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U.S. dollars</w:t>
            </w:r>
          </w:p>
        </w:tc>
        <w:tc>
          <w:tcPr>
            <w:tcW w:w="1780" w:type="dxa"/>
            <w:vAlign w:val="bottom"/>
          </w:tcPr>
          <w:p>
            <w:pPr>
              <w:jc w:val="right"/>
              <w:spacing w:after="0"/>
              <w:rPr>
                <w:sz w:val="20"/>
                <w:szCs w:val="20"/>
                <w:color w:val="auto"/>
              </w:rPr>
            </w:pPr>
            <w:r>
              <w:rPr>
                <w:rFonts w:ascii="Arial" w:cs="Arial" w:eastAsia="Arial" w:hAnsi="Arial"/>
                <w:sz w:val="18"/>
                <w:szCs w:val="18"/>
                <w:color w:val="auto"/>
              </w:rPr>
              <w:t>170.4</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2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gridSpan w:val="3"/>
          </w:tcPr>
          <w:p>
            <w:pPr>
              <w:jc w:val="right"/>
              <w:ind w:right="1154"/>
              <w:spacing w:after="0"/>
              <w:rPr>
                <w:sz w:val="20"/>
                <w:szCs w:val="20"/>
                <w:color w:val="auto"/>
              </w:rPr>
            </w:pPr>
            <w:r>
              <w:rPr>
                <w:rFonts w:ascii="Arial" w:cs="Arial" w:eastAsia="Arial" w:hAnsi="Arial"/>
                <w:sz w:val="18"/>
                <w:szCs w:val="18"/>
                <w:color w:val="auto"/>
                <w:w w:val="89"/>
              </w:rPr>
              <w:t>24</w:t>
            </w:r>
          </w:p>
        </w:tc>
        <w:tc>
          <w:tcPr>
            <w:tcW w:w="17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5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4" w:name="page25"/>
    <w:bookmarkEnd w:id="24"/>
    <w:p>
      <w:pPr>
        <w:ind w:right="280"/>
        <w:spacing w:after="0" w:line="254" w:lineRule="auto"/>
        <w:rPr>
          <w:sz w:val="20"/>
          <w:szCs w:val="20"/>
          <w:color w:val="auto"/>
        </w:rPr>
      </w:pPr>
      <w:r>
        <w:rPr>
          <w:rFonts w:ascii="Arial" w:cs="Arial" w:eastAsia="Arial" w:hAnsi="Arial"/>
          <w:sz w:val="18"/>
          <w:szCs w:val="18"/>
          <w:color w:val="auto"/>
        </w:rPr>
        <w:t>Foreign currency exchange risk is also managed through the use of foreign currency debt, cross-currency interest rate swaps, and foreign currency forward contracts. Our foreign currency-denominated notes had carrying amounts of $6.50 billion and $7.14 billion as of September 30, 2024 and December 31, 2023, respectively, of which $5.75 billion and $5.67 billion have been designated as, and are effective as, economic hedges of net investments in certain of our foreign operations as of September 30, 2024 and December 31, 2023, respectively. At September 30, 2024, we had outstanding cross-currency swaps with notional amounts of $728.6 million swapping U.S. dollars to euro and $402.3 million swapping Swiss francs to U.S. dollars which have settlement dates ranging through 2028. Our cross-currency interest rate swaps, for which a significant amount convert a portion of our U.S. dollar-denominated fixed-rate debt to foreign-denominated fixed-rate debt, have also been designated as, and are effective as, economic hedges of net investments. At September 30, 2024, we had outstanding foreign currency forward contracts to sell 4.30 billion euro and to sell 3.20 billion Chinese yuan with settlement dates ranging through 2025, which have been designated as, and are effective as, economic hedges of net investments.</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September 30, 2024, all of our total long-term debt is at a fixed rate. We have converted approximately 5 percent of our long-term fixed-rate notes to floating rates through the use of interest rate swaps.</w:t>
      </w:r>
    </w:p>
    <w:p>
      <w:pPr>
        <w:spacing w:after="0" w:line="74"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We also may enter into forward-starting interest rate swaps and treasury locks,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11) and, upon completion of a debt issuance and termination of the instrument, is amortized to interest expense over the life of the underlying debt. Cash proceeds or payments from the termination of these instruments are classified as operating activities in our consolidated condensed statements of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960" w:type="dxa"/>
            <w:vAlign w:val="bottom"/>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48.0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(29.9)</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29.0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from interest rate contracts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w:t>
            </w:r>
          </w:p>
        </w:tc>
        <w:tc>
          <w:tcPr>
            <w:tcW w:w="9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w:t>
            </w:r>
          </w:p>
        </w:tc>
        <w:tc>
          <w:tcPr>
            <w:tcW w:w="4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5.8</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reclassified from accumulated other comprehensive loss</w:t>
            </w:r>
          </w:p>
        </w:tc>
        <w:tc>
          <w:tcPr>
            <w:tcW w:w="96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4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58.5</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(gains) losses on foreign currency exchange contracts</w:t>
            </w:r>
          </w:p>
        </w:tc>
        <w:tc>
          <w:tcPr>
            <w:tcW w:w="9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201.0</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33.8</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designated as hedging instruments</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228.9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98.1</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three and nine months ended September 30, 2024 and 2023, the amortization of losses related to the portion of our risk management hedging instruments, fair value hedges, and cash flow hedges that was excluded from the assessment of effectiveness was not material.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(250.2)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183.5</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(76.3)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29"/>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(304.1)</w:t>
            </w:r>
          </w:p>
        </w:tc>
        <w:tc>
          <w:tcPr>
            <w:tcW w:w="42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217.7</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(172.3)</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42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84.3</w:t>
            </w:r>
          </w:p>
        </w:tc>
        <w:tc>
          <w:tcPr>
            <w:tcW w:w="34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53.8</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141.4</w:t>
            </w: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7.7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bl>
    <w:p>
      <w:pPr>
        <w:spacing w:after="0" w:line="1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next 12 months, we expect to reclassify $4.3 million of pretax net losses on cash flow hedges from accumulated other comprehensive loss to other–net, (income) expense. During the three and nine months ended September 30, 2024 and 2023, the amounts excluded from the assessment of hedge effectiveness recognized in other comprehensive income (loss) were not material.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Risk-Management Instruments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 summarizes certain fair value information at September 30, 2024 and December 31, 2023 for risk management assets and liabilities measured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43"/>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1"/>
              <w:spacing w:after="0" w:line="143"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Significant</w:t>
            </w:r>
          </w:p>
        </w:tc>
        <w:tc>
          <w:tcPr>
            <w:tcW w:w="1020" w:type="dxa"/>
            <w:vAlign w:val="bottom"/>
          </w:tcPr>
          <w:p>
            <w:pPr>
              <w:spacing w:after="0"/>
              <w:rPr>
                <w:sz w:val="12"/>
                <w:szCs w:val="12"/>
                <w:color w:val="auto"/>
              </w:rPr>
            </w:pPr>
          </w:p>
        </w:tc>
      </w:tr>
      <w:tr>
        <w:trPr>
          <w:trHeight w:val="139"/>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39" w:lineRule="exact"/>
              <w:rPr>
                <w:sz w:val="20"/>
                <w:szCs w:val="20"/>
                <w:color w:val="auto"/>
              </w:rPr>
            </w:pPr>
            <w:r>
              <w:rPr>
                <w:rFonts w:ascii="Arial" w:cs="Arial" w:eastAsia="Arial" w:hAnsi="Arial"/>
                <w:sz w:val="14"/>
                <w:szCs w:val="14"/>
                <w:b w:val="1"/>
                <w:bCs w:val="1"/>
                <w:color w:val="auto"/>
              </w:rPr>
              <w:t>Unobservable</w:t>
            </w:r>
          </w:p>
        </w:tc>
        <w:tc>
          <w:tcPr>
            <w:tcW w:w="1020" w:type="dxa"/>
            <w:vAlign w:val="bottom"/>
          </w:tcPr>
          <w:p>
            <w:pPr>
              <w:spacing w:after="0"/>
              <w:rPr>
                <w:sz w:val="12"/>
                <w:szCs w:val="12"/>
                <w:color w:val="auto"/>
              </w:rPr>
            </w:pPr>
          </w:p>
        </w:tc>
      </w:tr>
      <w:tr>
        <w:trPr>
          <w:trHeight w:val="158"/>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81"/>
              <w:spacing w:after="0" w:line="158" w:lineRule="exact"/>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3"/>
                <w:szCs w:val="13"/>
                <w:color w:val="auto"/>
              </w:rPr>
            </w:pPr>
          </w:p>
        </w:tc>
        <w:tc>
          <w:tcPr>
            <w:tcW w:w="1140" w:type="dxa"/>
            <w:vAlign w:val="bottom"/>
          </w:tcPr>
          <w:p>
            <w:pPr>
              <w:jc w:val="center"/>
              <w:ind w:right="161"/>
              <w:spacing w:after="0" w:line="158"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3"/>
                <w:szCs w:val="13"/>
                <w:color w:val="auto"/>
              </w:rPr>
            </w:pPr>
          </w:p>
        </w:tc>
        <w:tc>
          <w:tcPr>
            <w:tcW w:w="15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rPr>
              <w:t>Inputs</w:t>
            </w:r>
          </w:p>
        </w:tc>
        <w:tc>
          <w:tcPr>
            <w:tcW w:w="1020" w:type="dxa"/>
            <w:vAlign w:val="bottom"/>
          </w:tcPr>
          <w:p>
            <w:pPr>
              <w:jc w:val="right"/>
              <w:ind w:right="461"/>
              <w:spacing w:after="0" w:line="158" w:lineRule="exact"/>
              <w:rPr>
                <w:sz w:val="20"/>
                <w:szCs w:val="20"/>
                <w:color w:val="auto"/>
              </w:rPr>
            </w:pPr>
            <w:r>
              <w:rPr>
                <w:rFonts w:ascii="Arial" w:cs="Arial" w:eastAsia="Arial" w:hAnsi="Arial"/>
                <w:sz w:val="14"/>
                <w:szCs w:val="14"/>
                <w:b w:val="1"/>
                <w:bCs w:val="1"/>
                <w:color w:val="auto"/>
              </w:rPr>
              <w:t>Fair</w:t>
            </w:r>
          </w:p>
        </w:tc>
      </w:tr>
      <w:tr>
        <w:trPr>
          <w:trHeight w:val="189"/>
        </w:trPr>
        <w:tc>
          <w:tcPr>
            <w:tcW w:w="4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Value</w:t>
            </w: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1"/>
              <w:spacing w:after="0"/>
              <w:rPr>
                <w:sz w:val="20"/>
                <w:szCs w:val="20"/>
                <w:color w:val="auto"/>
              </w:rPr>
            </w:pPr>
            <w:r>
              <w:rPr>
                <w:rFonts w:ascii="Arial" w:cs="Arial" w:eastAsia="Arial" w:hAnsi="Arial"/>
                <w:sz w:val="16"/>
                <w:szCs w:val="16"/>
                <w:b w:val="1"/>
                <w:bCs w:val="1"/>
                <w:color w:val="auto"/>
              </w:rPr>
              <w:t>(2.0)</w:t>
            </w:r>
          </w:p>
        </w:tc>
        <w:tc>
          <w:tcPr>
            <w:tcW w:w="220" w:type="dxa"/>
            <w:vAlign w:val="bottom"/>
          </w:tcPr>
          <w:p>
            <w:pPr>
              <w:jc w:val="right"/>
              <w:ind w:right="46"/>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ind w:left="940"/>
              <w:spacing w:after="0"/>
              <w:rPr>
                <w:sz w:val="20"/>
                <w:szCs w:val="20"/>
                <w:color w:val="auto"/>
              </w:rPr>
            </w:pPr>
            <w:r>
              <w:rPr>
                <w:rFonts w:ascii="Arial" w:cs="Arial" w:eastAsia="Arial" w:hAnsi="Arial"/>
                <w:sz w:val="16"/>
                <w:szCs w:val="16"/>
                <w:b w:val="1"/>
                <w:bCs w:val="1"/>
                <w:color w:val="auto"/>
              </w:rPr>
              <w:t>—  $</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(71.8)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(71.8)</w:t>
            </w: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net investment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(37.2)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(37.2)</w:t>
            </w: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68.0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68.0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68.0</w:t>
            </w: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designated as net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investment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(126.8)</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(126.8)</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(126.8)</w:t>
            </w: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22.9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22.9</w:t>
            </w: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b w:val="1"/>
                <w:bCs w:val="1"/>
                <w:color w:val="auto"/>
              </w:rPr>
              <w:t>(14.7)</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(14.7)</w:t>
            </w: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b w:val="1"/>
                <w:bCs w:val="1"/>
                <w:color w:val="auto"/>
              </w:rPr>
              <w:t>(32.0)</w:t>
            </w:r>
          </w:p>
        </w:tc>
        <w:tc>
          <w:tcPr>
            <w:tcW w:w="22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(32.0)</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1"/>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rPr>
              <w:t>Significant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rPr>
              <w:t>Unobservable</w:t>
            </w:r>
          </w:p>
        </w:tc>
        <w:tc>
          <w:tcPr>
            <w:tcW w:w="102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2"/>
                <w:szCs w:val="12"/>
                <w:color w:val="auto"/>
              </w:rPr>
            </w:pPr>
          </w:p>
        </w:tc>
        <w:tc>
          <w:tcPr>
            <w:tcW w:w="11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Inputs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220" w:type="dxa"/>
            <w:vAlign w:val="bottom"/>
          </w:tcPr>
          <w:p>
            <w:pPr>
              <w:jc w:val="right"/>
              <w:ind w:right="46"/>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ind w:left="940"/>
              <w:spacing w:after="0"/>
              <w:rPr>
                <w:sz w:val="20"/>
                <w:szCs w:val="20"/>
                <w:color w:val="auto"/>
              </w:rPr>
            </w:pPr>
            <w:r>
              <w:rPr>
                <w:rFonts w:ascii="Arial" w:cs="Arial" w:eastAsia="Arial" w:hAnsi="Arial"/>
                <w:sz w:val="16"/>
                <w:szCs w:val="16"/>
                <w:color w:val="auto"/>
              </w:rPr>
              <w:t>—   $</w:t>
            </w: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Interest rate contracts designated as cash flow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291.2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162"/>
        </w:trPr>
        <w:tc>
          <w:tcPr>
            <w:tcW w:w="422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net investment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(28.4)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flow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113.8</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113.8</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63.1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63.1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62"/>
        </w:trPr>
        <w:tc>
          <w:tcPr>
            <w:tcW w:w="422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designated as hedging</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(115.8)</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162"/>
        </w:trPr>
        <w:tc>
          <w:tcPr>
            <w:tcW w:w="422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129.6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(55.9)</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(55.9)</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(39.5)</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(39.5)</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Contingent consideration liabilities relate to our liabilities arising in connection with the contingent value rights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effective tax rates were 38.9 percent and 19.1 percent for the three and nine months ended September 30, 2024, respectively, and 113.4 percent and 24.6 percent for the three and nine months ended September 30, 2023, respectively, primarily driven by unfavorable tax impacts of non-deductible acquired IPR&amp;D charges, with a larger impact occurring in 2023.</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examination of tax years 2016-2018 began in 2019 and remains ongoing. The Internal Revenue Service commenced its examination of tax years 2019-2021 during the third quarter of 2023. The resolution of both audit periods will likely extend beyond the next 12 months.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9: 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cost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Defined Benefit Pension Plans</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96"/>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55"/>
              <w:spacing w:after="0"/>
              <w:rPr>
                <w:sz w:val="20"/>
                <w:szCs w:val="20"/>
                <w:color w:val="auto"/>
              </w:rPr>
            </w:pPr>
            <w:r>
              <w:rPr>
                <w:rFonts w:ascii="Arial" w:cs="Arial" w:eastAsia="Arial" w:hAnsi="Arial"/>
                <w:sz w:val="18"/>
                <w:szCs w:val="18"/>
                <w:b w:val="1"/>
                <w:bCs w:val="1"/>
                <w:color w:val="auto"/>
              </w:rPr>
              <w:t>84.9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72.5</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254.3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217.8</w:t>
            </w: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165.9</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162.3</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496.6</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(278.8)</w:t>
            </w:r>
          </w:p>
        </w:tc>
        <w:tc>
          <w:tcPr>
            <w:tcW w:w="4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(264.0)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(834.3)</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(791.5)</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0.6</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31.4</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30.6</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93.8</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r>
      <w:tr>
        <w:trPr>
          <w:trHeight w:val="23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12.0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431"/>
        </w:trPr>
        <w:tc>
          <w:tcPr>
            <w:tcW w:w="4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Retiree Health Benefit Plans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96"/>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55"/>
              <w:spacing w:after="0"/>
              <w:rPr>
                <w:sz w:val="20"/>
                <w:szCs w:val="20"/>
                <w:color w:val="auto"/>
              </w:rPr>
            </w:pPr>
            <w:r>
              <w:rPr>
                <w:rFonts w:ascii="Arial" w:cs="Arial" w:eastAsia="Arial" w:hAnsi="Arial"/>
                <w:sz w:val="18"/>
                <w:szCs w:val="18"/>
                <w:b w:val="1"/>
                <w:bCs w:val="1"/>
                <w:color w:val="auto"/>
              </w:rPr>
              <w:t>8.9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7.9</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26.6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15.5</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46.6</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(48.0)</w:t>
            </w:r>
          </w:p>
        </w:tc>
        <w:tc>
          <w:tcPr>
            <w:tcW w:w="4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(45.5)</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(144.1)</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gain</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regulatory agencies, competitors, customers, suppliers, service providers, licensees, employees, or shareholders, among others. These matters may involve patent infringement, antitrust, securities, pricing, access, sales and marketing practices, environmental, commercial, contractual rights, licensing obligations, health and safety matters, consumer fraud, employment matters, product liability, insurance coverage, and regulatory compliance,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defending against the legal proceedings in which we are named as defendants vigorously. It is not possible to determine the final outcome of these matters, and, unless otherwise noted,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Litigation accruals and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7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Patent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a named defendant in litigation filed by Teva Pharmaceuticals International GMBH and Teva Pharmaceuticals USA, Inc. (collectively, Teva) in the U.S. District Court for the District of Massachusetts seeking a ruling that various claims in three different Teva patents are infringed by our launch and continued sales of Emgality for the prevention of migraine in adults.</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Following a trial, in November 2022, a jury returned a verdict in favor of Teva. In September 2023, the court granted our motion to overrule the jury verdict and found all asserted claims of the three patents invalid. Teva has appealed the decision. This matter is ongoing.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1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Litigation</w:t>
      </w:r>
    </w:p>
    <w:p>
      <w:pPr>
        <w:spacing w:after="0" w:line="6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along with Takeda Chemical Industries, Ltd. and Takeda affiliates (collectively, Takeda), are named in a third party payer class action in the U.S. District Court for the Central District of California. Plaintiffs claim that they and similarly situated class members are entitled to recover money paid for or to reimburse Actos prescriptions because of alleged concealment of bladder cancer risk. Our agreement with Takeda calls for Takeda to defend and indemnify us against our losses and expenses with respect to U.S. litigation arising out of the manufacture, use, or sale of Actos and other related expenses in accordance with the terms of the agreement. In August 2023, the U.S. Court of Appeals for the Ninth Circuit granted our and Takeda's petition for permission to appeal the class certification order, the appeal has been fully briefed, and oral argument is scheduled for November 2024. This matter is ongoing.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Mounjaro and Trulicity Product Liability Litigation</w:t>
      </w:r>
    </w:p>
    <w:p>
      <w:pPr>
        <w:spacing w:after="0" w:line="11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Since August 2023, we, along with Novo Nordisk A/S (Novo) and other related Novo entities, have been named in numerous lawsuits by plaintiffs alleging injuries following purported use of incretin medicines. Certain complaints name us and allege injuries that plaintiffs claim are associated with the use of Mounjaro and/or Trulicity. Lawsuits in U.S. federal courts have generally been coordinated and/or consolidated for pretrial proceedings in a federal multidistrict litigation pending in the U.S. District Court for the Eastern District of Pennsylvania. There are also cases pending in various U.S. state courts, as well as a class action petition filed in Israel. These matters are ongoing.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HHS's December 30, 2020 advisory opinion stating that drug manufacturers are required to deliver discounts under the 340B program to all contract pharmacies and HHS's Administrative Dispute Resolution (ADR) regulations. We seek a declaratory judgment that the defendants violated the Administrative Procedure Act and the U.S. Constitution, a preliminary injunction enjoining implementation of the ADR process created by defendants and, with it, their application of the advisory opinion, and other related relief. In March 2021, the court entered an order preliminarily enjoining the government's enforcement of the ADR process against us. In May 2021, HRSA sent us an enforcement letter notifying us that it determined that our policy was contrary to the 340B statute. In response, in May 2021, we amended our complaint to bring claims related to HRSA's determination. In June 2021, the defendants withdrew the HHS December 30, 2020 advisory opinion. In July 2021, the court held oral argument on the parties' cross motions for summary judgment and the defendants' motion to dismiss. In October 2021, the court denied the defendants' motion to dismiss, and granted in part and denied in part the parties' cross motions for summary judgment. Both parties filed notices of appeal related to the court's summary judgment order. In October 2022, the U.S. Court of Appeals for the Seventh Circuit held oral argument. This matter is ongoing.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ind w:right="120"/>
        <w:spacing w:after="0" w:line="259" w:lineRule="auto"/>
        <w:rPr>
          <w:sz w:val="20"/>
          <w:szCs w:val="20"/>
          <w:color w:val="auto"/>
        </w:rPr>
      </w:pPr>
      <w:r>
        <w:rPr>
          <w:rFonts w:ascii="Arial" w:cs="Arial" w:eastAsia="Arial" w:hAnsi="Arial"/>
          <w:sz w:val="18"/>
          <w:szCs w:val="18"/>
          <w:color w:val="auto"/>
        </w:rPr>
        <w:t>We, along with other pharmaceutical manufacturers, have been named as a defendant in ADR petitions filed in 2021, 2023, and 2024 that are being held in abeyance as to us. Petitioners seek declaratory, injunctive, and/or monetary relief related to the 340B program. As described above, the U.S. District Court for the Southern District of Indiana has entered a preliminary injunction enjoining the government's enforcement of the administrative dispute resolution process against us. HHS has now promulgated a revised regulation governing ADR proceedings, which took effect in June 2024 and may lead to the resumption of ADR proceedings against us.</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2021, we, along with Sanofi-Aventis U.S., LLC (Sanofi), Novo Nordisk Inc. (Novo Nordisk), and AstraZeneca Pharmaceuticals LP (AstraZeneca), were named as a defendant in a purported class action lawsuit filed in the U.S. District Court for the Western District of New York by Mosaic Health, Inc. alleging antitrust and unjust enrichment claims related to the defendants' 340B distribution programs. We, with Sanofi, Novo Nordisk, and AstraZeneca, filed a motion to dismiss the lawsuit, which was granted in September 2022. In January 2024, the court dismissed the case. Plaintiffs have appealed to the U.S. Court of Appeals for the Second Circuit. This matter is ongoing.</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May 2021, we received a subpoena from the U.S. Department of Justice requesting the production of certain documents relating to our manufacturing site in Branchburg, New Jersey. We are cooperating with the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First initiated in 2008, Eli Lilly do Brasil Limitada (Lilly Brasil) is named in a Public Civil Action brought by the Labor Public Attorney (LPA)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alleging harm to employees and former employees caused by alleged exposure to soil and groundwater contaminants at a former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manufacturing facility in Cosmopolis, operated by the company between 1977 and 2003. In May 2014, the trial Court ruled against Lilly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Brasil, ordering it to undertake several remedial and compensatory actions, including health coverage for a class of individuals and certain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their children. In July 2018, the appeals court generally affirmed the trial Court's ruling, which included a liquidated award of 300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Brazilian reais, which, when adjusted for inflation, is approximately 1.36 billion Brazilian reais (approximately $250 million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In August 2019, Lilly Brasil appealed to the superior labor court (TST) and in June 2021, the majority of the elements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Lilly Brasil's appeal were admitted; elements not proceeding are subject to an interlocutory appeal to the TST that was filed in June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Mediation hearings are ongoing.</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2019, at the LPA's request, the trial Court ordered a freeze of Lilly Brasil’s immovable property in the amount of 500 million Brazilian reais, which was reduced on Lilly Brasil's appeal and, when adjusted for inflation, is approximately 141 million Brazilian reais (approximately $26 million as of September 30, 2024). The parties appealed to the TST, which appeal is under review. The trial Court is currently assessing the status of Lilly Brasil’s compliance with the obligations as to the land and an inspection in the industrial plant occurred in October 2023. These matters are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Lilly Brasil is also named in various pending lawsuits filed in the trial Court by individual former employees making related claims. These individual lawsuits are at various stages in the litigation process.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The trial began in May 2022; however, the Municipality filed a new motion requesting the CFI to execute an alleged judgment. The request was denied by the CFI in our favor and the Municipality filed for revision at the AP, which we opposed, staying the case. The AP denied the Municipality's motion for revision. Trial resumed in October 2024 and this matter is ongoing.</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8"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November 2014, we, along with another pharmaceutical manufacturer, were named as co-defendants in </w:t>
      </w:r>
      <w:r>
        <w:rPr>
          <w:rFonts w:ascii="Arial" w:cs="Arial" w:eastAsia="Arial" w:hAnsi="Arial"/>
          <w:sz w:val="18"/>
          <w:szCs w:val="18"/>
          <w:i w:val="1"/>
          <w:iCs w:val="1"/>
          <w:color w:val="auto"/>
        </w:rPr>
        <w:t>United States et al. ex rel. Streck</w:t>
      </w:r>
      <w:r>
        <w:rPr>
          <w:rFonts w:ascii="Arial" w:cs="Arial" w:eastAsia="Arial" w:hAnsi="Arial"/>
          <w:sz w:val="18"/>
          <w:szCs w:val="18"/>
          <w:color w:val="auto"/>
        </w:rPr>
        <w:t xml:space="preserve"> </w:t>
      </w:r>
      <w:r>
        <w:rPr>
          <w:rFonts w:ascii="Arial" w:cs="Arial" w:eastAsia="Arial" w:hAnsi="Arial"/>
          <w:sz w:val="18"/>
          <w:szCs w:val="18"/>
          <w:i w:val="1"/>
          <w:iCs w:val="1"/>
          <w:color w:val="auto"/>
        </w:rPr>
        <w:t>v. Takeda Pharm. Am., Inc., et al.</w:t>
      </w:r>
      <w:r>
        <w:rPr>
          <w:rFonts w:ascii="Arial" w:cs="Arial" w:eastAsia="Arial" w:hAnsi="Arial"/>
          <w:sz w:val="18"/>
          <w:szCs w:val="18"/>
          <w:color w:val="auto"/>
        </w:rPr>
        <w:t>, which was unsealed in the U.S. District Court for the Northern District of Illinois. The complaint alleges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defendants should have treated certain credits from distributors as retroactive price increases and included such increases in calculating average manufacturer prices. Following a trial in August 2022, the jury returned a verdict in favor of the plaintiff. Lilly appealed to the U.S. Court of Appeals for the Seventh Circuit which was heard and we await a decision.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were named as a defendant in a lawsuit filed in Texas state court in October 2019 seeking damages under the Texas Medicaid Fraud Prevention Act for certain patient support programs related to our products Humalog, Humulin, and Forteo. The action has been stayed since 2020.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w:t>
      </w:r>
    </w:p>
    <w:p>
      <w:pPr>
        <w:spacing w:after="0" w:line="1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along with Sanofi, Novo Nordisk, and, in some matters, certain pharmacy benefit managers, have been named in numerous lawsuits, including putative class actions, by states and state attorneys general, counties, municipalities, third-party payers, consumers, and other parties related to the pricing of insulin and certain other products and rebates paid by manufacturers to pharmacy benefit managers. These lawsuits assert various theories, including consumer protection, unfair and deceptive trade practices, fraud, false advertising, unjust enrichment, civil conspiracy, federal and state RICO, antitrust, and unfair competition claims. These lawsuits have been brought in various state and federal courts since 2017 and are at various stages in the litigation process. The cases pending in federal court have generally been coordinated and/or consolidated for pretrial proceedings in a federal multidistrict litigation pending in the U.S. District Court for the District of New Jersey. The defendants have filed motions to dismiss an initial set of State attorney general and self-funded payer complaints, which are awaiting the Court's decision. In May 2023, we reached a settlement in the consumer class action. In January 2024, the Multi-District Litigation court denied the consumer class plaintiffs’ motion for class certification. We and the consumer class plaintiffs subsequently terminated our settlement agreement and stipulated that the denial of class certification applies to Lilly. These matters are ongoing.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Investigations and Similar Matters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been subject to various investigations and received subpoenas, civil investigative demand requests, information requests, interrogatories, and other inquiries from various governmental entities related to pricing issues, including the pricing and sale of insulins and other products and calculations of average manufacturer price and best price. These include subpoenas from the Vermont Attorney General Office, civil investigative demands from the Washington, New Mexico, Colorado, Louisiana, Texas, Indiana and Oregon Attorney General Offices, the U.S. Department of Justice, and the U.S. Federal Trade Commission, as well as information requests from the Mississippi, Washington D.C., California, Florida, Hawaii, and Nevada Attorney General Offices.</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To the extent the foregoing governmental entities have not filed lawsuits, we are cooperating with the foregoing investigations, subpoenas, and inquiries.</w:t>
      </w:r>
    </w:p>
    <w:p>
      <w:pPr>
        <w:spacing w:after="0" w:line="4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In January 2022, the Michigan Attorney General filed a petition in Michigan state court seeking authorization to investigate Lilly for potential violations of the Michigan Consumer Protection Act (MCPA), and a complaint seeking a declaratory judgment that the Attorney General has authority to investigate Lilly's sale of insulin under the MCPA. The court authorized the proposed investigation and the issuance of civil investigative subpoenas. In April 2022, the parties entered into a stipulation providing that the State of Michigan will not issue any civil investigative subpoena to us under the MCPA until the declaratory judgment action is resolved. In July 2022, the court dismissed the case in its entirety. In June 2023, the Michigan Court of Appeals affirmed the judgment in our favor. In August 2023, the Michigan Attorney General filed an application for leave to appeal to the Michigan Supreme Court, and oral argument was held in October 2024. This matter is ongoing.</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The complaint seeks damages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In July 2024, we reached a confidential agreement with RCT that requires different payments based on various litigation outcomes as determined on appeal. Pursuant to this agreement, the court entered final judgment, Lilly filed a notice of appeal to the U.S. Court of Appeals for the Ninth Circuit, and Lilly made an initial payment under the agreement. The remaining amount payable under the agreement, if any, should not have a material impact on our financial position, liquidity or results of operations. The settlement agreement is not an admission of liability or fault by us, and is subject to conditions. This matter is ongoing.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16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0"/>
                <w:szCs w:val="10"/>
                <w:color w:val="auto"/>
              </w:rPr>
            </w:pPr>
          </w:p>
        </w:tc>
        <w:tc>
          <w:tcPr>
            <w:tcW w:w="116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1"/>
                <w:szCs w:val="11"/>
                <w:color w:val="auto"/>
              </w:rPr>
            </w:pPr>
          </w:p>
        </w:tc>
        <w:tc>
          <w:tcPr>
            <w:tcW w:w="116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200" w:type="dxa"/>
            <w:vAlign w:val="bottom"/>
          </w:tcPr>
          <w:p>
            <w:pPr>
              <w:spacing w:after="0"/>
              <w:rPr>
                <w:sz w:val="11"/>
                <w:szCs w:val="11"/>
                <w:color w:val="auto"/>
              </w:rPr>
            </w:pPr>
          </w:p>
        </w:tc>
        <w:tc>
          <w:tcPr>
            <w:tcW w:w="1160" w:type="dxa"/>
            <w:vAlign w:val="bottom"/>
          </w:tcPr>
          <w:p>
            <w:pPr>
              <w:jc w:val="center"/>
              <w:ind w:right="102"/>
              <w:spacing w:after="0" w:line="135" w:lineRule="exact"/>
              <w:rPr>
                <w:sz w:val="20"/>
                <w:szCs w:val="20"/>
                <w:color w:val="auto"/>
              </w:rPr>
            </w:pPr>
            <w:r>
              <w:rPr>
                <w:rFonts w:ascii="Arial" w:cs="Arial" w:eastAsia="Arial" w:hAnsi="Arial"/>
                <w:sz w:val="13"/>
                <w:szCs w:val="13"/>
                <w:b w:val="1"/>
                <w:bCs w:val="1"/>
                <w:color w:val="auto"/>
                <w:w w:val="98"/>
              </w:rPr>
              <w:t>Retiree Health</w:t>
            </w:r>
          </w:p>
        </w:tc>
        <w:tc>
          <w:tcPr>
            <w:tcW w:w="1300" w:type="dxa"/>
            <w:vAlign w:val="bottom"/>
            <w:gridSpan w:val="2"/>
          </w:tcPr>
          <w:p>
            <w:pPr>
              <w:jc w:val="right"/>
              <w:ind w:right="15"/>
              <w:spacing w:after="0" w:line="135"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(2,633.6)</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289.3</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(4,378.5)</w:t>
            </w:r>
          </w:p>
        </w:tc>
        <w:tc>
          <w:tcPr>
            <w:tcW w:w="0" w:type="dxa"/>
            <w:vAlign w:val="bottom"/>
          </w:tcPr>
          <w:p>
            <w:pPr>
              <w:spacing w:after="0"/>
              <w:rPr>
                <w:sz w:val="1"/>
                <w:szCs w:val="1"/>
                <w:color w:val="auto"/>
              </w:rPr>
            </w:pPr>
          </w:p>
        </w:tc>
      </w:tr>
      <w:tr>
        <w:trPr>
          <w:trHeight w:val="176"/>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117.9</w:t>
            </w:r>
          </w:p>
        </w:tc>
        <w:tc>
          <w:tcPr>
            <w:tcW w:w="200" w:type="dxa"/>
            <w:vAlign w:val="bottom"/>
          </w:tcPr>
          <w:p>
            <w:pPr>
              <w:spacing w:after="0"/>
              <w:rPr>
                <w:sz w:val="15"/>
                <w:szCs w:val="15"/>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(28.9)</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(25.0)</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23.7</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0.1</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117.9</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15.9</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(2,638.8)</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264.4</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(4,274.8)</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24"/>
                <w:szCs w:val="24"/>
                <w:color w:val="auto"/>
              </w:rPr>
            </w:pPr>
          </w:p>
        </w:tc>
        <w:tc>
          <w:tcPr>
            <w:tcW w:w="116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0"/>
                <w:szCs w:val="10"/>
                <w:color w:val="auto"/>
              </w:rPr>
            </w:pPr>
          </w:p>
        </w:tc>
        <w:tc>
          <w:tcPr>
            <w:tcW w:w="116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0"/>
                <w:szCs w:val="10"/>
                <w:color w:val="auto"/>
              </w:rPr>
            </w:pPr>
          </w:p>
        </w:tc>
        <w:tc>
          <w:tcPr>
            <w:tcW w:w="116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200" w:type="dxa"/>
            <w:vAlign w:val="bottom"/>
          </w:tcPr>
          <w:p>
            <w:pPr>
              <w:spacing w:after="0"/>
              <w:rPr>
                <w:sz w:val="10"/>
                <w:szCs w:val="10"/>
                <w:color w:val="auto"/>
              </w:rPr>
            </w:pPr>
          </w:p>
        </w:tc>
        <w:tc>
          <w:tcPr>
            <w:tcW w:w="116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1300" w:type="dxa"/>
            <w:vAlign w:val="bottom"/>
            <w:gridSpan w:val="2"/>
          </w:tcPr>
          <w:p>
            <w:pPr>
              <w:ind w:left="120"/>
              <w:spacing w:after="0" w:line="122"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(2,058.8)</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188.9</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(3,788.7)</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5"/>
                <w:szCs w:val="15"/>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color w:val="auto"/>
              </w:rPr>
              <w:t>79.6</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23.5</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81.1</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(2,035.3)</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270.0</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(3,784.9)</w:t>
            </w:r>
          </w:p>
        </w:tc>
        <w:tc>
          <w:tcPr>
            <w:tcW w:w="0" w:type="dxa"/>
            <w:vAlign w:val="bottom"/>
          </w:tcPr>
          <w:p>
            <w:pPr>
              <w:spacing w:after="0"/>
              <w:rPr>
                <w:sz w:val="1"/>
                <w:szCs w:val="1"/>
                <w:color w:val="auto"/>
              </w:rPr>
            </w:pPr>
          </w:p>
        </w:tc>
      </w:tr>
      <w:tr>
        <w:trPr>
          <w:trHeight w:val="854"/>
        </w:trPr>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100" w:type="dxa"/>
            <w:vAlign w:val="bottom"/>
            <w:gridSpan w:val="2"/>
          </w:tcPr>
          <w:p>
            <w:pPr>
              <w:jc w:val="center"/>
              <w:ind w:right="10"/>
              <w:spacing w:after="0"/>
              <w:rPr>
                <w:sz w:val="20"/>
                <w:szCs w:val="20"/>
                <w:color w:val="auto"/>
              </w:rPr>
            </w:pPr>
            <w:r>
              <w:rPr>
                <w:rFonts w:ascii="Arial" w:cs="Arial" w:eastAsia="Arial" w:hAnsi="Arial"/>
                <w:sz w:val="13"/>
                <w:szCs w:val="13"/>
                <w:b w:val="1"/>
                <w:bCs w:val="1"/>
                <w:color w:val="auto"/>
                <w:w w:val="96"/>
              </w:rPr>
              <w:t>Defined Benefit</w:t>
            </w:r>
          </w:p>
        </w:tc>
        <w:tc>
          <w:tcPr>
            <w:tcW w:w="260" w:type="dxa"/>
            <w:vAlign w:val="bottom"/>
          </w:tcPr>
          <w:p>
            <w:pPr>
              <w:spacing w:after="0"/>
              <w:rPr>
                <w:sz w:val="13"/>
                <w:szCs w:val="13"/>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7"/>
              </w:rPr>
              <w:t>Net Unrealized</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4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0"/>
                <w:szCs w:val="10"/>
                <w:color w:val="auto"/>
              </w:rPr>
            </w:pPr>
          </w:p>
        </w:tc>
        <w:tc>
          <w:tcPr>
            <w:tcW w:w="1100" w:type="dxa"/>
            <w:vAlign w:val="bottom"/>
            <w:gridSpan w:val="2"/>
          </w:tcPr>
          <w:p>
            <w:pPr>
              <w:jc w:val="center"/>
              <w:ind w:right="30"/>
              <w:spacing w:after="0" w:line="122" w:lineRule="exact"/>
              <w:rPr>
                <w:sz w:val="20"/>
                <w:szCs w:val="20"/>
                <w:color w:val="auto"/>
              </w:rPr>
            </w:pPr>
            <w:r>
              <w:rPr>
                <w:rFonts w:ascii="Arial" w:cs="Arial" w:eastAsia="Arial" w:hAnsi="Arial"/>
                <w:sz w:val="13"/>
                <w:szCs w:val="13"/>
                <w:b w:val="1"/>
                <w:bCs w:val="1"/>
                <w:color w:val="auto"/>
                <w:w w:val="95"/>
              </w:rPr>
              <w:t>Pension and</w:t>
            </w: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20" w:type="dxa"/>
            <w:vAlign w:val="bottom"/>
            <w:gridSpan w:val="2"/>
          </w:tcPr>
          <w:p>
            <w:pPr>
              <w:jc w:val="center"/>
              <w:ind w:right="79"/>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4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200" w:type="dxa"/>
            <w:vAlign w:val="bottom"/>
          </w:tcPr>
          <w:p>
            <w:pPr>
              <w:spacing w:after="0"/>
              <w:rPr>
                <w:sz w:val="11"/>
                <w:szCs w:val="11"/>
                <w:color w:val="auto"/>
              </w:rPr>
            </w:pPr>
          </w:p>
        </w:tc>
        <w:tc>
          <w:tcPr>
            <w:tcW w:w="1100" w:type="dxa"/>
            <w:vAlign w:val="bottom"/>
            <w:gridSpan w:val="2"/>
          </w:tcPr>
          <w:p>
            <w:pPr>
              <w:jc w:val="center"/>
              <w:ind w:right="30"/>
              <w:spacing w:after="0" w:line="135" w:lineRule="exact"/>
              <w:rPr>
                <w:sz w:val="20"/>
                <w:szCs w:val="20"/>
                <w:color w:val="auto"/>
              </w:rPr>
            </w:pPr>
            <w:r>
              <w:rPr>
                <w:rFonts w:ascii="Arial" w:cs="Arial" w:eastAsia="Arial" w:hAnsi="Arial"/>
                <w:sz w:val="13"/>
                <w:szCs w:val="13"/>
                <w:b w:val="1"/>
                <w:bCs w:val="1"/>
                <w:color w:val="auto"/>
                <w:w w:val="98"/>
              </w:rPr>
              <w:t>Retiree Health</w:t>
            </w: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Gains (Losses) on</w:t>
            </w: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3"/>
                <w:szCs w:val="13"/>
                <w:b w:val="1"/>
                <w:bCs w:val="1"/>
                <w:color w:val="auto"/>
                <w:w w:val="96"/>
              </w:rPr>
              <w:t>Gains (Losses)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3"/>
                <w:szCs w:val="13"/>
                <w:b w:val="1"/>
                <w:bCs w:val="1"/>
                <w:color w:val="auto"/>
                <w:w w:val="97"/>
              </w:rPr>
              <w:t>Benefit Plans</w:t>
            </w: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w w:val="95"/>
              </w:rPr>
              <w:t>Cash Flow Hedges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(1,819.0)</w:t>
            </w:r>
          </w:p>
        </w:tc>
        <w:tc>
          <w:tcPr>
            <w:tcW w:w="620" w:type="dxa"/>
            <w:vAlign w:val="bottom"/>
            <w:shd w:val="clear" w:color="auto" w:fill="CCEEFF"/>
          </w:tcPr>
          <w:p>
            <w:pPr>
              <w:jc w:val="right"/>
              <w:ind w:right="323"/>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(2,697.3)</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(4,327.0)</w:t>
            </w:r>
          </w:p>
        </w:tc>
        <w:tc>
          <w:tcPr>
            <w:tcW w:w="0" w:type="dxa"/>
            <w:vAlign w:val="bottom"/>
          </w:tcPr>
          <w:p>
            <w:pPr>
              <w:spacing w:after="0"/>
              <w:rPr>
                <w:sz w:val="1"/>
                <w:szCs w:val="1"/>
                <w:color w:val="auto"/>
              </w:rPr>
            </w:pPr>
          </w:p>
        </w:tc>
      </w:tr>
      <w:tr>
        <w:trPr>
          <w:trHeight w:val="176"/>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(74.9)</w:t>
            </w:r>
          </w:p>
        </w:tc>
        <w:tc>
          <w:tcPr>
            <w:tcW w:w="620" w:type="dxa"/>
            <w:vAlign w:val="bottom"/>
          </w:tcPr>
          <w:p>
            <w:pPr>
              <w:spacing w:after="0"/>
              <w:rPr>
                <w:sz w:val="15"/>
                <w:szCs w:val="15"/>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9.3</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(12.1)</w:t>
            </w:r>
          </w:p>
        </w:tc>
        <w:tc>
          <w:tcPr>
            <w:tcW w:w="2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6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0.2</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70.6</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vMerge w:val="continue"/>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(64.7)</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9.5</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(1,883.7)</w:t>
            </w:r>
          </w:p>
        </w:tc>
        <w:tc>
          <w:tcPr>
            <w:tcW w:w="62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(2,638.8)</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264.4</w:t>
            </w:r>
          </w:p>
        </w:tc>
        <w:tc>
          <w:tcPr>
            <w:tcW w:w="1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(4,274.8)</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24"/>
                <w:szCs w:val="24"/>
                <w:color w:val="auto"/>
              </w:rPr>
            </w:pPr>
          </w:p>
        </w:tc>
        <w:tc>
          <w:tcPr>
            <w:tcW w:w="1100" w:type="dxa"/>
            <w:vAlign w:val="bottom"/>
            <w:gridSpan w:val="2"/>
          </w:tcPr>
          <w:p>
            <w:pPr>
              <w:jc w:val="center"/>
              <w:ind w:right="10"/>
              <w:spacing w:after="0"/>
              <w:rPr>
                <w:sz w:val="20"/>
                <w:szCs w:val="20"/>
                <w:color w:val="auto"/>
              </w:rPr>
            </w:pPr>
            <w:r>
              <w:rPr>
                <w:rFonts w:ascii="Arial" w:cs="Arial" w:eastAsia="Arial" w:hAnsi="Arial"/>
                <w:sz w:val="13"/>
                <w:szCs w:val="13"/>
                <w:b w:val="1"/>
                <w:bCs w:val="1"/>
                <w:color w:val="auto"/>
                <w:w w:val="96"/>
              </w:rPr>
              <w:t>Defined Benefit</w:t>
            </w:r>
          </w:p>
        </w:tc>
        <w:tc>
          <w:tcPr>
            <w:tcW w:w="260" w:type="dxa"/>
            <w:vAlign w:val="bottom"/>
          </w:tcPr>
          <w:p>
            <w:pPr>
              <w:spacing w:after="0"/>
              <w:rPr>
                <w:sz w:val="24"/>
                <w:szCs w:val="24"/>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7"/>
              </w:rPr>
              <w:t>Net Unrealized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4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0"/>
                <w:szCs w:val="10"/>
                <w:color w:val="auto"/>
              </w:rPr>
            </w:pPr>
          </w:p>
        </w:tc>
        <w:tc>
          <w:tcPr>
            <w:tcW w:w="1100" w:type="dxa"/>
            <w:vAlign w:val="bottom"/>
            <w:gridSpan w:val="2"/>
          </w:tcPr>
          <w:p>
            <w:pPr>
              <w:jc w:val="center"/>
              <w:ind w:right="30"/>
              <w:spacing w:after="0" w:line="122" w:lineRule="exact"/>
              <w:rPr>
                <w:sz w:val="20"/>
                <w:szCs w:val="20"/>
                <w:color w:val="auto"/>
              </w:rPr>
            </w:pPr>
            <w:r>
              <w:rPr>
                <w:rFonts w:ascii="Arial" w:cs="Arial" w:eastAsia="Arial" w:hAnsi="Arial"/>
                <w:sz w:val="13"/>
                <w:szCs w:val="13"/>
                <w:b w:val="1"/>
                <w:bCs w:val="1"/>
                <w:color w:val="auto"/>
                <w:w w:val="95"/>
              </w:rPr>
              <w:t>Pension and</w:t>
            </w: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0"/>
                <w:szCs w:val="10"/>
                <w:color w:val="auto"/>
              </w:rPr>
            </w:pPr>
          </w:p>
        </w:tc>
        <w:tc>
          <w:tcPr>
            <w:tcW w:w="1120" w:type="dxa"/>
            <w:vAlign w:val="bottom"/>
            <w:gridSpan w:val="2"/>
          </w:tcPr>
          <w:p>
            <w:pPr>
              <w:jc w:val="center"/>
              <w:ind w:right="79"/>
              <w:spacing w:after="0" w:line="122" w:lineRule="exact"/>
              <w:rPr>
                <w:sz w:val="20"/>
                <w:szCs w:val="20"/>
                <w:color w:val="auto"/>
              </w:rPr>
            </w:pPr>
            <w:r>
              <w:rPr>
                <w:rFonts w:ascii="Arial" w:cs="Arial" w:eastAsia="Arial" w:hAnsi="Arial"/>
                <w:sz w:val="13"/>
                <w:szCs w:val="13"/>
                <w:b w:val="1"/>
                <w:bCs w:val="1"/>
                <w:color w:val="auto"/>
                <w:w w:val="96"/>
              </w:rPr>
              <w:t>Translation</w:t>
            </w:r>
          </w:p>
        </w:tc>
        <w:tc>
          <w:tcPr>
            <w:tcW w:w="14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200" w:type="dxa"/>
            <w:vAlign w:val="bottom"/>
          </w:tcPr>
          <w:p>
            <w:pPr>
              <w:spacing w:after="0"/>
              <w:rPr>
                <w:sz w:val="10"/>
                <w:szCs w:val="10"/>
                <w:color w:val="auto"/>
              </w:rPr>
            </w:pPr>
          </w:p>
        </w:tc>
        <w:tc>
          <w:tcPr>
            <w:tcW w:w="1100" w:type="dxa"/>
            <w:vAlign w:val="bottom"/>
            <w:gridSpan w:val="2"/>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1280" w:type="dxa"/>
            <w:vAlign w:val="bottom"/>
            <w:gridSpan w:val="2"/>
          </w:tcPr>
          <w:p>
            <w:pPr>
              <w:ind w:left="180"/>
              <w:spacing w:after="0" w:line="122" w:lineRule="exact"/>
              <w:rPr>
                <w:sz w:val="20"/>
                <w:szCs w:val="20"/>
                <w:color w:val="auto"/>
              </w:rPr>
            </w:pPr>
            <w:r>
              <w:rPr>
                <w:rFonts w:ascii="Arial" w:cs="Arial" w:eastAsia="Arial" w:hAnsi="Arial"/>
                <w:sz w:val="13"/>
                <w:szCs w:val="13"/>
                <w:b w:val="1"/>
                <w:bCs w:val="1"/>
                <w:color w:val="auto"/>
                <w:w w:val="95"/>
              </w:rPr>
              <w:t>Gains (Losses) on</w:t>
            </w:r>
          </w:p>
        </w:tc>
        <w:tc>
          <w:tcPr>
            <w:tcW w:w="1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3"/>
                <w:szCs w:val="13"/>
                <w:b w:val="1"/>
                <w:bCs w:val="1"/>
                <w:color w:val="auto"/>
                <w:w w:val="96"/>
              </w:rPr>
              <w:t>Gains (Losses)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3"/>
                <w:szCs w:val="13"/>
                <w:b w:val="1"/>
                <w:bCs w:val="1"/>
                <w:color w:val="auto"/>
                <w:w w:val="97"/>
              </w:rPr>
              <w:t>Benefit Plans</w:t>
            </w: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w w:val="95"/>
              </w:rPr>
              <w:t>Cash Flow 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(1,874.2)</w:t>
            </w:r>
          </w:p>
        </w:tc>
        <w:tc>
          <w:tcPr>
            <w:tcW w:w="620" w:type="dxa"/>
            <w:vAlign w:val="bottom"/>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(3,844.6)</w:t>
            </w:r>
          </w:p>
        </w:tc>
        <w:tc>
          <w:tcPr>
            <w:tcW w:w="0" w:type="dxa"/>
            <w:vAlign w:val="bottom"/>
          </w:tcPr>
          <w:p>
            <w:pPr>
              <w:spacing w:after="0"/>
              <w:rPr>
                <w:sz w:val="1"/>
                <w:szCs w:val="1"/>
                <w:color w:val="auto"/>
              </w:rPr>
            </w:pPr>
          </w:p>
        </w:tc>
      </w:tr>
      <w:tr>
        <w:trPr>
          <w:trHeight w:val="176"/>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(74.6)</w:t>
            </w:r>
          </w:p>
        </w:tc>
        <w:tc>
          <w:tcPr>
            <w:tcW w:w="6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vMerge w:val="continue"/>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(99.8)</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62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(2,035.3)</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(3,784.9)</w:t>
            </w:r>
          </w:p>
        </w:tc>
        <w:tc>
          <w:tcPr>
            <w:tcW w:w="0" w:type="dxa"/>
            <w:vAlign w:val="bottom"/>
          </w:tcPr>
          <w:p>
            <w:pPr>
              <w:spacing w:after="0"/>
              <w:rPr>
                <w:sz w:val="1"/>
                <w:szCs w:val="1"/>
                <w:color w:val="auto"/>
              </w:rPr>
            </w:pPr>
          </w:p>
        </w:tc>
      </w:tr>
      <w:tr>
        <w:trPr>
          <w:trHeight w:val="409"/>
        </w:trPr>
        <w:tc>
          <w:tcPr>
            <w:tcW w:w="9760" w:type="dxa"/>
            <w:vAlign w:val="bottom"/>
            <w:gridSpan w:val="11"/>
          </w:tcPr>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bottom w:val="single" w:sz="8" w:color="auto"/>
            </w:tcBorders>
            <w:gridSpan w:val="5"/>
          </w:tcPr>
          <w:p>
            <w:pPr>
              <w:jc w:val="right"/>
              <w:ind w:right="263"/>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39"/>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63"/>
              <w:spacing w:after="0"/>
              <w:rPr>
                <w:sz w:val="20"/>
                <w:szCs w:val="20"/>
                <w:color w:val="auto"/>
              </w:rPr>
            </w:pPr>
            <w:r>
              <w:rPr>
                <w:rFonts w:ascii="Arial" w:cs="Arial" w:eastAsia="Arial" w:hAnsi="Arial"/>
                <w:sz w:val="18"/>
                <w:szCs w:val="18"/>
                <w:b w:val="1"/>
                <w:bCs w:val="1"/>
                <w:color w:val="auto"/>
              </w:rPr>
              <w:t>121.9</w:t>
            </w:r>
          </w:p>
        </w:tc>
        <w:tc>
          <w:tcPr>
            <w:tcW w:w="7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53.7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Net unrealized gains/losses on available-for-sale securities</w:t>
            </w:r>
          </w:p>
        </w:tc>
        <w:tc>
          <w:tcPr>
            <w:tcW w:w="620" w:type="dxa"/>
            <w:vAlign w:val="bottom"/>
          </w:tcPr>
          <w:p>
            <w:pPr>
              <w:jc w:val="right"/>
              <w:ind w:right="3"/>
              <w:spacing w:after="0"/>
              <w:rPr>
                <w:sz w:val="20"/>
                <w:szCs w:val="20"/>
                <w:color w:val="auto"/>
              </w:rPr>
            </w:pPr>
            <w:r>
              <w:rPr>
                <w:rFonts w:ascii="Arial" w:cs="Arial" w:eastAsia="Arial" w:hAnsi="Arial"/>
                <w:sz w:val="18"/>
                <w:szCs w:val="18"/>
                <w:b w:val="1"/>
                <w:bCs w:val="1"/>
                <w:color w:val="auto"/>
              </w:rPr>
              <w:t>(5.0)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(1.0)</w:t>
            </w: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unrealized gains/losses on cash flow hedges</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b w:val="1"/>
                <w:bCs w:val="1"/>
                <w:color w:val="auto"/>
              </w:rPr>
              <w:t>6.4</w:t>
            </w: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(13.1)</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64"/>
        </w:trPr>
        <w:tc>
          <w:tcPr>
            <w:tcW w:w="45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Benefit (expense) for income taxes allocated to other</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spacing w:after="0"/>
              <w:rPr>
                <w:sz w:val="14"/>
                <w:szCs w:val="14"/>
                <w:color w:val="auto"/>
              </w:rPr>
            </w:pPr>
          </w:p>
        </w:tc>
        <w:tc>
          <w:tcPr>
            <w:tcW w:w="940" w:type="dxa"/>
            <w:vAlign w:val="bottom"/>
            <w:vMerge w:val="restart"/>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63"/>
              <w:spacing w:after="0"/>
              <w:rPr>
                <w:sz w:val="20"/>
                <w:szCs w:val="20"/>
                <w:color w:val="auto"/>
              </w:rPr>
            </w:pPr>
            <w:r>
              <w:rPr>
                <w:rFonts w:ascii="Arial" w:cs="Arial" w:eastAsia="Arial" w:hAnsi="Arial"/>
                <w:sz w:val="18"/>
                <w:szCs w:val="18"/>
                <w:b w:val="1"/>
                <w:bCs w:val="1"/>
                <w:color w:val="auto"/>
              </w:rPr>
              <w:t>122.3</w:t>
            </w:r>
          </w:p>
        </w:tc>
        <w:tc>
          <w:tcPr>
            <w:tcW w:w="780" w:type="dxa"/>
            <w:vAlign w:val="bottom"/>
            <w:vMerge w:val="restart"/>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(115.3)</w:t>
            </w:r>
          </w:p>
        </w:tc>
        <w:tc>
          <w:tcPr>
            <w:tcW w:w="5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36.1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items</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vMerge w:val="restart"/>
          </w:tcPr>
          <w:p>
            <w:pPr>
              <w:jc w:val="right"/>
              <w:ind w:right="21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16"/>
        </w:trPr>
        <w:tc>
          <w:tcPr>
            <w:tcW w:w="3260" w:type="dxa"/>
            <w:vAlign w:val="bottom"/>
          </w:tcPr>
          <w:p>
            <w:pPr>
              <w:ind w:left="500"/>
              <w:spacing w:after="0" w:line="116" w:lineRule="exact"/>
              <w:rPr>
                <w:sz w:val="20"/>
                <w:szCs w:val="20"/>
                <w:color w:val="auto"/>
              </w:rPr>
            </w:pPr>
            <w:r>
              <w:rPr>
                <w:rFonts w:ascii="Arial" w:cs="Arial" w:eastAsia="Arial" w:hAnsi="Arial"/>
                <w:sz w:val="13"/>
                <w:szCs w:val="13"/>
                <w:b w:val="1"/>
                <w:bCs w:val="1"/>
                <w:color w:val="auto"/>
              </w:rPr>
              <w:t>Details about Accumulated Other</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gridSpan w:val="3"/>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4"/>
            <w:vMerge w:val="continue"/>
          </w:tcPr>
          <w:p>
            <w:pPr>
              <w:spacing w:after="0"/>
              <w:rPr>
                <w:sz w:val="10"/>
                <w:szCs w:val="10"/>
                <w:color w:val="auto"/>
              </w:rPr>
            </w:pPr>
          </w:p>
        </w:tc>
        <w:tc>
          <w:tcPr>
            <w:tcW w:w="2380" w:type="dxa"/>
            <w:vAlign w:val="bottom"/>
            <w:gridSpan w:val="3"/>
          </w:tcPr>
          <w:p>
            <w:pPr>
              <w:jc w:val="center"/>
              <w:spacing w:after="0" w:line="116" w:lineRule="exact"/>
              <w:rPr>
                <w:sz w:val="20"/>
                <w:szCs w:val="20"/>
                <w:color w:val="auto"/>
              </w:rPr>
            </w:pPr>
            <w:r>
              <w:rPr>
                <w:rFonts w:ascii="Arial" w:cs="Arial" w:eastAsia="Arial" w:hAnsi="Arial"/>
                <w:sz w:val="13"/>
                <w:szCs w:val="13"/>
                <w:b w:val="1"/>
                <w:bCs w:val="1"/>
                <w:color w:val="auto"/>
              </w:rPr>
              <w:t>Consolidated Condensed</w:t>
            </w:r>
          </w:p>
        </w:tc>
        <w:tc>
          <w:tcPr>
            <w:tcW w:w="0" w:type="dxa"/>
            <w:vAlign w:val="bottom"/>
          </w:tcPr>
          <w:p>
            <w:pPr>
              <w:spacing w:after="0"/>
              <w:rPr>
                <w:sz w:val="1"/>
                <w:szCs w:val="1"/>
                <w:color w:val="auto"/>
              </w:rPr>
            </w:pPr>
          </w:p>
        </w:tc>
      </w:tr>
      <w:tr>
        <w:trPr>
          <w:trHeight w:val="197"/>
        </w:trPr>
        <w:tc>
          <w:tcPr>
            <w:tcW w:w="32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Comprehensive Loss Components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gridSpan w:val="2"/>
            <w:vMerge w:val="restart"/>
          </w:tcPr>
          <w:p>
            <w:pPr>
              <w:ind w:left="180"/>
              <w:spacing w:after="0"/>
              <w:rPr>
                <w:sz w:val="20"/>
                <w:szCs w:val="20"/>
                <w:color w:val="auto"/>
              </w:rPr>
            </w:pPr>
            <w:r>
              <w:rPr>
                <w:rFonts w:ascii="Arial" w:cs="Arial" w:eastAsia="Arial" w:hAnsi="Arial"/>
                <w:sz w:val="18"/>
                <w:szCs w:val="18"/>
                <w:color w:val="auto"/>
              </w:rPr>
              <w:t>Prior service benefits, net</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(0.8)</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73"/>
              <w:spacing w:after="0"/>
              <w:rPr>
                <w:sz w:val="20"/>
                <w:szCs w:val="20"/>
                <w:color w:val="auto"/>
              </w:rPr>
            </w:pPr>
            <w:r>
              <w:rPr>
                <w:rFonts w:ascii="Arial" w:cs="Arial" w:eastAsia="Arial" w:hAnsi="Arial"/>
                <w:sz w:val="18"/>
                <w:szCs w:val="18"/>
                <w:color w:val="auto"/>
              </w:rPr>
              <w:t>(12.7)</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52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center"/>
              <w:ind w:left="275"/>
              <w:spacing w:after="0"/>
              <w:rPr>
                <w:sz w:val="20"/>
                <w:szCs w:val="20"/>
                <w:color w:val="auto"/>
              </w:rPr>
            </w:pPr>
            <w:r>
              <w:rPr>
                <w:rFonts w:ascii="Arial" w:cs="Arial" w:eastAsia="Arial" w:hAnsi="Arial"/>
                <w:sz w:val="18"/>
                <w:szCs w:val="18"/>
                <w:color w:val="auto"/>
                <w:w w:val="97"/>
              </w:rPr>
              <w:t>(37.9)</w:t>
            </w:r>
          </w:p>
        </w:tc>
        <w:tc>
          <w:tcPr>
            <w:tcW w:w="2380" w:type="dxa"/>
            <w:vAlign w:val="bottom"/>
            <w:gridSpan w:val="3"/>
          </w:tcPr>
          <w:p>
            <w:pPr>
              <w:ind w:left="80"/>
              <w:spacing w:after="0" w:line="176" w:lineRule="exact"/>
              <w:rPr>
                <w:sz w:val="20"/>
                <w:szCs w:val="20"/>
                <w:color w:val="auto"/>
              </w:rPr>
            </w:pPr>
            <w:r>
              <w:rPr>
                <w:rFonts w:ascii="Arial" w:cs="Arial" w:eastAsia="Arial" w:hAnsi="Arial"/>
                <w:sz w:val="18"/>
                <w:szCs w:val="18"/>
                <w:color w:val="auto"/>
              </w:rPr>
              <w:t>Other–net, (income)</w:t>
            </w:r>
          </w:p>
        </w:tc>
        <w:tc>
          <w:tcPr>
            <w:tcW w:w="0" w:type="dxa"/>
            <w:vAlign w:val="bottom"/>
          </w:tcPr>
          <w:p>
            <w:pPr>
              <w:spacing w:after="0"/>
              <w:rPr>
                <w:sz w:val="1"/>
                <w:szCs w:val="1"/>
                <w:color w:val="auto"/>
              </w:rPr>
            </w:pPr>
          </w:p>
        </w:tc>
      </w:tr>
      <w:tr>
        <w:trPr>
          <w:trHeight w:val="243"/>
        </w:trPr>
        <w:tc>
          <w:tcPr>
            <w:tcW w:w="3280" w:type="dxa"/>
            <w:vAlign w:val="bottom"/>
            <w:gridSpan w:val="2"/>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expense</w:t>
            </w: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30.8</w:t>
            </w: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ind w:left="295"/>
              <w:spacing w:after="0"/>
              <w:rPr>
                <w:sz w:val="20"/>
                <w:szCs w:val="20"/>
                <w:color w:val="auto"/>
              </w:rPr>
            </w:pPr>
            <w:r>
              <w:rPr>
                <w:rFonts w:ascii="Arial" w:cs="Arial" w:eastAsia="Arial" w:hAnsi="Arial"/>
                <w:sz w:val="18"/>
                <w:szCs w:val="18"/>
                <w:color w:val="auto"/>
              </w:rPr>
              <w:t>87.1</w:t>
            </w:r>
          </w:p>
        </w:tc>
        <w:tc>
          <w:tcPr>
            <w:tcW w:w="2380" w:type="dxa"/>
            <w:vAlign w:val="bottom"/>
            <w:gridSpan w:val="3"/>
            <w:shd w:val="clear" w:color="auto" w:fill="CCEEFF"/>
          </w:tcPr>
          <w:p>
            <w:pPr>
              <w:ind w:left="80"/>
              <w:spacing w:after="0" w:line="176" w:lineRule="exact"/>
              <w:rPr>
                <w:sz w:val="20"/>
                <w:szCs w:val="20"/>
                <w:color w:val="auto"/>
              </w:rPr>
            </w:pPr>
            <w:r>
              <w:rPr>
                <w:rFonts w:ascii="Arial" w:cs="Arial" w:eastAsia="Arial" w:hAnsi="Arial"/>
                <w:sz w:val="18"/>
                <w:szCs w:val="18"/>
                <w:color w:val="auto"/>
              </w:rPr>
              <w:t>Other–net, (income)</w:t>
            </w:r>
          </w:p>
        </w:tc>
        <w:tc>
          <w:tcPr>
            <w:tcW w:w="0" w:type="dxa"/>
            <w:vAlign w:val="bottom"/>
          </w:tcPr>
          <w:p>
            <w:pPr>
              <w:spacing w:after="0"/>
              <w:rPr>
                <w:sz w:val="1"/>
                <w:szCs w:val="1"/>
                <w:color w:val="auto"/>
              </w:rPr>
            </w:pPr>
          </w:p>
        </w:tc>
      </w:tr>
      <w:tr>
        <w:trPr>
          <w:trHeight w:val="243"/>
        </w:trPr>
        <w:tc>
          <w:tcPr>
            <w:tcW w:w="32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w:t>
            </w: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180"/>
              <w:spacing w:after="0"/>
              <w:rPr>
                <w:sz w:val="20"/>
                <w:szCs w:val="20"/>
                <w:color w:val="auto"/>
              </w:rPr>
            </w:pPr>
            <w:r>
              <w:rPr>
                <w:rFonts w:ascii="Arial" w:cs="Arial" w:eastAsia="Arial" w:hAnsi="Arial"/>
                <w:sz w:val="18"/>
                <w:szCs w:val="18"/>
                <w:color w:val="auto"/>
              </w:rPr>
              <w:t>Total before tax</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30.0</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89.3</w:t>
            </w: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center"/>
              <w:ind w:left="295"/>
              <w:spacing w:after="0"/>
              <w:rPr>
                <w:sz w:val="20"/>
                <w:szCs w:val="20"/>
                <w:color w:val="auto"/>
              </w:rPr>
            </w:pPr>
            <w:r>
              <w:rPr>
                <w:rFonts w:ascii="Arial" w:cs="Arial" w:eastAsia="Arial" w:hAnsi="Arial"/>
                <w:sz w:val="18"/>
                <w:szCs w:val="18"/>
                <w:color w:val="auto"/>
              </w:rPr>
              <w:t>49.2</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97"/>
              </w:rPr>
              <w:t>(10.3)</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Income taxes</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23.7</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70.6</w:t>
            </w: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center"/>
              <w:ind w:left="295"/>
              <w:spacing w:after="0"/>
              <w:rPr>
                <w:sz w:val="20"/>
                <w:szCs w:val="20"/>
                <w:color w:val="auto"/>
              </w:rPr>
            </w:pPr>
            <w:r>
              <w:rPr>
                <w:rFonts w:ascii="Arial" w:cs="Arial" w:eastAsia="Arial" w:hAnsi="Arial"/>
                <w:sz w:val="18"/>
                <w:szCs w:val="18"/>
                <w:color w:val="auto"/>
              </w:rPr>
              <w:t>38.9</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380" w:type="dxa"/>
            <w:vAlign w:val="bottom"/>
            <w:gridSpan w:val="3"/>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Other, net of tax</w:t>
            </w:r>
          </w:p>
        </w:tc>
        <w:tc>
          <w:tcPr>
            <w:tcW w:w="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5"/>
                <w:szCs w:val="15"/>
                <w:color w:val="auto"/>
              </w:rPr>
            </w:pPr>
          </w:p>
        </w:tc>
        <w:tc>
          <w:tcPr>
            <w:tcW w:w="1220" w:type="dxa"/>
            <w:vAlign w:val="bottom"/>
            <w:vMerge w:val="restart"/>
          </w:tcPr>
          <w:p>
            <w:pPr>
              <w:jc w:val="right"/>
              <w:ind w:right="133"/>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10.8</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center"/>
              <w:ind w:left="275"/>
              <w:spacing w:after="0"/>
              <w:rPr>
                <w:sz w:val="20"/>
                <w:szCs w:val="20"/>
                <w:color w:val="auto"/>
              </w:rPr>
            </w:pPr>
            <w:r>
              <w:rPr>
                <w:rFonts w:ascii="Arial" w:cs="Arial" w:eastAsia="Arial" w:hAnsi="Arial"/>
                <w:sz w:val="18"/>
                <w:szCs w:val="18"/>
                <w:color w:val="auto"/>
                <w:w w:val="97"/>
              </w:rPr>
              <w:t>(17.2)</w:t>
            </w:r>
          </w:p>
        </w:tc>
        <w:tc>
          <w:tcPr>
            <w:tcW w:w="2380" w:type="dxa"/>
            <w:vAlign w:val="bottom"/>
            <w:gridSpan w:val="3"/>
          </w:tcPr>
          <w:p>
            <w:pPr>
              <w:ind w:left="80"/>
              <w:spacing w:after="0" w:line="176" w:lineRule="exact"/>
              <w:rPr>
                <w:sz w:val="20"/>
                <w:szCs w:val="20"/>
                <w:color w:val="auto"/>
              </w:rPr>
            </w:pPr>
            <w:r>
              <w:rPr>
                <w:rFonts w:ascii="Arial" w:cs="Arial" w:eastAsia="Arial" w:hAnsi="Arial"/>
                <w:sz w:val="18"/>
                <w:szCs w:val="18"/>
                <w:color w:val="auto"/>
              </w:rPr>
              <w:t>Other–net, (income)</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expense</w:t>
            </w:r>
          </w:p>
        </w:tc>
        <w:tc>
          <w:tcPr>
            <w:tcW w:w="4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23.8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center"/>
              <w:ind w:left="295"/>
              <w:spacing w:after="0"/>
              <w:rPr>
                <w:sz w:val="20"/>
                <w:szCs w:val="20"/>
                <w:color w:val="auto"/>
              </w:rPr>
            </w:pPr>
            <w:r>
              <w:rPr>
                <w:rFonts w:ascii="Arial" w:cs="Arial" w:eastAsia="Arial" w:hAnsi="Arial"/>
                <w:sz w:val="18"/>
                <w:szCs w:val="18"/>
                <w:color w:val="auto"/>
              </w:rPr>
              <w:t>21.7</w:t>
            </w:r>
          </w:p>
        </w:tc>
        <w:tc>
          <w:tcPr>
            <w:tcW w:w="8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8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w w:val="99"/>
              </w:rPr>
              <w:t>Note 12: Other–Net, (Income) Expense</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720" w:type="dxa"/>
            <w:vAlign w:val="bottom"/>
            <w:gridSpan w:val="4"/>
          </w:tcPr>
          <w:p>
            <w:pPr>
              <w:spacing w:after="0"/>
              <w:rPr>
                <w:sz w:val="20"/>
                <w:szCs w:val="20"/>
                <w:color w:val="auto"/>
              </w:rPr>
            </w:pPr>
            <w:r>
              <w:rPr>
                <w:rFonts w:ascii="Arial" w:cs="Arial" w:eastAsia="Arial" w:hAnsi="Arial"/>
                <w:sz w:val="18"/>
                <w:szCs w:val="18"/>
                <w:color w:val="auto"/>
              </w:rPr>
              <w:t>Other–net, (income) expense consisted of the following:</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b w:val="1"/>
                <w:bCs w:val="1"/>
                <w:color w:val="auto"/>
              </w:rPr>
              <w:t>Three Months Ended September 30,</w:t>
            </w:r>
          </w:p>
        </w:tc>
        <w:tc>
          <w:tcPr>
            <w:tcW w:w="32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634"/>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124.6</w:t>
            </w:r>
          </w:p>
        </w:tc>
        <w:tc>
          <w:tcPr>
            <w:tcW w:w="9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555.9</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(47.8)</w:t>
            </w:r>
          </w:p>
        </w:tc>
        <w:tc>
          <w:tcPr>
            <w:tcW w:w="10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90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(130.9)</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0"/>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(gains) losses on equity securities (Note 7)</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(112.4)</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9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29.5</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Retirement benefit plans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(115.4)</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(115.5)</w:t>
            </w:r>
          </w:p>
        </w:tc>
        <w:tc>
          <w:tcPr>
            <w:tcW w:w="90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(345.9)</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9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(0.1)</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Other–net, (income) expense</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(62.0)</w:t>
            </w:r>
          </w:p>
        </w:tc>
        <w:tc>
          <w:tcPr>
            <w:tcW w:w="106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23.2</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108.5</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855"/>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73"/>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Tables present dollars in millions, except per-share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may cause our actual results, financial position, and cash generated from operations to differ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This section provides an overview of our financial results, late-stage pipeline developments, and other matters affecting our company and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vMerge w:val="restart"/>
          </w:tcPr>
          <w:p>
            <w:pPr>
              <w:jc w:val="center"/>
              <w:ind w:left="3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4"/>
                <w:szCs w:val="4"/>
                <w:color w:val="auto"/>
              </w:rPr>
            </w:pPr>
          </w:p>
        </w:tc>
        <w:tc>
          <w:tcPr>
            <w:tcW w:w="11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4"/>
                <w:szCs w:val="4"/>
                <w:color w:val="auto"/>
              </w:rPr>
            </w:pPr>
          </w:p>
        </w:tc>
        <w:tc>
          <w:tcPr>
            <w:tcW w:w="11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11,439.1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31,509.9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24,770.7</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b w:val="1"/>
                <w:bCs w:val="1"/>
                <w:color w:val="auto"/>
              </w:rPr>
              <w:t>970.3</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4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b w:val="1"/>
                <w:bCs w:val="1"/>
                <w:color w:val="auto"/>
              </w:rPr>
              <w:t>6,180.2</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3,050.7</w:t>
            </w:r>
          </w:p>
        </w:tc>
        <w:tc>
          <w:tcPr>
            <w:tcW w:w="900" w:type="dxa"/>
            <w:vAlign w:val="bottom"/>
          </w:tcPr>
          <w:p>
            <w:pPr>
              <w:jc w:val="center"/>
              <w:ind w:left="17"/>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 - diluted</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6.83</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Revenue increased for the three and nine months ended September 30, 2024 driven by increased volume and higher realized prices. The increase in revenue during the three and nine months ended September 30, 2024 was primarily driven by increased sales of Mounjaro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Zepbound</w:t>
      </w:r>
      <w:r>
        <w:rPr>
          <w:rFonts w:ascii="Times New Roman" w:cs="Times New Roman" w:eastAsia="Times New Roman" w:hAnsi="Times New Roman"/>
          <w:sz w:val="22"/>
          <w:szCs w:val="22"/>
          <w:color w:val="auto"/>
          <w:vertAlign w:val="superscript"/>
        </w:rPr>
        <w:t>®</w:t>
      </w:r>
      <w:r>
        <w:rPr>
          <w:rFonts w:ascii="Arial" w:cs="Arial" w:eastAsia="Arial" w:hAnsi="Arial"/>
          <w:sz w:val="17"/>
          <w:szCs w:val="17"/>
          <w:color w:val="auto"/>
        </w:rPr>
        <w:t>, and Verzenio</w:t>
      </w:r>
      <w:r>
        <w:rPr>
          <w:rFonts w:ascii="Arial" w:cs="Arial" w:eastAsia="Arial" w:hAnsi="Arial"/>
          <w:sz w:val="22"/>
          <w:szCs w:val="22"/>
          <w:color w:val="auto"/>
          <w:vertAlign w:val="superscript"/>
        </w:rPr>
        <w:t>®</w:t>
      </w:r>
      <w:r>
        <w:rPr>
          <w:rFonts w:ascii="Arial" w:cs="Arial" w:eastAsia="Arial" w:hAnsi="Arial"/>
          <w:sz w:val="17"/>
          <w:szCs w:val="17"/>
          <w:color w:val="auto"/>
        </w:rPr>
        <w:t>, partially offset by declines in Trulicity</w:t>
      </w:r>
      <w:r>
        <w:rPr>
          <w:rFonts w:ascii="Times New Roman" w:cs="Times New Roman" w:eastAsia="Times New Roman" w:hAnsi="Times New Roman"/>
          <w:sz w:val="22"/>
          <w:szCs w:val="22"/>
          <w:color w:val="auto"/>
          <w:vertAlign w:val="superscript"/>
        </w:rPr>
        <w:t>®</w:t>
      </w:r>
      <w:r>
        <w:rPr>
          <w:rFonts w:ascii="Arial" w:cs="Arial" w:eastAsia="Arial" w:hAnsi="Arial"/>
          <w:sz w:val="17"/>
          <w:szCs w:val="17"/>
          <w:color w:val="auto"/>
        </w:rPr>
        <w:t xml:space="preserve"> and the 2023 sale of rights for the olanzapine portfolio, including Zyprexa</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3" w:lineRule="exact"/>
        <w:rPr>
          <w:sz w:val="20"/>
          <w:szCs w:val="20"/>
          <w:color w:val="auto"/>
        </w:rPr>
      </w:pPr>
    </w:p>
    <w:p>
      <w:pPr>
        <w:jc w:val="both"/>
        <w:ind w:right="640"/>
        <w:spacing w:after="0" w:line="268" w:lineRule="auto"/>
        <w:rPr>
          <w:sz w:val="20"/>
          <w:szCs w:val="20"/>
          <w:color w:val="auto"/>
        </w:rPr>
      </w:pPr>
      <w:r>
        <w:rPr>
          <w:rFonts w:ascii="Arial" w:cs="Arial" w:eastAsia="Arial" w:hAnsi="Arial"/>
          <w:sz w:val="18"/>
          <w:szCs w:val="18"/>
          <w:color w:val="auto"/>
        </w:rPr>
        <w:t>Net income and earnings per share for the three and nine months ended September 30, 2024 increased primarily due to higher gross margin, partially offset by increased research and development expenses, marketing, selling, and administrative expenses, and asset impairment, restructuring, and other special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Late-Stage Pipeline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50 new medicine candidates in clinical development or under regulatory review, and a larger number of projects in the discovery phase.</w:t>
      </w:r>
    </w:p>
    <w:p>
      <w:pPr>
        <w:spacing w:after="0" w:line="63" w:lineRule="exact"/>
        <w:rPr>
          <w:sz w:val="20"/>
          <w:szCs w:val="20"/>
          <w:color w:val="auto"/>
        </w:rPr>
      </w:pPr>
    </w:p>
    <w:p>
      <w:pPr>
        <w:ind w:right="4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following select new molecular entities (NMEs) and new indication line extension (NILEX) products are currently in Phase 2 or Phase 3 clinical trials or have been submitted for regulatory review or have recently received regulatory approval in the United States (U.S.), European Union (EU), or Japan. The table reflects the status of these NMEs and NILEX products, including certain other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9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66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Cardiometabolic Health</w:t>
            </w:r>
          </w:p>
        </w:tc>
        <w:tc>
          <w:tcPr>
            <w:tcW w:w="2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the U.S. and the EU in 2023. Submitted in Japan in</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2024. Phase 3 trials are ongoing.</w:t>
            </w: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200" w:type="dxa"/>
            <w:vAlign w:val="bottom"/>
            <w:tcBorders>
              <w:left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2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Obstructive sleep apnea</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Submitted</w:t>
            </w:r>
          </w:p>
        </w:tc>
        <w:tc>
          <w:tcPr>
            <w:tcW w:w="660" w:type="dxa"/>
            <w:vAlign w:val="bottom"/>
            <w:tcBorders>
              <w:right w:val="single" w:sz="8" w:color="auto"/>
            </w:tcBorders>
          </w:tcPr>
          <w:p>
            <w:pPr>
              <w:spacing w:after="0"/>
              <w:rPr>
                <w:sz w:val="22"/>
                <w:szCs w:val="22"/>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in the U.S. and the EU in 2024. Granted U.S. Food</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right w:val="single" w:sz="8" w:color="auto"/>
            </w:tcBorders>
          </w:tcPr>
          <w:p>
            <w:pPr>
              <w:spacing w:after="0"/>
              <w:rPr>
                <w:sz w:val="16"/>
                <w:szCs w:val="16"/>
                <w:color w:val="auto"/>
              </w:rPr>
            </w:pPr>
          </w:p>
        </w:tc>
        <w:tc>
          <w:tcPr>
            <w:tcW w:w="2180" w:type="dxa"/>
            <w:vAlign w:val="bottom"/>
            <w:tcBorders>
              <w:right w:val="single" w:sz="8" w:color="auto"/>
            </w:tcBorders>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52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and Drug Administration (FDA) Fast Track designation</w:t>
            </w:r>
            <w:r>
              <w:rPr>
                <w:rFonts w:ascii="Arial" w:cs="Arial" w:eastAsia="Arial" w:hAnsi="Arial"/>
                <w:sz w:val="21"/>
                <w:szCs w:val="21"/>
                <w:color w:val="auto"/>
                <w:vertAlign w:val="superscript"/>
              </w:rPr>
              <w:t>(1)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1"/>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(OSA)</w:t>
            </w:r>
          </w:p>
        </w:tc>
        <w:tc>
          <w:tcPr>
            <w:tcW w:w="9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designation in 2024.</w:t>
            </w:r>
          </w:p>
        </w:tc>
        <w:tc>
          <w:tcPr>
            <w:tcW w:w="0" w:type="dxa"/>
            <w:vAlign w:val="bottom"/>
          </w:tcPr>
          <w:p>
            <w:pPr>
              <w:spacing w:after="0"/>
              <w:rPr>
                <w:sz w:val="1"/>
                <w:szCs w:val="1"/>
                <w:color w:val="auto"/>
              </w:rPr>
            </w:pPr>
          </w:p>
        </w:tc>
      </w:tr>
      <w:tr>
        <w:trPr>
          <w:trHeight w:val="27"/>
        </w:trPr>
        <w:tc>
          <w:tcPr>
            <w:tcW w:w="2200" w:type="dxa"/>
            <w:vAlign w:val="bottom"/>
            <w:tcBorders>
              <w:left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 (Mounjaro,</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Cardiovascular outcomes</w:t>
            </w:r>
          </w:p>
        </w:tc>
        <w:tc>
          <w:tcPr>
            <w:tcW w:w="980" w:type="dxa"/>
            <w:vAlign w:val="bottom"/>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right w:val="single" w:sz="8" w:color="auto"/>
            </w:tcBorders>
            <w:vMerge w:val="continue"/>
          </w:tcPr>
          <w:p>
            <w:pPr>
              <w:spacing w:after="0"/>
              <w:rPr>
                <w:sz w:val="12"/>
                <w:szCs w:val="12"/>
                <w:color w:val="auto"/>
              </w:rPr>
            </w:pPr>
          </w:p>
        </w:tc>
        <w:tc>
          <w:tcPr>
            <w:tcW w:w="21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in type 2 diabetes</w:t>
            </w:r>
          </w:p>
        </w:tc>
        <w:tc>
          <w:tcPr>
            <w:tcW w:w="9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Zepbound)</w:t>
            </w:r>
          </w:p>
        </w:tc>
        <w:tc>
          <w:tcPr>
            <w:tcW w:w="21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20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Heart failure with</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2024 that Phase 3 trial met all primary and key</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preserved ejection fraction</w:t>
            </w:r>
          </w:p>
        </w:tc>
        <w:tc>
          <w:tcPr>
            <w:tcW w:w="980" w:type="dxa"/>
            <w:vAlign w:val="bottom"/>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Morbidity and mortality in</w:t>
            </w:r>
          </w:p>
        </w:tc>
        <w:tc>
          <w:tcPr>
            <w:tcW w:w="980" w:type="dxa"/>
            <w:vAlign w:val="bottom"/>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22"/>
                <w:szCs w:val="22"/>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obesity</w:t>
            </w:r>
          </w:p>
        </w:tc>
        <w:tc>
          <w:tcPr>
            <w:tcW w:w="9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200" w:type="dxa"/>
            <w:vAlign w:val="bottom"/>
            <w:tcBorders>
              <w:left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Higher doses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363"/>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Metabolic dysfunction-</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2024 that Phase 2 trial met its primary endpoint.</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associated steatohepatitis</w:t>
            </w:r>
          </w:p>
        </w:tc>
        <w:tc>
          <w:tcPr>
            <w:tcW w:w="980" w:type="dxa"/>
            <w:vAlign w:val="bottom"/>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Insulin Efsitora Alfa</w:t>
            </w:r>
          </w:p>
        </w:tc>
        <w:tc>
          <w:tcPr>
            <w:tcW w:w="21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Type 1 and type 2</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Announced in 2024 that five Phase 3 trials met primary</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endpoints.</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Lepodisiran</w:t>
            </w:r>
          </w:p>
        </w:tc>
        <w:tc>
          <w:tcPr>
            <w:tcW w:w="218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8"/>
                <w:szCs w:val="18"/>
                <w:color w:val="auto"/>
              </w:rPr>
              <w:t>Atherosclerotic</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cardiovascular disease</w:t>
            </w: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Orforglipron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40"/>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Cardiovascular / renal</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initiated in 2024.</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outcomes</w:t>
            </w: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Retatrutide</w:t>
            </w:r>
          </w:p>
        </w:tc>
        <w:tc>
          <w:tcPr>
            <w:tcW w:w="21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Obesity, osteoarthritis,</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6"/>
                <w:szCs w:val="16"/>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39"/>
        </w:trPr>
        <w:tc>
          <w:tcPr>
            <w:tcW w:w="2200" w:type="dxa"/>
            <w:vAlign w:val="bottom"/>
            <w:tcBorders>
              <w:left w:val="single" w:sz="8" w:color="auto"/>
              <w:right w:val="single" w:sz="8" w:color="auto"/>
            </w:tcBorders>
          </w:tcPr>
          <w:p>
            <w:pPr>
              <w:spacing w:after="0"/>
              <w:rPr>
                <w:sz w:val="12"/>
                <w:szCs w:val="12"/>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OSA</w:t>
            </w:r>
          </w:p>
        </w:tc>
        <w:tc>
          <w:tcPr>
            <w:tcW w:w="98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trials initiated in 2024.</w:t>
            </w:r>
          </w:p>
        </w:tc>
        <w:tc>
          <w:tcPr>
            <w:tcW w:w="0" w:type="dxa"/>
            <w:vAlign w:val="bottom"/>
          </w:tcPr>
          <w:p>
            <w:pPr>
              <w:spacing w:after="0"/>
              <w:rPr>
                <w:sz w:val="1"/>
                <w:szCs w:val="1"/>
                <w:color w:val="auto"/>
              </w:rPr>
            </w:pPr>
          </w:p>
        </w:tc>
      </w:tr>
      <w:tr>
        <w:trPr>
          <w:trHeight w:val="22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Bimagrumab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Eloralintide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Mazdutide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Muvalaplin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Cardiovascular disease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Solbinsiran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Cardiovascular disease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Volenrelaxin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Heart failure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848"/>
        </w:trPr>
        <w:tc>
          <w:tcPr>
            <w:tcW w:w="2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90" w:right="31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110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54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tcPr>
          <w:p>
            <w:pPr>
              <w:spacing w:after="0"/>
              <w:rPr>
                <w:sz w:val="14"/>
                <w:szCs w:val="14"/>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Atopic dermatitis</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54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Approved in the U.S. and Japan in 2024 and in the EU in 2023.</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0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7"/>
                <w:szCs w:val="17"/>
                <w:color w:val="auto"/>
              </w:rPr>
              <w:t>Lebrikizumab</w:t>
            </w:r>
            <w:r>
              <w:rPr>
                <w:rFonts w:ascii="Arial" w:cs="Arial" w:eastAsia="Arial" w:hAnsi="Arial"/>
                <w:sz w:val="21"/>
                <w:szCs w:val="21"/>
                <w:color w:val="auto"/>
                <w:vertAlign w:val="superscript"/>
              </w:rPr>
              <w:t>(3)</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 (perennial allergens)</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54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r>
        <w:trPr>
          <w:trHeight w:val="235"/>
        </w:trPr>
        <w:tc>
          <w:tcPr>
            <w:tcW w:w="2200" w:type="dxa"/>
            <w:vAlign w:val="bottom"/>
            <w:tcBorders>
              <w:left w:val="single" w:sz="8" w:color="auto"/>
              <w:right w:val="single" w:sz="8" w:color="auto"/>
            </w:tcBorders>
          </w:tcPr>
          <w:p>
            <w:pPr>
              <w:ind w:left="40"/>
              <w:spacing w:after="0" w:line="235" w:lineRule="exact"/>
              <w:rPr>
                <w:sz w:val="20"/>
                <w:szCs w:val="20"/>
                <w:color w:val="auto"/>
              </w:rPr>
            </w:pPr>
            <w:r>
              <w:rPr>
                <w:rFonts w:ascii="Arial" w:cs="Arial" w:eastAsia="Arial" w:hAnsi="Arial"/>
                <w:sz w:val="18"/>
                <w:szCs w:val="18"/>
                <w:color w:val="auto"/>
              </w:rPr>
              <w:t>(Ebglyss</w:t>
            </w:r>
            <w:r>
              <w:rPr>
                <w:rFonts w:ascii="Arial" w:cs="Arial" w:eastAsia="Arial" w:hAnsi="Arial"/>
                <w:sz w:val="23"/>
                <w:szCs w:val="23"/>
                <w:color w:val="auto"/>
                <w:vertAlign w:val="superscript"/>
              </w:rPr>
              <w:t>TM</w:t>
            </w:r>
            <w:r>
              <w:rPr>
                <w:rFonts w:ascii="Arial" w:cs="Arial" w:eastAsia="Arial" w:hAnsi="Arial"/>
                <w:sz w:val="18"/>
                <w:szCs w:val="18"/>
                <w:color w:val="auto"/>
              </w:rPr>
              <w:t>)</w:t>
            </w:r>
          </w:p>
        </w:tc>
        <w:tc>
          <w:tcPr>
            <w:tcW w:w="2180" w:type="dxa"/>
            <w:vAlign w:val="bottom"/>
            <w:tcBorders>
              <w:bottom w:val="single" w:sz="8" w:color="auto"/>
              <w:right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CRSwNP</w:t>
            </w:r>
          </w:p>
        </w:tc>
        <w:tc>
          <w:tcPr>
            <w:tcW w:w="1100" w:type="dxa"/>
            <w:vAlign w:val="bottom"/>
          </w:tcPr>
          <w:p>
            <w:pPr>
              <w:ind w:left="20"/>
              <w:spacing w:after="0"/>
              <w:rPr>
                <w:sz w:val="20"/>
                <w:szCs w:val="20"/>
                <w:color w:val="auto"/>
              </w:rPr>
            </w:pPr>
            <w:r>
              <w:rPr>
                <w:rFonts w:ascii="Arial" w:cs="Arial" w:eastAsia="Arial" w:hAnsi="Arial"/>
                <w:sz w:val="18"/>
                <w:szCs w:val="18"/>
                <w:color w:val="auto"/>
              </w:rPr>
              <w:t>Phase 3</w:t>
            </w:r>
          </w:p>
        </w:tc>
        <w:tc>
          <w:tcPr>
            <w:tcW w:w="54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Crohn's Disease</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Submitted</w:t>
            </w:r>
          </w:p>
        </w:tc>
        <w:tc>
          <w:tcPr>
            <w:tcW w:w="54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Submitted in the U.S., the EU, and Japan in 2024. Phase 3 trials</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are ongoing.</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CD19 Antibody</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Multiple sclerosis</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DC-853</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Eltrekibart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Hidradenitis suppurativa</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45"/>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KV1.3 Antagonist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32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MORF-057</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Crohn's Disease</w:t>
            </w:r>
          </w:p>
        </w:tc>
        <w:tc>
          <w:tcPr>
            <w:tcW w:w="1100" w:type="dxa"/>
            <w:vAlign w:val="bottom"/>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Acquired in the acquisition of Morphic Holding, Inc. (Morphic) in</w:t>
            </w:r>
          </w:p>
        </w:tc>
        <w:tc>
          <w:tcPr>
            <w:tcW w:w="0" w:type="dxa"/>
            <w:vAlign w:val="bottom"/>
          </w:tcPr>
          <w:p>
            <w:pPr>
              <w:spacing w:after="0"/>
              <w:rPr>
                <w:sz w:val="1"/>
                <w:szCs w:val="1"/>
                <w:color w:val="auto"/>
              </w:rPr>
            </w:pPr>
          </w:p>
        </w:tc>
      </w:tr>
      <w:tr>
        <w:trPr>
          <w:trHeight w:val="63"/>
        </w:trPr>
        <w:tc>
          <w:tcPr>
            <w:tcW w:w="2200" w:type="dxa"/>
            <w:vAlign w:val="bottom"/>
            <w:tcBorders>
              <w:left w:val="single" w:sz="8" w:color="auto"/>
              <w:right w:val="single" w:sz="8" w:color="auto"/>
            </w:tcBorders>
            <w:vMerge w:val="continue"/>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200" w:type="dxa"/>
            <w:vAlign w:val="bottom"/>
            <w:tcBorders>
              <w:left w:val="single" w:sz="8" w:color="auto"/>
              <w:right w:val="single" w:sz="8" w:color="auto"/>
            </w:tcBorders>
            <w:vMerge w:val="continue"/>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2024. Phase 2 trials are ongoing.</w:t>
            </w:r>
          </w:p>
        </w:tc>
        <w:tc>
          <w:tcPr>
            <w:tcW w:w="0" w:type="dxa"/>
            <w:vAlign w:val="bottom"/>
          </w:tcPr>
          <w:p>
            <w:pPr>
              <w:spacing w:after="0"/>
              <w:rPr>
                <w:sz w:val="1"/>
                <w:szCs w:val="1"/>
                <w:color w:val="auto"/>
              </w:rPr>
            </w:pPr>
          </w:p>
        </w:tc>
      </w:tr>
      <w:tr>
        <w:trPr>
          <w:trHeight w:val="106"/>
        </w:trPr>
        <w:tc>
          <w:tcPr>
            <w:tcW w:w="220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Ulcerative colitis</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00" w:type="dxa"/>
            <w:vAlign w:val="bottom"/>
            <w:tcBorders>
              <w:left w:val="single" w:sz="8" w:color="auto"/>
              <w:right w:val="single" w:sz="8" w:color="auto"/>
            </w:tcBorders>
          </w:tcPr>
          <w:p>
            <w:pPr>
              <w:spacing w:after="0"/>
              <w:rPr>
                <w:sz w:val="11"/>
                <w:szCs w:val="11"/>
                <w:color w:val="auto"/>
              </w:rPr>
            </w:pPr>
          </w:p>
        </w:tc>
        <w:tc>
          <w:tcPr>
            <w:tcW w:w="2180" w:type="dxa"/>
            <w:vAlign w:val="bottom"/>
            <w:tcBorders>
              <w:right w:val="single" w:sz="8" w:color="auto"/>
            </w:tcBorders>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Ocadusertib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Rheumatoid arthritis</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Ucenprubart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Atopic dermatitis</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0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DC-806</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Discontinued</w:t>
            </w:r>
          </w:p>
        </w:tc>
        <w:tc>
          <w:tcPr>
            <w:tcW w:w="54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2024, discontinued Phase 2 development of this molecule in</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continue"/>
          </w:tcPr>
          <w:p>
            <w:pPr>
              <w:spacing w:after="0"/>
              <w:rPr>
                <w:sz w:val="12"/>
                <w:szCs w:val="12"/>
                <w:color w:val="auto"/>
              </w:rPr>
            </w:pPr>
          </w:p>
        </w:tc>
        <w:tc>
          <w:tcPr>
            <w:tcW w:w="2180" w:type="dxa"/>
            <w:vAlign w:val="bottom"/>
            <w:tcBorders>
              <w:right w:val="single" w:sz="8" w:color="auto"/>
            </w:tcBorders>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favor of another molecule in development.</w:t>
            </w:r>
          </w:p>
        </w:tc>
        <w:tc>
          <w:tcPr>
            <w:tcW w:w="0" w:type="dxa"/>
            <w:vAlign w:val="bottom"/>
          </w:tcPr>
          <w:p>
            <w:pPr>
              <w:spacing w:after="0"/>
              <w:rPr>
                <w:sz w:val="1"/>
                <w:szCs w:val="1"/>
                <w:color w:val="auto"/>
              </w:rPr>
            </w:pPr>
          </w:p>
        </w:tc>
      </w:tr>
      <w:tr>
        <w:trPr>
          <w:trHeight w:val="94"/>
        </w:trPr>
        <w:tc>
          <w:tcPr>
            <w:tcW w:w="2200" w:type="dxa"/>
            <w:vAlign w:val="bottom"/>
            <w:tcBorders>
              <w:left w:val="single" w:sz="8" w:color="auto"/>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5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Peresolimab</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 arthritis</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Discontinued</w:t>
            </w:r>
          </w:p>
        </w:tc>
        <w:tc>
          <w:tcPr>
            <w:tcW w:w="54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tcPr>
          <w:p>
            <w:pPr>
              <w:ind w:left="20"/>
              <w:spacing w:after="0" w:line="204" w:lineRule="exact"/>
              <w:rPr>
                <w:sz w:val="20"/>
                <w:szCs w:val="20"/>
                <w:color w:val="auto"/>
              </w:rPr>
            </w:pPr>
            <w:r>
              <w:rPr>
                <w:rFonts w:ascii="Arial" w:cs="Arial" w:eastAsia="Arial" w:hAnsi="Arial"/>
                <w:sz w:val="18"/>
                <w:szCs w:val="18"/>
                <w:color w:val="auto"/>
                <w:w w:val="99"/>
              </w:rPr>
              <w:t>In 2024, Phase 2 trial was discontinued due to overall benefit/risk</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continue"/>
          </w:tcPr>
          <w:p>
            <w:pPr>
              <w:spacing w:after="0"/>
              <w:rPr>
                <w:sz w:val="12"/>
                <w:szCs w:val="12"/>
                <w:color w:val="auto"/>
              </w:rPr>
            </w:pPr>
          </w:p>
        </w:tc>
        <w:tc>
          <w:tcPr>
            <w:tcW w:w="2180" w:type="dxa"/>
            <w:vAlign w:val="bottom"/>
            <w:tcBorders>
              <w:right w:val="single" w:sz="8" w:color="auto"/>
            </w:tcBorders>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profile.</w:t>
            </w:r>
          </w:p>
        </w:tc>
        <w:tc>
          <w:tcPr>
            <w:tcW w:w="0" w:type="dxa"/>
            <w:vAlign w:val="bottom"/>
          </w:tcPr>
          <w:p>
            <w:pPr>
              <w:spacing w:after="0"/>
              <w:rPr>
                <w:sz w:val="1"/>
                <w:szCs w:val="1"/>
                <w:color w:val="auto"/>
              </w:rPr>
            </w:pPr>
          </w:p>
        </w:tc>
      </w:tr>
      <w:tr>
        <w:trPr>
          <w:trHeight w:val="94"/>
        </w:trPr>
        <w:tc>
          <w:tcPr>
            <w:tcW w:w="2200" w:type="dxa"/>
            <w:vAlign w:val="bottom"/>
            <w:tcBorders>
              <w:left w:val="single" w:sz="8" w:color="auto"/>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5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2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2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Early Alzheimer's disease</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540" w:type="dxa"/>
            <w:vAlign w:val="bottom"/>
            <w:tcBorders>
              <w:right w:val="single" w:sz="8" w:color="auto"/>
            </w:tcBorders>
          </w:tcPr>
          <w:p>
            <w:pPr>
              <w:spacing w:after="0"/>
              <w:rPr>
                <w:sz w:val="22"/>
                <w:szCs w:val="22"/>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the U.S. and Japan in 2024. Submitted in the EU in</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right w:val="single" w:sz="8" w:color="auto"/>
            </w:tcBorders>
          </w:tcPr>
          <w:p>
            <w:pPr>
              <w:spacing w:after="0"/>
              <w:rPr>
                <w:sz w:val="16"/>
                <w:szCs w:val="16"/>
                <w:color w:val="auto"/>
              </w:rPr>
            </w:pPr>
          </w:p>
        </w:tc>
        <w:tc>
          <w:tcPr>
            <w:tcW w:w="2180" w:type="dxa"/>
            <w:vAlign w:val="bottom"/>
            <w:tcBorders>
              <w:right w:val="single" w:sz="8" w:color="auto"/>
            </w:tcBorders>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2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2023. Announced in 2024 that a Phase 3 trial met the primary</w:t>
            </w:r>
          </w:p>
        </w:tc>
        <w:tc>
          <w:tcPr>
            <w:tcW w:w="0" w:type="dxa"/>
            <w:vAlign w:val="bottom"/>
          </w:tcPr>
          <w:p>
            <w:pPr>
              <w:spacing w:after="0"/>
              <w:rPr>
                <w:sz w:val="1"/>
                <w:szCs w:val="1"/>
                <w:color w:val="auto"/>
              </w:rPr>
            </w:pPr>
          </w:p>
        </w:tc>
      </w:tr>
      <w:tr>
        <w:trPr>
          <w:trHeight w:val="338"/>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Donanemab (Kisunla</w:t>
            </w:r>
            <w:r>
              <w:rPr>
                <w:rFonts w:ascii="Arial" w:cs="Arial" w:eastAsia="Arial" w:hAnsi="Arial"/>
                <w:sz w:val="23"/>
                <w:szCs w:val="23"/>
                <w:color w:val="auto"/>
                <w:vertAlign w:val="superscript"/>
              </w:rPr>
              <w:t>TM</w:t>
            </w: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endpoint. Phase 3 trials are ongoing.</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 Alzheimer's</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54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100" w:type="dxa"/>
            <w:vAlign w:val="bottom"/>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vMerge w:val="continue"/>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5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Remternetug</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Early Alzheimer's disease</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Epiregulin Ab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Pain</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321"/>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GBA1 Gene Therapy</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Gaucher disease Type 1</w:t>
            </w:r>
          </w:p>
        </w:tc>
        <w:tc>
          <w:tcPr>
            <w:tcW w:w="1100" w:type="dxa"/>
            <w:vAlign w:val="bottom"/>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91"/>
        </w:trPr>
        <w:tc>
          <w:tcPr>
            <w:tcW w:w="2200" w:type="dxa"/>
            <w:vAlign w:val="bottom"/>
            <w:tcBorders>
              <w:left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Parkinson's disease</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(1)</w:t>
            </w:r>
            <w:r>
              <w:rPr>
                <w:rFonts w:ascii="Arial" w:cs="Arial" w:eastAsia="Arial" w:hAnsi="Arial"/>
                <w:sz w:val="18"/>
                <w:szCs w:val="18"/>
                <w:color w:val="auto"/>
              </w:rPr>
              <w:t>. Phase 2 trial is ongoing.</w:t>
            </w:r>
          </w:p>
        </w:tc>
        <w:tc>
          <w:tcPr>
            <w:tcW w:w="0" w:type="dxa"/>
            <w:vAlign w:val="bottom"/>
          </w:tcPr>
          <w:p>
            <w:pPr>
              <w:spacing w:after="0"/>
              <w:rPr>
                <w:sz w:val="1"/>
                <w:szCs w:val="1"/>
                <w:color w:val="auto"/>
              </w:rPr>
            </w:pPr>
          </w:p>
        </w:tc>
      </w:tr>
      <w:tr>
        <w:trPr>
          <w:trHeight w:val="285"/>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GRN Gene Therapy</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Frontotemporal dementia</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(1)</w:t>
            </w:r>
            <w:r>
              <w:rPr>
                <w:rFonts w:ascii="Arial" w:cs="Arial" w:eastAsia="Arial" w:hAnsi="Arial"/>
                <w:sz w:val="18"/>
                <w:szCs w:val="18"/>
                <w:color w:val="auto"/>
              </w:rPr>
              <w:t>. 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Mazisotine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Pain</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trials are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O-GlcNAcase Inh</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was completed in 2024.</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OTOF Gene Therapy</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Hearing loss</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P2X7 Inhibitor</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Pain</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trials were completed in 2023.</w:t>
            </w:r>
          </w:p>
        </w:tc>
        <w:tc>
          <w:tcPr>
            <w:tcW w:w="0" w:type="dxa"/>
            <w:vAlign w:val="bottom"/>
          </w:tcPr>
          <w:p>
            <w:pPr>
              <w:spacing w:after="0"/>
              <w:rPr>
                <w:sz w:val="1"/>
                <w:szCs w:val="1"/>
                <w:color w:val="auto"/>
              </w:rPr>
            </w:pPr>
          </w:p>
        </w:tc>
      </w:tr>
      <w:tr>
        <w:trPr>
          <w:trHeight w:val="861"/>
        </w:trPr>
        <w:tc>
          <w:tcPr>
            <w:tcW w:w="2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16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lymphocytic</w:t>
            </w:r>
          </w:p>
        </w:tc>
        <w:tc>
          <w:tcPr>
            <w:tcW w:w="1640" w:type="dxa"/>
            <w:vAlign w:val="bottom"/>
            <w:tcBorders>
              <w:right w:val="single" w:sz="8" w:color="auto"/>
            </w:tcBorders>
          </w:tcPr>
          <w:p>
            <w:pPr>
              <w:ind w:left="800"/>
              <w:spacing w:after="0"/>
              <w:rPr>
                <w:sz w:val="20"/>
                <w:szCs w:val="20"/>
                <w:color w:val="auto"/>
              </w:rPr>
            </w:pPr>
            <w:r>
              <w:rPr>
                <w:rFonts w:ascii="Arial" w:cs="Arial" w:eastAsia="Arial" w:hAnsi="Arial"/>
                <w:sz w:val="12"/>
                <w:szCs w:val="12"/>
                <w:color w:val="auto"/>
              </w:rPr>
              <w:t>(4)</w:t>
            </w:r>
          </w:p>
        </w:tc>
        <w:tc>
          <w:tcPr>
            <w:tcW w:w="5240" w:type="dxa"/>
            <w:vAlign w:val="bottom"/>
            <w:tcBorders>
              <w:right w:val="single" w:sz="8" w:color="auto"/>
            </w:tcBorders>
          </w:tcPr>
          <w:p>
            <w:pPr>
              <w:ind w:left="20"/>
              <w:spacing w:after="0" w:line="210" w:lineRule="exact"/>
              <w:rPr>
                <w:sz w:val="20"/>
                <w:szCs w:val="20"/>
                <w:color w:val="auto"/>
              </w:rPr>
            </w:pPr>
            <w:r>
              <w:rPr>
                <w:rFonts w:ascii="Arial" w:cs="Arial" w:eastAsia="Arial" w:hAnsi="Arial"/>
                <w:sz w:val="18"/>
                <w:szCs w:val="18"/>
                <w:color w:val="auto"/>
                <w:w w:val="99"/>
              </w:rPr>
              <w:t>FDA granted accelerated approval</w:t>
            </w:r>
            <w:r>
              <w:rPr>
                <w:rFonts w:ascii="Arial" w:cs="Arial" w:eastAsia="Arial" w:hAnsi="Arial"/>
                <w:sz w:val="23"/>
                <w:szCs w:val="23"/>
                <w:color w:val="auto"/>
                <w:w w:val="99"/>
                <w:vertAlign w:val="superscript"/>
              </w:rPr>
              <w:t>(4)</w:t>
            </w:r>
            <w:r>
              <w:rPr>
                <w:rFonts w:ascii="Arial" w:cs="Arial" w:eastAsia="Arial" w:hAnsi="Arial"/>
                <w:sz w:val="18"/>
                <w:szCs w:val="18"/>
                <w:color w:val="auto"/>
                <w:w w:val="99"/>
              </w:rPr>
              <w:t xml:space="preserve"> in the U.S. in 2023. Phase 3</w:t>
            </w: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leukemia</w:t>
            </w:r>
          </w:p>
        </w:tc>
        <w:tc>
          <w:tcPr>
            <w:tcW w:w="16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Approved</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trials are ongoing.</w:t>
            </w:r>
          </w:p>
        </w:tc>
        <w:tc>
          <w:tcPr>
            <w:tcW w:w="0" w:type="dxa"/>
            <w:vAlign w:val="bottom"/>
          </w:tcPr>
          <w:p>
            <w:pPr>
              <w:spacing w:after="0"/>
              <w:rPr>
                <w:sz w:val="1"/>
                <w:szCs w:val="1"/>
                <w:color w:val="auto"/>
              </w:rPr>
            </w:pPr>
          </w:p>
        </w:tc>
      </w:tr>
      <w:tr>
        <w:trPr>
          <w:trHeight w:val="63"/>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w:t>
            </w:r>
          </w:p>
        </w:tc>
        <w:tc>
          <w:tcPr>
            <w:tcW w:w="218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5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FDA granted accelerated approval</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U.S. in 2023.</w:t>
            </w: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6"/>
                <w:szCs w:val="16"/>
                <w:color w:val="auto"/>
              </w:rPr>
              <w:t>(Jaypirca</w:t>
            </w:r>
            <w:r>
              <w:rPr>
                <w:rFonts w:ascii="Arial" w:cs="Arial" w:eastAsia="Arial" w:hAnsi="Arial"/>
                <w:sz w:val="20"/>
                <w:szCs w:val="20"/>
                <w:color w:val="auto"/>
                <w:vertAlign w:val="superscript"/>
              </w:rPr>
              <w:t>®</w:t>
            </w:r>
            <w:r>
              <w:rPr>
                <w:rFonts w:ascii="Arial" w:cs="Arial" w:eastAsia="Arial" w:hAnsi="Arial"/>
                <w:sz w:val="16"/>
                <w:szCs w:val="16"/>
                <w:color w:val="auto"/>
              </w:rPr>
              <w:t>)</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Mantle cell lymphoma</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r>
              <w:rPr>
                <w:rFonts w:ascii="Arial" w:cs="Arial" w:eastAsia="Arial" w:hAnsi="Arial"/>
                <w:sz w:val="23"/>
                <w:szCs w:val="23"/>
                <w:color w:val="auto"/>
                <w:vertAlign w:val="superscript"/>
              </w:rPr>
              <w:t>(4)</w:t>
            </w:r>
          </w:p>
        </w:tc>
        <w:tc>
          <w:tcPr>
            <w:tcW w:w="5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5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Approved in the EU in 2023 and in Japan in 2024. Phase 3 trial</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 ongoing.</w:t>
            </w:r>
          </w:p>
        </w:tc>
        <w:tc>
          <w:tcPr>
            <w:tcW w:w="0" w:type="dxa"/>
            <w:vAlign w:val="bottom"/>
          </w:tcPr>
          <w:p>
            <w:pPr>
              <w:spacing w:after="0"/>
              <w:rPr>
                <w:sz w:val="1"/>
                <w:szCs w:val="1"/>
                <w:color w:val="auto"/>
              </w:rPr>
            </w:pPr>
          </w:p>
        </w:tc>
      </w:tr>
      <w:tr>
        <w:trPr>
          <w:trHeight w:val="91"/>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Adjuvant breast cancer</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Imlunestrant</w:t>
            </w:r>
          </w:p>
        </w:tc>
        <w:tc>
          <w:tcPr>
            <w:tcW w:w="218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200" w:type="dxa"/>
            <w:vAlign w:val="bottom"/>
            <w:tcBorders>
              <w:left w:val="single" w:sz="8" w:color="auto"/>
              <w:right w:val="single" w:sz="8" w:color="auto"/>
            </w:tcBorders>
            <w:vMerge w:val="continue"/>
          </w:tcPr>
          <w:p>
            <w:pPr>
              <w:spacing w:after="0"/>
              <w:rPr>
                <w:sz w:val="17"/>
                <w:szCs w:val="17"/>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ER+HER2- metastatic</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2024 that a Phase 3 trial was positive.</w:t>
            </w:r>
          </w:p>
        </w:tc>
        <w:tc>
          <w:tcPr>
            <w:tcW w:w="0" w:type="dxa"/>
            <w:vAlign w:val="bottom"/>
          </w:tcPr>
          <w:p>
            <w:pPr>
              <w:spacing w:after="0"/>
              <w:rPr>
                <w:sz w:val="1"/>
                <w:szCs w:val="1"/>
                <w:color w:val="auto"/>
              </w:rPr>
            </w:pPr>
          </w:p>
        </w:tc>
      </w:tr>
      <w:tr>
        <w:trPr>
          <w:trHeight w:val="63"/>
        </w:trPr>
        <w:tc>
          <w:tcPr>
            <w:tcW w:w="2200" w:type="dxa"/>
            <w:vAlign w:val="bottom"/>
            <w:tcBorders>
              <w:left w:val="single" w:sz="8" w:color="auto"/>
              <w:right w:val="single" w:sz="8" w:color="auto"/>
            </w:tcBorders>
          </w:tcPr>
          <w:p>
            <w:pPr>
              <w:spacing w:after="0"/>
              <w:rPr>
                <w:sz w:val="5"/>
                <w:szCs w:val="5"/>
                <w:color w:val="auto"/>
              </w:rPr>
            </w:pPr>
          </w:p>
        </w:tc>
        <w:tc>
          <w:tcPr>
            <w:tcW w:w="218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breast cancer</w:t>
            </w:r>
          </w:p>
        </w:tc>
        <w:tc>
          <w:tcPr>
            <w:tcW w:w="164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Olomorasib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1L KRAS G12C+ NSCLC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designed to facilitate the development and expedite the review of medicines to treat serious conditions and fill an unmet medical need.</w:t>
      </w: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clinical evidence indicates that the treatment may demonstrate substantial improvement over available therapy on a clinically significant endpoint.</w:t>
      </w:r>
    </w:p>
    <w:p>
      <w:pPr>
        <w:spacing w:after="0" w:line="6"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in Europe.</w:t>
      </w:r>
    </w:p>
    <w:p>
      <w:pPr>
        <w:ind w:left="160" w:hanging="152"/>
        <w:spacing w:after="0" w:line="204"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3 trials.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7" w:lineRule="exact"/>
        <w:rPr>
          <w:sz w:val="20"/>
          <w:szCs w:val="20"/>
          <w:color w:val="auto"/>
        </w:rPr>
      </w:pPr>
    </w:p>
    <w:p>
      <w:pPr>
        <w:jc w:val="both"/>
        <w:ind w:right="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Note 10 to the consolidated condensed financial statements for a description of legal proceedings currently pending regarding certain of our patents and "Business—Patents, Trademarks, and Other Intellectual Property Rights" in Part I, Item 1 of our Annual Report on </w:t>
      </w:r>
      <w:hyperlink r:id="rId15">
        <w:r>
          <w:rPr>
            <w:rFonts w:ascii="Arial" w:cs="Arial" w:eastAsia="Arial" w:hAnsi="Arial"/>
            <w:sz w:val="18"/>
            <w:szCs w:val="18"/>
            <w:u w:val="single" w:color="auto"/>
            <w:color w:val="0000FF"/>
          </w:rPr>
          <w:t>Form 10-K</w:t>
        </w:r>
      </w:hyperlink>
      <w:r>
        <w:rPr>
          <w:rFonts w:ascii="Arial" w:cs="Arial" w:eastAsia="Arial" w:hAnsi="Arial"/>
          <w:sz w:val="18"/>
          <w:szCs w:val="18"/>
          <w:color w:val="auto"/>
        </w:rPr>
        <w:t xml:space="preserve"> for the year ended December 31, 2023 for a discussion of the impacts of trends involving intellectual property on our business and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2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Reforms, including those that may stem from political initiatives, periods of uneven economic growth or downturns, or as a result of inflation or deflation, the emergence or escalation of, and responses to, international tension and conflicts, or government budgeting priorities, are expected to continue to result in added pressure on pricing and reimbursement for our products.</w:t>
      </w: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and action, as well as cost containment efforts by governmental authorities. Such measures include the use of mandated discounts, price reporting requirements, mandated reference prices, restrictive formularies, changes to available intellectual property protections, as well as other efforts. In 2022, the U.S. government enacted the Inflation Reduction Act of 2022 (IRA). Among other measures, the IRA requires the U.S. Department of Health and Human Services (HHS) to effectively set prices for certain single-source drugs and biologics reimbursed under Medicare Part B and Part D. Generally, these government prices apply nine years (for medicines approved under a New Drug Application) or thirteen years (for medicines approved under a Biologics License Application) following initial FDA approval and are set at a price that generally represents a significant discount from existing prices to wholesalers and direct purchasers. While the law specifies a ceiling price, it does not set a minimum or floor price. In August 2023, HHS selected Jardiance®, which is part of our collaboration with Boehringer Ingelheim, as one of the first ten medicines subject to government-set prices effective in 2026. In August 2024, HHS announced the government-set prices for these medicines with Jardiance subject to a 66% discount compared to 2023 U.S. calendar year list pricing for a 30-day supply and discounts for the other nine medicines selected by HHS ranging from approximately 38% to 79%. Given our product portfolio, we expect additional significant products will be selected in future years, which would have the effect of accelerating revenue erosion prior to expiry of exclusivities. The effect of reducing prices and reimbursement for certain of our products could significantly impact our business and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38" w:name="page39"/>
    <w:bookmarkEnd w:id="38"/>
    <w:p>
      <w:pPr>
        <w:ind w:right="100"/>
        <w:spacing w:after="0" w:line="262" w:lineRule="auto"/>
        <w:rPr>
          <w:sz w:val="20"/>
          <w:szCs w:val="20"/>
          <w:color w:val="auto"/>
        </w:rPr>
      </w:pPr>
      <w:r>
        <w:rPr>
          <w:rFonts w:ascii="Arial" w:cs="Arial" w:eastAsia="Arial" w:hAnsi="Arial"/>
          <w:sz w:val="18"/>
          <w:szCs w:val="18"/>
          <w:color w:val="auto"/>
        </w:rPr>
        <w:t>Other IRA provisions require drug manufacturers to provide rebates for Medicare Part B and Part D medicines under certain circumstances. Also, on January 1, 2025, the Part D benefit redesign will replace the Part D Coverage Gap Discount Program with a new manufacturer discount program. Manufacturers that fail to comply with the IRA may be subject to various penalties, including civil monetary penalties, which could be significant.</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IRA has, and will continue to, meaningfully influence our business strategies and those of our competitors. In particular, the nine-year timeline to set prices for medicines approved under a New Drug Application reduces the attractiveness of investment in small molecule innovation. The IRA can cause changes to development approach and timing and investments at-risk. The full impact of the IRA on our business and the pharmaceutical industry, including the implications to us of a competitor's product being selected for price setting, remains uncertain.</w:t>
      </w:r>
    </w:p>
    <w:p>
      <w:pPr>
        <w:spacing w:after="0" w:line="2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 policies, regulations, legislation, or enforcement, including those proposed or pursued by the U.S. Congress, the U.S. executive branch, and regulatory authorities worldwide, could adversely impact our business and consolidated results of operations. For example, the U.S. House of Representatives recently passed the BIOSECURE Act, which is under consideration in the U.S. Senate. This legislation, if passed, could affect elements of the pharmaceutical supply chain; although as currently drafted we do not anticipate the bill would have a material impact on our business.</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Consolidation and integration of private payers and pharmacy benefit managers in the U.S. has also significantly impacted the market for pharmaceuticals by increasing payer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may adversely impact our business and consolidated results of operations. We expect that these actions may intensify and could particularly affect certain products, which could adversely affect our business. In addition, we are engaged in litigation and investigations related to the 340B program, access to insulin, pricing, product safety,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 Moreover, increased focus on business combinations across industries and jurisdictions can lead to impediments to the completion of business combinations.</w:t>
      </w:r>
    </w:p>
    <w:p>
      <w:pPr>
        <w:spacing w:after="0" w:line="77" w:lineRule="exact"/>
        <w:rPr>
          <w:sz w:val="20"/>
          <w:szCs w:val="20"/>
          <w:color w:val="auto"/>
        </w:rPr>
      </w:pPr>
    </w:p>
    <w:p>
      <w:pPr>
        <w:ind w:right="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"Business—Regulations and Private Payer Actions Affecting Pharmaceutical Pricing, Reimbursement, and Access" in Part I, Item 1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See also Note 10 to the consolidated condensed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Incretin Medicines</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prior periods, demand for our incretin medicines exceeded production. Supply and channel dynamics have also contributed to variability in quarter-over-quarter revenue growth rates for tirzepatide. Based on our forecast, we project that tirzepatide supply will meet near-term demand in the U.S. Supply considerations will continue to influence the timing of tirzepatide launches in new markets, and in the near-term, we expect overall worldwide sales growth for tirzepatide to generally be a function of the quantity we can produce and ship. Demand remains dynamic, and increases or changes in demand, by dose or overall, as well as the complex supply chain, may result in periodic unavailability of certain presentations and dose levels at certain locations even when total tirzepatide supply can meet demand. We continue to expand manufacturing capacity and progress efforts to bring tirzepatide to patients via different delivery presentations, such as single-use vials and multi-use pens. Production increases will continue, and additional capacity is expected to be operational over the next several years.</w:t>
      </w:r>
    </w:p>
    <w:p>
      <w:pPr>
        <w:spacing w:after="0" w:line="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seen an increase in the production, marketing, and sale of counterfeit, fake, and compounded incretins. These practices threaten patient safety and undermine regulatory drug approval processes. Lilly will continue to consider all options, including filing lawsuits where appropriate, to address unlawful practices and the patient safety risks of unapproved, untested, and manipulated drugs.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(OECD) and the European Commission could influence tax laws in countries in which we operate. Tax authorities in the U.S. and other jurisdictions in which we do business routinely examine our tax returns and are expected to increase their scrutiny of cross-border tax issues. Changes to existing U.S. and foreign tax laws and increased scrutiny by tax authorities in the U.S. and other jurisdictions could adversely impact our future consolidated results of operations and cash flows.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the OECD/G20 Inclusive Framework on Base Erosion and Profit Shifting (Framework), which set forth a two-pillar solution to reform the international tax framework, and the EU's adoption of Directive 2022/2523 (known as "Pillar Two") (Directive) within the EU to implement the Framework, multiple countries, both within and outside of the EU, have enacted legislation that provides for a minimum level of taxation of multinational companies. The Directive required EU member states to enact legislation effective for years beginning on or after December 31, 2023. For certain provisions within the Framework, the OECD published guidance during 2023 that extends the effective dates for enactment. While we expect an increase in future years’ tax expense as a result of the global minimum tax, we do not anticipate a material impact to our 2024 consolidated results of operations. Our assessment of the impact for 2024 and subsequent years could be affected by legislative guidance, future enactment of additional provisions within the Pillar Two framework, and U.S. tax changes scheduled to occur in 2026 as part of the Tax Cuts and Jobs Act (2017 Tax Act).</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bipartisan tax bill, the Tax Relief for American Families and Workers Act, was passed by the U.S. House of Representatives in January 2024. The bill contains certain business tax provisions including the retroactive repeal for 2022 and 2023 and deferral of the requirement to capitalize U.S. research and development expenses for tax purposes that was a provision enacted in the 2017 Tax Act. Uncertainty exists as to whether the bill will be enacted into law as the bill did not receive enough votes to pass the U.S. Senate in August 2024; however, if the bill is enacted as currently drafted, we would expect our effective tax rate for 2024 to be moderately higher, and a net discrete tax detriment in the quarter of enactment related to 2022 and 2023. In addition, we would expect a decrease in cash tax payments.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invest in external research and technologies and manufacturing capabilities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ind w:right="1740"/>
        <w:spacing w:after="0" w:line="375" w:lineRule="auto"/>
        <w:rPr>
          <w:sz w:val="20"/>
          <w:szCs w:val="20"/>
          <w:color w:val="auto"/>
        </w:rPr>
      </w:pPr>
      <w:r>
        <w:rPr>
          <w:rFonts w:ascii="Arial" w:cs="Arial" w:eastAsia="Arial" w:hAnsi="Arial"/>
          <w:sz w:val="18"/>
          <w:szCs w:val="18"/>
          <w:color w:val="auto"/>
        </w:rPr>
        <w:t xml:space="preserve">See Note 3 to the consolidated condensed financial statements for further discussion regarding our recent acquisitions. </w:t>
      </w:r>
      <w:r>
        <w:rPr>
          <w:rFonts w:ascii="Arial" w:cs="Arial" w:eastAsia="Arial" w:hAnsi="Arial"/>
          <w:sz w:val="18"/>
          <w:szCs w:val="18"/>
          <w:i w:val="1"/>
          <w:iCs w:val="1"/>
          <w:u w:val="single" w:color="auto"/>
          <w:color w:val="auto"/>
        </w:rPr>
        <w:t>Foreign Currency Exchange Rates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factors have had, and may continue to have, an impact on our consolidated results of operations. These factors include cost and wage inflation, supply chain and labor market complexities, international tension and conflicts, uneven economic growth or downturns or uncertainty, and an increase in overall demand in our industry for certain products and materials.</w:t>
      </w:r>
    </w:p>
    <w:p>
      <w:pPr>
        <w:spacing w:after="0" w:line="63" w:lineRule="exact"/>
        <w:rPr>
          <w:sz w:val="20"/>
          <w:szCs w:val="20"/>
          <w:color w:val="auto"/>
        </w:rPr>
      </w:pPr>
    </w:p>
    <w:p>
      <w:pPr>
        <w:ind w:right="6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See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for additional information on risk factors that could impact our business and operations.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Pr>
          <w:p>
            <w:pPr>
              <w:jc w:val="right"/>
              <w:ind w:right="37"/>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Percent</w:t>
            </w:r>
          </w:p>
        </w:tc>
      </w:tr>
      <w:tr>
        <w:trPr>
          <w:trHeight w:val="197"/>
        </w:trPr>
        <w:tc>
          <w:tcPr>
            <w:tcW w:w="3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7,813.6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5,368.1</w:t>
            </w:r>
          </w:p>
        </w:tc>
        <w:tc>
          <w:tcPr>
            <w:tcW w:w="8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21,343.2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15,335.6</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39</w:t>
            </w:r>
          </w:p>
        </w:tc>
      </w:tr>
      <w:tr>
        <w:trPr>
          <w:trHeight w:val="229"/>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3,625.5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4,130.5</w:t>
            </w:r>
          </w:p>
        </w:tc>
        <w:tc>
          <w:tcPr>
            <w:tcW w:w="880" w:type="dxa"/>
            <w:vAlign w:val="bottom"/>
            <w:tcBorders>
              <w:bottom w:val="single" w:sz="8" w:color="CCEEFF"/>
            </w:tcBorders>
          </w:tcPr>
          <w:p>
            <w:pPr>
              <w:jc w:val="right"/>
              <w:ind w:right="137"/>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10,166.7</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9,435.0</w:t>
            </w:r>
          </w:p>
        </w:tc>
        <w:tc>
          <w:tcPr>
            <w:tcW w:w="90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8</w:t>
            </w: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11,439.1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9,498.6</w:t>
            </w:r>
          </w:p>
        </w:tc>
        <w:tc>
          <w:tcPr>
            <w:tcW w:w="8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31,509.9</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24,770.7</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27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422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Three Months Ended September 30,</w:t>
            </w:r>
          </w:p>
        </w:tc>
        <w:tc>
          <w:tcPr>
            <w:tcW w:w="378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3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2024 vs. 2023</w:t>
            </w:r>
          </w:p>
        </w:tc>
        <w:tc>
          <w:tcPr>
            <w:tcW w:w="1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2024 vs. 2023</w:t>
            </w:r>
          </w:p>
        </w:tc>
        <w:tc>
          <w:tcPr>
            <w:tcW w:w="1260" w:type="dxa"/>
            <w:vAlign w:val="bottom"/>
            <w:tcBorders>
              <w:bottom w:val="single" w:sz="8" w:color="auto"/>
            </w:tcBorders>
          </w:tcPr>
          <w:p>
            <w:pPr>
              <w:spacing w:after="0"/>
              <w:rPr>
                <w:sz w:val="17"/>
                <w:szCs w:val="17"/>
                <w:color w:val="auto"/>
              </w:rPr>
            </w:pPr>
          </w:p>
        </w:tc>
      </w:tr>
      <w:tr>
        <w:trPr>
          <w:trHeight w:val="196"/>
        </w:trPr>
        <w:tc>
          <w:tcPr>
            <w:tcW w:w="3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Outside U.S.</w:t>
            </w:r>
          </w:p>
        </w:tc>
        <w:tc>
          <w:tcPr>
            <w:tcW w:w="15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Consolidated</w:t>
            </w: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U.S.</w:t>
            </w:r>
          </w:p>
        </w:tc>
        <w:tc>
          <w:tcPr>
            <w:tcW w:w="13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Outside U.S.</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35 %</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w:t>
            </w:r>
          </w:p>
        </w:tc>
        <w:tc>
          <w:tcPr>
            <w:tcW w:w="15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15 %</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26 %</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w w:val="99"/>
              </w:rPr>
              <w:t>11</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54"/>
              <w:spacing w:after="0"/>
              <w:rPr>
                <w:sz w:val="20"/>
                <w:szCs w:val="20"/>
                <w:color w:val="auto"/>
              </w:rPr>
            </w:pPr>
            <w:r>
              <w:rPr>
                <w:rFonts w:ascii="Arial" w:cs="Arial" w:eastAsia="Arial" w:hAnsi="Arial"/>
                <w:sz w:val="18"/>
                <w:szCs w:val="18"/>
                <w:color w:val="auto"/>
              </w:rPr>
              <w:t>6</w:t>
            </w:r>
          </w:p>
        </w:tc>
        <w:tc>
          <w:tcPr>
            <w:tcW w:w="1200" w:type="dxa"/>
            <w:vAlign w:val="bottom"/>
          </w:tcPr>
          <w:p>
            <w:pPr>
              <w:jc w:val="right"/>
              <w:ind w:right="256"/>
              <w:spacing w:after="0"/>
              <w:rPr>
                <w:sz w:val="20"/>
                <w:szCs w:val="20"/>
                <w:color w:val="auto"/>
              </w:rPr>
            </w:pPr>
            <w:r>
              <w:rPr>
                <w:rFonts w:ascii="Arial" w:cs="Arial" w:eastAsia="Arial" w:hAnsi="Arial"/>
                <w:sz w:val="18"/>
                <w:szCs w:val="18"/>
                <w:color w:val="auto"/>
              </w:rPr>
              <w:t>14</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8</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7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(1)</w:t>
            </w:r>
          </w:p>
        </w:tc>
        <w:tc>
          <w:tcPr>
            <w:tcW w:w="15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7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46 %</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(12)%</w:t>
            </w:r>
          </w:p>
        </w:tc>
        <w:tc>
          <w:tcPr>
            <w:tcW w:w="15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20 %</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39 %</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8 %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U.S. for the three and nine months ended September 30, 2024, the increase in volume was primarily driven by Zepbound and Mounjaro, partially offset by declines in Trulicity. Following higher wholesaler inventory levels at the end of the second quarter of 2024, Mounjaro and Zepbound sales in the U.S. for the three months ended September 30, 2024 were negatively impacted by inventory decreases in the wholesaler channel. We estimate this impacted sales of Mounjaro and Zepbound in the U.S. for the third quarter of 2024 by mid-single digits as a percent of aggregate U.S. sales of these products.</w:t>
      </w:r>
    </w:p>
    <w:p>
      <w:pPr>
        <w:spacing w:after="0" w:line="6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the U.S. for the three months ended September 30, 2024, the higher realized prices were primarily driven by Humalog</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Verzenio and Trulicity. In the U.S. for the nine months ended September 30, 2024, the higher realized prices were also positively impacted by the access and savings card dynamics related to Mounjaro, as the $25 non-covered benefit expired on June 30, 2023.</w:t>
      </w:r>
    </w:p>
    <w:p>
      <w:pPr>
        <w:spacing w:after="0" w:line="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Outside the U.S. for the three months ended September 30, 2024, the decrease in volume was driven by the sale of rights for the olanzapine portfolio, including Zyprexa, in the third quarter of 2023, partially offset by the increase in volume by Mounjaro and Verzenio. Outside the U.S. for the nine months ended September 30, 2024, the increase in volume was primarily driven by Mounjaro and Verzenio, partially offset by the 2023 sale of rights for the olanzapine portfolio.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1" w:name="page42"/>
    <w:bookmarkEnd w:id="41"/>
    <w:p>
      <w:pPr>
        <w:ind w:right="18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three months ended September 30, 2024 and 2023:</w:t>
      </w:r>
    </w:p>
    <w:p>
      <w:pPr>
        <w:sectPr>
          <w:pgSz w:w="11900" w:h="16838" w:orient="portrait"/>
          <w:cols w:equalWidth="0" w:num="1">
            <w:col w:w="11080"/>
          </w:cols>
          <w:pgMar w:left="320" w:top="99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Mounjaro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Verzenio</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Trulicity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Zepbound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Taltz</w:t>
      </w:r>
      <w:r>
        <w:rPr>
          <w:rFonts w:ascii="Arial" w:cs="Arial" w:eastAsia="Arial" w:hAnsi="Arial"/>
          <w:sz w:val="23"/>
          <w:szCs w:val="23"/>
          <w:color w:val="auto"/>
          <w:vertAlign w:val="superscript"/>
        </w:rPr>
        <w: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(2)</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w:t>
      </w:r>
    </w:p>
    <w:p>
      <w:pPr>
        <w:ind w:left="20"/>
        <w:spacing w:after="0" w:line="213" w:lineRule="auto"/>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p>
      <w:pPr>
        <w:ind w:left="20"/>
        <w:spacing w:after="0" w:line="208" w:lineRule="auto"/>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p>
      <w:pPr>
        <w:ind w:left="20"/>
        <w:spacing w:after="0" w:line="208" w:lineRule="auto"/>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p>
      <w:pPr>
        <w:ind w:left="20"/>
        <w:spacing w:after="0" w:line="209" w:lineRule="auto"/>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 (3)</w:t>
      </w:r>
    </w:p>
    <w:p>
      <w:pPr>
        <w:ind w:left="20"/>
        <w:spacing w:after="0" w:line="208" w:lineRule="auto"/>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p>
      <w:pPr>
        <w:ind w:left="20"/>
        <w:spacing w:after="0"/>
        <w:rPr>
          <w:sz w:val="20"/>
          <w:szCs w:val="20"/>
          <w:color w:val="auto"/>
        </w:rPr>
      </w:pPr>
      <w:r>
        <w:rPr>
          <w:rFonts w:ascii="Arial" w:cs="Arial" w:eastAsia="Arial" w:hAnsi="Arial"/>
          <w:sz w:val="18"/>
          <w:szCs w:val="18"/>
          <w:color w:val="auto"/>
        </w:rPr>
        <w:t>Tyvyt</w:t>
      </w:r>
      <w:r>
        <w:rPr>
          <w:rFonts w:ascii="Arial" w:cs="Arial" w:eastAsia="Arial" w:hAnsi="Arial"/>
          <w:sz w:val="23"/>
          <w:szCs w:val="23"/>
          <w:color w:val="auto"/>
          <w:vertAlign w:val="superscript"/>
        </w:rPr>
        <w: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Forteo</w:t>
      </w:r>
      <w:r>
        <w:rPr>
          <w:rFonts w:ascii="Arial" w:cs="Arial" w:eastAsia="Arial" w:hAnsi="Arial"/>
          <w:sz w:val="23"/>
          <w:szCs w:val="23"/>
          <w:color w:val="auto"/>
          <w:vertAlign w:val="superscript"/>
        </w:rPr>
        <w: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Cialis</w:t>
      </w:r>
      <w:r>
        <w:rPr>
          <w:rFonts w:ascii="Arial" w:cs="Arial" w:eastAsia="Arial" w:hAnsi="Arial"/>
          <w:sz w:val="23"/>
          <w:szCs w:val="23"/>
          <w:color w:val="auto"/>
          <w:vertAlign w:val="superscript"/>
        </w:rPr>
        <w:t>®</w:t>
      </w:r>
    </w:p>
    <w:p>
      <w:pPr>
        <w:ind w:left="20"/>
        <w:spacing w:after="0" w:line="213" w:lineRule="auto"/>
        <w:rPr>
          <w:sz w:val="20"/>
          <w:szCs w:val="20"/>
          <w:color w:val="auto"/>
        </w:rPr>
      </w:pPr>
      <w:r>
        <w:rPr>
          <w:rFonts w:ascii="Arial" w:cs="Arial" w:eastAsia="Arial" w:hAnsi="Arial"/>
          <w:sz w:val="18"/>
          <w:szCs w:val="18"/>
          <w:color w:val="auto"/>
        </w:rPr>
        <w:t xml:space="preserve">Zyprexa </w:t>
      </w:r>
      <w:r>
        <w:rPr>
          <w:rFonts w:ascii="Arial" w:cs="Arial" w:eastAsia="Arial" w:hAnsi="Arial"/>
          <w:sz w:val="23"/>
          <w:szCs w:val="23"/>
          <w:color w:val="auto"/>
          <w:vertAlign w:val="superscript"/>
        </w:rPr>
        <w:t>(4)</w:t>
      </w:r>
    </w:p>
    <w:p>
      <w:pPr>
        <w:ind w:left="20"/>
        <w:spacing w:after="0" w:line="218" w:lineRule="auto"/>
        <w:rPr>
          <w:sz w:val="20"/>
          <w:szCs w:val="20"/>
          <w:color w:val="auto"/>
        </w:rPr>
      </w:pPr>
      <w:r>
        <w:rPr>
          <w:rFonts w:ascii="Arial" w:cs="Arial" w:eastAsia="Arial" w:hAnsi="Arial"/>
          <w:sz w:val="18"/>
          <w:szCs w:val="18"/>
          <w:color w:val="auto"/>
        </w:rPr>
        <w:t>Baqsimi</w:t>
      </w:r>
      <w:r>
        <w:rPr>
          <w:rFonts w:ascii="Arial" w:cs="Arial" w:eastAsia="Arial" w:hAnsi="Arial"/>
          <w:sz w:val="23"/>
          <w:szCs w:val="23"/>
          <w:color w:val="auto"/>
          <w:vertAlign w:val="superscript"/>
        </w:rPr>
        <w:t>®</w:t>
      </w:r>
    </w:p>
    <w:p>
      <w:pPr>
        <w:ind w:left="20"/>
        <w:spacing w:after="0"/>
        <w:rPr>
          <w:sz w:val="20"/>
          <w:szCs w:val="20"/>
          <w:color w:val="auto"/>
        </w:rPr>
      </w:pPr>
      <w:r>
        <w:rPr>
          <w:rFonts w:ascii="Arial" w:cs="Arial" w:eastAsia="Arial" w:hAnsi="Arial"/>
          <w:sz w:val="18"/>
          <w:szCs w:val="18"/>
          <w:color w:val="auto"/>
        </w:rPr>
        <w:t>Other products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195"/>
        </w:trPr>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320" w:type="dxa"/>
            <w:vAlign w:val="bottom"/>
          </w:tcPr>
          <w:p>
            <w:pPr>
              <w:spacing w:after="0"/>
              <w:rPr>
                <w:sz w:val="16"/>
                <w:szCs w:val="16"/>
                <w:color w:val="auto"/>
              </w:rPr>
            </w:pPr>
          </w:p>
        </w:tc>
      </w:tr>
      <w:tr>
        <w:trPr>
          <w:trHeight w:val="196"/>
        </w:trPr>
        <w:tc>
          <w:tcPr>
            <w:tcW w:w="320" w:type="dxa"/>
            <w:vAlign w:val="bottom"/>
          </w:tcPr>
          <w:p>
            <w:pPr>
              <w:spacing w:after="0"/>
              <w:rPr>
                <w:sz w:val="17"/>
                <w:szCs w:val="17"/>
                <w:color w:val="auto"/>
              </w:rPr>
            </w:pPr>
          </w:p>
        </w:tc>
        <w:tc>
          <w:tcPr>
            <w:tcW w:w="1020" w:type="dxa"/>
            <w:vAlign w:val="bottom"/>
          </w:tcPr>
          <w:p>
            <w:pPr>
              <w:jc w:val="right"/>
              <w:ind w:right="451"/>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7"/>
                <w:szCs w:val="17"/>
                <w:color w:val="auto"/>
              </w:rPr>
            </w:pPr>
          </w:p>
        </w:tc>
        <w:tc>
          <w:tcPr>
            <w:tcW w:w="1220" w:type="dxa"/>
            <w:vAlign w:val="bottom"/>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7"/>
                <w:szCs w:val="17"/>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jc w:val="center"/>
              <w:ind w:left="131"/>
              <w:spacing w:after="0"/>
              <w:rPr>
                <w:sz w:val="20"/>
                <w:szCs w:val="20"/>
                <w:color w:val="auto"/>
              </w:rPr>
            </w:pPr>
            <w:r>
              <w:rPr>
                <w:rFonts w:ascii="Arial" w:cs="Arial" w:eastAsia="Arial" w:hAnsi="Arial"/>
                <w:sz w:val="14"/>
                <w:szCs w:val="14"/>
                <w:b w:val="1"/>
                <w:bCs w:val="1"/>
                <w:color w:val="auto"/>
              </w:rPr>
              <w:t>Percent Change</w:t>
            </w:r>
          </w:p>
        </w:tc>
      </w:tr>
      <w:tr>
        <w:trPr>
          <w:trHeight w:val="257"/>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2,384.7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728.0</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3,112.7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1,409.3</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NM</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878.8</w:t>
            </w:r>
          </w:p>
        </w:tc>
        <w:tc>
          <w:tcPr>
            <w:tcW w:w="2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490.4</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1,369.3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1,040.2</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32</w:t>
            </w:r>
          </w:p>
        </w:tc>
      </w:tr>
      <w:tr>
        <w:trPr>
          <w:trHeight w:val="253"/>
        </w:trPr>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935.3</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366.0</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1,673.6</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(22)</w:t>
            </w:r>
          </w:p>
        </w:tc>
      </w:tr>
      <w:tr>
        <w:trPr>
          <w:trHeight w:val="247"/>
        </w:trPr>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1,257.8</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NM</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600.3</w:t>
            </w:r>
          </w:p>
        </w:tc>
        <w:tc>
          <w:tcPr>
            <w:tcW w:w="2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279.3</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744.2</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18</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335.9</w:t>
            </w:r>
          </w:p>
        </w:tc>
        <w:tc>
          <w:tcPr>
            <w:tcW w:w="2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350.5</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700.8</w:t>
            </w:r>
          </w:p>
        </w:tc>
        <w:tc>
          <w:tcPr>
            <w:tcW w:w="1320" w:type="dxa"/>
            <w:vAlign w:val="bottom"/>
          </w:tcPr>
          <w:p>
            <w:pPr>
              <w:jc w:val="center"/>
              <w:ind w:left="131"/>
              <w:spacing w:after="0"/>
              <w:rPr>
                <w:sz w:val="20"/>
                <w:szCs w:val="20"/>
                <w:color w:val="auto"/>
              </w:rPr>
            </w:pPr>
            <w:r>
              <w:rPr>
                <w:rFonts w:ascii="Arial" w:cs="Arial" w:eastAsia="Arial" w:hAnsi="Arial"/>
                <w:sz w:val="18"/>
                <w:szCs w:val="18"/>
                <w:color w:val="auto"/>
                <w:w w:val="99"/>
              </w:rPr>
              <w:t>(2)</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323.9</w:t>
            </w:r>
          </w:p>
        </w:tc>
        <w:tc>
          <w:tcPr>
            <w:tcW w:w="2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210.8</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395.4</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35</w:t>
            </w:r>
          </w:p>
        </w:tc>
      </w:tr>
      <w:tr>
        <w:trPr>
          <w:trHeight w:val="253"/>
        </w:trPr>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68.9</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181.8</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231.4</w:t>
            </w:r>
          </w:p>
        </w:tc>
        <w:tc>
          <w:tcPr>
            <w:tcW w:w="1320" w:type="dxa"/>
            <w:vAlign w:val="bottom"/>
          </w:tcPr>
          <w:p>
            <w:pPr>
              <w:jc w:val="center"/>
              <w:ind w:left="131"/>
              <w:spacing w:after="0"/>
              <w:rPr>
                <w:sz w:val="20"/>
                <w:szCs w:val="20"/>
                <w:color w:val="auto"/>
              </w:rPr>
            </w:pPr>
            <w:r>
              <w:rPr>
                <w:rFonts w:ascii="Arial" w:cs="Arial" w:eastAsia="Arial" w:hAnsi="Arial"/>
                <w:sz w:val="18"/>
                <w:szCs w:val="18"/>
                <w:color w:val="auto"/>
                <w:w w:val="99"/>
              </w:rPr>
              <w:t>8</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106.5</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129.4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224.1</w:t>
            </w:r>
          </w:p>
        </w:tc>
        <w:tc>
          <w:tcPr>
            <w:tcW w:w="1320" w:type="dxa"/>
            <w:vAlign w:val="bottom"/>
          </w:tcPr>
          <w:p>
            <w:pPr>
              <w:jc w:val="center"/>
              <w:ind w:left="131"/>
              <w:spacing w:after="0"/>
              <w:rPr>
                <w:sz w:val="20"/>
                <w:szCs w:val="20"/>
                <w:color w:val="auto"/>
              </w:rPr>
            </w:pPr>
            <w:r>
              <w:rPr>
                <w:rFonts w:ascii="Arial" w:cs="Arial" w:eastAsia="Arial" w:hAnsi="Arial"/>
                <w:sz w:val="18"/>
                <w:szCs w:val="18"/>
                <w:color w:val="auto"/>
                <w:w w:val="99"/>
              </w:rPr>
              <w:t>5</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149.9</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57.1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206.7</w:t>
            </w:r>
          </w:p>
        </w:tc>
        <w:tc>
          <w:tcPr>
            <w:tcW w:w="1320" w:type="dxa"/>
            <w:vAlign w:val="bottom"/>
          </w:tcPr>
          <w:p>
            <w:pPr>
              <w:jc w:val="center"/>
              <w:ind w:left="131"/>
              <w:spacing w:after="0"/>
              <w:rPr>
                <w:sz w:val="20"/>
                <w:szCs w:val="20"/>
                <w:color w:val="auto"/>
              </w:rPr>
            </w:pPr>
            <w:r>
              <w:rPr>
                <w:rFonts w:ascii="Arial" w:cs="Arial" w:eastAsia="Arial" w:hAnsi="Arial"/>
                <w:sz w:val="18"/>
                <w:szCs w:val="18"/>
                <w:color w:val="auto"/>
                <w:w w:val="99"/>
              </w:rPr>
              <w:t>—</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141.3</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61.6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168.5</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20</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85.5</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76.2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179.6</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(10)</w:t>
            </w:r>
          </w:p>
        </w:tc>
      </w:tr>
      <w:tr>
        <w:trPr>
          <w:trHeight w:val="247"/>
        </w:trPr>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133.2</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18.7</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153.9</w:t>
            </w:r>
          </w:p>
        </w:tc>
        <w:tc>
          <w:tcPr>
            <w:tcW w:w="1320" w:type="dxa"/>
            <w:vAlign w:val="bottom"/>
          </w:tcPr>
          <w:p>
            <w:pPr>
              <w:jc w:val="center"/>
              <w:ind w:left="131"/>
              <w:spacing w:after="0"/>
              <w:rPr>
                <w:sz w:val="20"/>
                <w:szCs w:val="20"/>
                <w:color w:val="auto"/>
              </w:rPr>
            </w:pPr>
            <w:r>
              <w:rPr>
                <w:rFonts w:ascii="Arial" w:cs="Arial" w:eastAsia="Arial" w:hAnsi="Arial"/>
                <w:sz w:val="18"/>
                <w:szCs w:val="18"/>
                <w:color w:val="auto"/>
                <w:w w:val="99"/>
              </w:rPr>
              <w:t>(1)</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150.2</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30</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71.7</w:t>
            </w:r>
          </w:p>
        </w:tc>
        <w:tc>
          <w:tcPr>
            <w:tcW w:w="2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46.4</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146.4</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(19)</w:t>
            </w:r>
          </w:p>
        </w:tc>
      </w:tr>
      <w:tr>
        <w:trPr>
          <w:trHeight w:val="253"/>
        </w:trPr>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87.3</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86.8</w:t>
            </w:r>
          </w:p>
        </w:tc>
        <w:tc>
          <w:tcPr>
            <w:tcW w:w="1320" w:type="dxa"/>
            <w:vAlign w:val="bottom"/>
          </w:tcPr>
          <w:p>
            <w:pPr>
              <w:jc w:val="center"/>
              <w:ind w:left="131"/>
              <w:spacing w:after="0"/>
              <w:rPr>
                <w:sz w:val="20"/>
                <w:szCs w:val="20"/>
                <w:color w:val="auto"/>
              </w:rPr>
            </w:pPr>
            <w:r>
              <w:rPr>
                <w:rFonts w:ascii="Arial" w:cs="Arial" w:eastAsia="Arial" w:hAnsi="Arial"/>
                <w:sz w:val="18"/>
                <w:szCs w:val="18"/>
                <w:color w:val="auto"/>
                <w:w w:val="99"/>
              </w:rPr>
              <w:t>5</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29.8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1,481.4</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(98)</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8.2</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5.1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1320" w:type="dxa"/>
            <w:vAlign w:val="bottom"/>
          </w:tcPr>
          <w:p>
            <w:pPr>
              <w:jc w:val="center"/>
              <w:ind w:left="131"/>
              <w:spacing w:after="0"/>
              <w:rPr>
                <w:sz w:val="20"/>
                <w:szCs w:val="20"/>
                <w:color w:val="auto"/>
              </w:rPr>
            </w:pPr>
            <w:r>
              <w:rPr>
                <w:rFonts w:ascii="Arial" w:cs="Arial" w:eastAsia="Arial" w:hAnsi="Arial"/>
                <w:sz w:val="18"/>
                <w:szCs w:val="18"/>
                <w:color w:val="auto"/>
                <w:w w:val="99"/>
              </w:rPr>
              <w:t>2</w:t>
            </w:r>
          </w:p>
        </w:tc>
      </w:tr>
      <w:tr>
        <w:trPr>
          <w:trHeight w:val="235"/>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325.6</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356.9</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29</w:t>
            </w:r>
          </w:p>
        </w:tc>
      </w:tr>
      <w:tr>
        <w:trPr>
          <w:trHeight w:val="230"/>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7,813.6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3,625.5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11,439.1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9,498.6</w:t>
            </w:r>
          </w:p>
        </w:tc>
        <w:tc>
          <w:tcPr>
            <w:tcW w:w="1320" w:type="dxa"/>
            <w:vAlign w:val="bottom"/>
          </w:tcPr>
          <w:p>
            <w:pPr>
              <w:jc w:val="center"/>
              <w:ind w:left="151"/>
              <w:spacing w:after="0"/>
              <w:rPr>
                <w:sz w:val="20"/>
                <w:szCs w:val="20"/>
                <w:color w:val="auto"/>
              </w:rPr>
            </w:pPr>
            <w:r>
              <w:rPr>
                <w:rFonts w:ascii="Arial" w:cs="Arial" w:eastAsia="Arial" w:hAnsi="Arial"/>
                <w:sz w:val="18"/>
                <w:szCs w:val="18"/>
                <w:color w:val="auto"/>
                <w:w w:val="99"/>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-2853690</wp:posOffset>
            </wp:positionV>
            <wp:extent cx="709803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-2536825</wp:posOffset>
            </wp:positionV>
            <wp:extent cx="709803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-2193925</wp:posOffset>
            </wp:positionV>
            <wp:extent cx="709803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-1851025</wp:posOffset>
            </wp:positionV>
            <wp:extent cx="709803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-1559560</wp:posOffset>
            </wp:positionV>
            <wp:extent cx="709803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-1268095</wp:posOffset>
            </wp:positionV>
            <wp:extent cx="709803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-951230</wp:posOffset>
            </wp:positionV>
            <wp:extent cx="709803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-608330</wp:posOffset>
            </wp:positionV>
            <wp:extent cx="709803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-316865</wp:posOffset>
            </wp:positionV>
            <wp:extent cx="709803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-3179445</wp:posOffset>
            </wp:positionV>
            <wp:extent cx="709803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440" w:space="720"/>
            <w:col w:w="6920"/>
          </w:cols>
          <w:pgMar w:left="320" w:top="998" w:right="499" w:bottom="1440" w:gutter="0" w:footer="0" w:header="0"/>
          <w:type w:val="continuous"/>
        </w:sect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2"/>
        <w:spacing w:after="0" w:line="228" w:lineRule="auto"/>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ind w:left="160" w:hanging="152"/>
        <w:spacing w:after="0" w:line="204"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Zyprexa revenue includes sale of rights for the olanzapine portfolio in July 2023.</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8" w:right="499" w:bottom="1440" w:gutter="0" w:footer="0" w:header="0"/>
          <w:type w:val="continuous"/>
        </w:sectPr>
      </w:pPr>
    </w:p>
    <w:bookmarkStart w:id="42" w:name="page43"/>
    <w:bookmarkEnd w:id="42"/>
    <w:p>
      <w:pPr>
        <w:ind w:right="42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nine months ended September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4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420" w:type="dxa"/>
            <w:vAlign w:val="bottom"/>
          </w:tcPr>
          <w:p>
            <w:pPr>
              <w:spacing w:after="0"/>
              <w:rPr>
                <w:sz w:val="17"/>
                <w:szCs w:val="17"/>
                <w:color w:val="auto"/>
              </w:rPr>
            </w:pPr>
          </w:p>
        </w:tc>
      </w:tr>
      <w:tr>
        <w:trPr>
          <w:trHeight w:val="344"/>
        </w:trPr>
        <w:tc>
          <w:tcPr>
            <w:tcW w:w="4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6,318.7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1,691.3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2,957.5</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2,894.0</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1,109.3</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4,003.3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5,463.2</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(27)</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2,378.4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1,373.1</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38</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3,018.4</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3,018.4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Taltz</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1,486.7</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821.7</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17</w:t>
            </w:r>
          </w:p>
        </w:tc>
      </w:tr>
      <w:tr>
        <w:trPr>
          <w:trHeight w:val="230"/>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1,133.1</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1,009.4</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2,142.5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1,946.6</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10</w:t>
            </w: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1,096.8</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608.1</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31</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Cyramza</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329.9</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384.8</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721.1</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(1)</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159.8</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536.0</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Humulin</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472.3</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164.5</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664.0</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(4)</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Emgality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404.0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216.7</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26</w:t>
            </w:r>
          </w:p>
        </w:tc>
      </w:tr>
      <w:tr>
        <w:trPr>
          <w:trHeight w:val="229"/>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273.9</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226.1</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543.1</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(8)</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Erbitux</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408.2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Tyvyt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389.9</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279.7</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39</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Cialis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17.6</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301.0</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Forteo</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124.9</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124.4</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416.8</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(40)</w:t>
            </w: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Zyprexa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0.5</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107.0</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(93)</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Baqsimi</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23.4</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658.4</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(96)</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824.6</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1,035.8</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1,860.4</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19</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21,343.2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10,166.7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31,509.9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24,770.7</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27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2"/>
        <w:spacing w:after="0" w:line="228"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p>
    <w:p>
      <w:pPr>
        <w:ind w:left="160" w:hanging="152"/>
        <w:spacing w:after="0" w:line="204"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Zyprexa revenue includes sale of rights for the olanzapine portfolio in July 2023.</w:t>
      </w:r>
    </w:p>
    <w:p>
      <w:pPr>
        <w:spacing w:after="0" w:line="3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Mounjaro in the U.S. during the three months ended September 30, 2024 was $2.38 billion compared to $1.28 billion for the three months ended September 30, 2023, reflecting continued strong demand, increased supply and, to a lesser extent, favorable changes to estimates for rebates and discounts. Following higher wholesaler inventory levels at the end of the second quarter of 2024, sales in the U.S. for the three months ended September 30, 2024 were negatively impacted by inventory decreases in the wholesaler channel. Revenue of Mounjaro in the U.S. during the nine months ended September 30, 2024 was $6.32 billion compared to $2.73 billion for the nine months ended September 30, 2023, reflecting continued strong demand, increased supply and higher realized prices due to access and savings card dynamics, as the $25 non-covered benefit expired on June 30, 2023. Revenue outside the U.S. during the three and nine months ended September 30, 2024 was $728.0 million and $1.69 billion, respectively, compared to $132.4 million and $228.4 million during the three and nine months ended September 30, 2023, respectively, primarily driven by increased volume associated with the launch of Mounjaro Kwikpen</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xml:space="preserve"> in various markets.</w:t>
      </w:r>
    </w:p>
    <w:p>
      <w:pPr>
        <w:spacing w:after="0" w:line="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 of Trulicity decreased 26 percent and 31 percent in the U.S. during the three and nine months ended September 30, 2024, respectively, driven by decreased volume primarily due to competitive dynamics, partially offset by higher realized prices primarily due to changes to estimates for rebates and discounts. The decrease in volume in the U.S. during the nine months ended September 30, 2024 was also driven by supply constrains during the first half of 2024. Revenue outside the U.S. decreased 12 percent and 14 percent during the three and nine months ended September 30, 2024, respectively, primarily driven by decreased volume due to competitive dynamics. The decrease in volume outside the U.S. during the nine months ended September 30, 2024 was also driven by actions we have taken to manage demand.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spacing w:after="0" w:line="262" w:lineRule="auto"/>
        <w:rPr>
          <w:sz w:val="20"/>
          <w:szCs w:val="20"/>
          <w:color w:val="auto"/>
        </w:rPr>
      </w:pPr>
      <w:r>
        <w:rPr>
          <w:rFonts w:ascii="Arial" w:cs="Arial" w:eastAsia="Arial" w:hAnsi="Arial"/>
          <w:sz w:val="18"/>
          <w:szCs w:val="18"/>
          <w:color w:val="auto"/>
        </w:rPr>
        <w:t>Revenue of Verzenio increased 28 percent and 37 percent in the U.S. during the three and nine months ended September 30, 2024, respectively, primarily driven by increased demand and higher realized prices, partially offset by wholesaler buying patterns. Revenue outside of the U.S. increased 38 percent and 40 percent during the three and nine months ended September 30, 2024, respectively, primarily driven by increased demand.</w:t>
      </w:r>
    </w:p>
    <w:p>
      <w:pPr>
        <w:spacing w:after="0" w:line="6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Revenue of Zepbound in the U.S. during the three and nine months ended September 30, 2024 was $1.26 billion and $3.02 billion, respectively. Following higher wholesaler inventory levels at the end of the second quarter, sales in the U.S. for the three months ended September 30, 2024 were negatively impacted by inventory decreases in the wholesaler channel.</w:t>
      </w: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Revenue of Taltz increased 18 percent and 15 percent in the U.S. during the three and nine months ended September 30, 2024, respectively, driven by increased demand and higher realized prices, partially offset by wholesaler buying patterns. Revenue outside the U.S. increased 19 percent and 21 percent during the three and nine months ended September 30, 2024, respectively, driven by increased demand.</w:t>
      </w:r>
    </w:p>
    <w:p>
      <w:pPr>
        <w:spacing w:after="0" w:line="4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Revenue of Jardiance decreased 19 percent and was flat in the U.S. during the three and nine months ended September 30, 2024, respectively. The decrease in revenue in the U.S. for the three months ended September 30, 2024 was driven by lower realized prices, partially offset by increased demand. Revenue outside the U.S. increased 23 percent and 24 percent during the three and nine months ended September 30, 2024, respectively, driven by increased volume. See Note 4 to the consolidated condensed financial statements for information regarding our collaboration with Boehringer Ingelheim involving Jardiance.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7"/>
        </w:trPr>
        <w:tc>
          <w:tcPr>
            <w:tcW w:w="2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9,268.3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7,638.5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25,495.4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19,476.5</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6" w:lineRule="exact"/>
              <w:rPr>
                <w:sz w:val="20"/>
                <w:szCs w:val="20"/>
                <w:color w:val="auto"/>
              </w:rPr>
            </w:pPr>
            <w:r>
              <w:rPr>
                <w:rFonts w:ascii="Arial" w:cs="Arial" w:eastAsia="Arial" w:hAnsi="Arial"/>
                <w:sz w:val="18"/>
                <w:szCs w:val="18"/>
                <w:color w:val="auto"/>
              </w:rPr>
              <w:t>Gross margin as a percent of</w:t>
            </w: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81.0 %</w:t>
            </w:r>
          </w:p>
        </w:tc>
        <w:tc>
          <w:tcPr>
            <w:tcW w:w="4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80.4 %</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80.9 %</w:t>
            </w:r>
          </w:p>
        </w:tc>
        <w:tc>
          <w:tcPr>
            <w:tcW w:w="4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78.6 %</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2,734.1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2,409.1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7,968.1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6,750.7</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6" w:lineRule="exact"/>
              <w:rPr>
                <w:sz w:val="20"/>
                <w:szCs w:val="20"/>
                <w:color w:val="auto"/>
              </w:rPr>
            </w:pPr>
            <w:r>
              <w:rPr>
                <w:rFonts w:ascii="Arial" w:cs="Arial" w:eastAsia="Arial" w:hAnsi="Arial"/>
                <w:sz w:val="18"/>
                <w:szCs w:val="18"/>
                <w:color w:val="auto"/>
              </w:rPr>
              <w:t>Marketing, selling, and</w:t>
            </w:r>
          </w:p>
        </w:tc>
        <w:tc>
          <w:tcPr>
            <w:tcW w:w="260" w:type="dxa"/>
            <w:vAlign w:val="bottom"/>
          </w:tcPr>
          <w:p>
            <w:pPr>
              <w:spacing w:after="0"/>
              <w:rPr>
                <w:sz w:val="15"/>
                <w:szCs w:val="15"/>
                <w:color w:val="auto"/>
              </w:rPr>
            </w:pPr>
          </w:p>
        </w:tc>
        <w:tc>
          <w:tcPr>
            <w:tcW w:w="136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2,099.8</w:t>
            </w:r>
          </w:p>
        </w:tc>
        <w:tc>
          <w:tcPr>
            <w:tcW w:w="440" w:type="dxa"/>
            <w:vAlign w:val="bottom"/>
          </w:tcPr>
          <w:p>
            <w:pPr>
              <w:spacing w:after="0"/>
              <w:rPr>
                <w:sz w:val="15"/>
                <w:szCs w:val="15"/>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1,803.9</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16</w:t>
            </w:r>
          </w:p>
        </w:tc>
        <w:tc>
          <w:tcPr>
            <w:tcW w:w="300" w:type="dxa"/>
            <w:vAlign w:val="bottom"/>
          </w:tcPr>
          <w:p>
            <w:pPr>
              <w:spacing w:after="0"/>
              <w:rPr>
                <w:sz w:val="15"/>
                <w:szCs w:val="15"/>
                <w:color w:val="auto"/>
              </w:rPr>
            </w:pPr>
          </w:p>
        </w:tc>
        <w:tc>
          <w:tcPr>
            <w:tcW w:w="134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6,169.3</w:t>
            </w:r>
          </w:p>
        </w:tc>
        <w:tc>
          <w:tcPr>
            <w:tcW w:w="44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5,478.5</w:t>
            </w:r>
          </w:p>
        </w:tc>
        <w:tc>
          <w:tcPr>
            <w:tcW w:w="86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Acquired in-process research and</w:t>
            </w: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2,826.4</w:t>
            </w:r>
          </w:p>
        </w:tc>
        <w:tc>
          <w:tcPr>
            <w:tcW w:w="4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2,975.1</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3,091.2</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3,177.2</w:t>
            </w:r>
          </w:p>
        </w:tc>
        <w:tc>
          <w:tcPr>
            <w:tcW w:w="860" w:type="dxa"/>
            <w:vAlign w:val="bottom"/>
            <w:vMerge w:val="restart"/>
            <w:shd w:val="clear" w:color="auto" w:fill="CCEEFF"/>
          </w:tcPr>
          <w:p>
            <w:pPr>
              <w:jc w:val="center"/>
              <w:ind w:left="34"/>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(IPR&amp;D)</w:t>
            </w:r>
          </w:p>
        </w:tc>
        <w:tc>
          <w:tcPr>
            <w:tcW w:w="26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6" w:lineRule="exact"/>
              <w:rPr>
                <w:sz w:val="20"/>
                <w:szCs w:val="20"/>
                <w:color w:val="auto"/>
              </w:rPr>
            </w:pPr>
            <w:r>
              <w:rPr>
                <w:rFonts w:ascii="Arial" w:cs="Arial" w:eastAsia="Arial" w:hAnsi="Arial"/>
                <w:sz w:val="18"/>
                <w:szCs w:val="18"/>
                <w:color w:val="auto"/>
              </w:rPr>
              <w:t>Asset impairment, restructuring,</w:t>
            </w:r>
          </w:p>
        </w:tc>
        <w:tc>
          <w:tcPr>
            <w:tcW w:w="260" w:type="dxa"/>
            <w:vAlign w:val="bottom"/>
          </w:tcPr>
          <w:p>
            <w:pPr>
              <w:spacing w:after="0"/>
              <w:rPr>
                <w:sz w:val="15"/>
                <w:szCs w:val="15"/>
                <w:color w:val="auto"/>
              </w:rPr>
            </w:pPr>
          </w:p>
        </w:tc>
        <w:tc>
          <w:tcPr>
            <w:tcW w:w="136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81.6</w:t>
            </w:r>
          </w:p>
        </w:tc>
        <w:tc>
          <w:tcPr>
            <w:tcW w:w="440" w:type="dxa"/>
            <w:vAlign w:val="bottom"/>
          </w:tcPr>
          <w:p>
            <w:pPr>
              <w:spacing w:after="0"/>
              <w:rPr>
                <w:sz w:val="15"/>
                <w:szCs w:val="15"/>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tcPr>
          <w:p>
            <w:pPr>
              <w:spacing w:after="0"/>
              <w:rPr>
                <w:sz w:val="15"/>
                <w:szCs w:val="15"/>
                <w:color w:val="auto"/>
              </w:rPr>
            </w:pPr>
          </w:p>
        </w:tc>
        <w:tc>
          <w:tcPr>
            <w:tcW w:w="134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516.6</w:t>
            </w:r>
          </w:p>
        </w:tc>
        <w:tc>
          <w:tcPr>
            <w:tcW w:w="44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and other special charges</w:t>
            </w:r>
          </w:p>
        </w:tc>
        <w:tc>
          <w:tcPr>
            <w:tcW w:w="2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Other–net, (income)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(62.0)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108.5</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24.3</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9"/>
                <w:szCs w:val="19"/>
                <w:color w:val="auto"/>
              </w:rPr>
            </w:pPr>
          </w:p>
        </w:tc>
        <w:tc>
          <w:tcPr>
            <w:tcW w:w="1360" w:type="dxa"/>
            <w:vAlign w:val="bottom"/>
          </w:tcPr>
          <w:p>
            <w:pPr>
              <w:jc w:val="right"/>
              <w:ind w:right="213"/>
              <w:spacing w:after="0"/>
              <w:rPr>
                <w:sz w:val="20"/>
                <w:szCs w:val="20"/>
                <w:color w:val="auto"/>
              </w:rPr>
            </w:pPr>
            <w:r>
              <w:rPr>
                <w:rFonts w:ascii="Arial" w:cs="Arial" w:eastAsia="Arial" w:hAnsi="Arial"/>
                <w:sz w:val="18"/>
                <w:szCs w:val="18"/>
                <w:b w:val="1"/>
                <w:bCs w:val="1"/>
                <w:color w:val="auto"/>
              </w:rPr>
              <w:t>618.1</w:t>
            </w:r>
          </w:p>
        </w:tc>
        <w:tc>
          <w:tcPr>
            <w:tcW w:w="44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484.6</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300" w:type="dxa"/>
            <w:vAlign w:val="bottom"/>
          </w:tcPr>
          <w:p>
            <w:pPr>
              <w:spacing w:after="0"/>
              <w:rPr>
                <w:sz w:val="19"/>
                <w:szCs w:val="19"/>
                <w:color w:val="auto"/>
              </w:rPr>
            </w:pPr>
          </w:p>
        </w:tc>
        <w:tc>
          <w:tcPr>
            <w:tcW w:w="1340" w:type="dxa"/>
            <w:vAlign w:val="bottom"/>
          </w:tcPr>
          <w:p>
            <w:pPr>
              <w:jc w:val="right"/>
              <w:ind w:right="193"/>
              <w:spacing w:after="0"/>
              <w:rPr>
                <w:sz w:val="20"/>
                <w:szCs w:val="20"/>
                <w:color w:val="auto"/>
              </w:rPr>
            </w:pPr>
            <w:r>
              <w:rPr>
                <w:rFonts w:ascii="Arial" w:cs="Arial" w:eastAsia="Arial" w:hAnsi="Arial"/>
                <w:sz w:val="18"/>
                <w:szCs w:val="18"/>
                <w:b w:val="1"/>
                <w:bCs w:val="1"/>
                <w:color w:val="auto"/>
              </w:rPr>
              <w:t>1,461.5</w:t>
            </w:r>
          </w:p>
        </w:tc>
        <w:tc>
          <w:tcPr>
            <w:tcW w:w="4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995.1</w:t>
            </w: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38.9 %</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113.4 %</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19.1 %</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Gross margin as a percent of revenue for the three and nine months ended September 30, 2024 increased 0.6 percentage points and 2.3 percentage points compared with the three and nine months ended September 30, 2023, respectively, primarily driven by favorable product mix and higher realized prices, partially offset by the sale of rights for the olanzapine portfolio in the third quarter of 2023 and higher manufacturing costs.</w:t>
      </w:r>
    </w:p>
    <w:p>
      <w:pPr>
        <w:spacing w:after="0" w:line="6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Research and development expenses increased 13 percent and 18 percent for the three and nine months ended September 30, 2024, respectively, driven by continued investments in our early and late-stage portfolio.</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Marketing, selling, and administrative expenses increased 16 percent and 13 percent for the three and nine months ended September 30, 2024, respectively, primarily driven by promotional efforts supporting ongoing and future launches.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4" w:name="page45"/>
    <w:bookmarkEnd w:id="44"/>
    <w:p>
      <w:pPr>
        <w:ind w:right="360"/>
        <w:spacing w:after="0" w:line="291" w:lineRule="auto"/>
        <w:rPr>
          <w:sz w:val="20"/>
          <w:szCs w:val="20"/>
          <w:color w:val="auto"/>
        </w:rPr>
      </w:pPr>
      <w:r>
        <w:rPr>
          <w:rFonts w:ascii="Arial" w:cs="Arial" w:eastAsia="Arial" w:hAnsi="Arial"/>
          <w:sz w:val="17"/>
          <w:szCs w:val="17"/>
          <w:color w:val="auto"/>
        </w:rPr>
        <w:t>Acquired IPR&amp;D charges for the three and nine months ended September 30, 2024 were primarily related to the acquisition of Morphic. Acquired IPR&amp;D charges for the three and nine months ended September 30, 2023 were primarily related to the acquisitions of DICE Therapeutics, Inc., Versanis Bio, Inc., and Emergence Therapeutics AG. See Note 3 to the consolidated condensed financial statements.</w:t>
      </w:r>
    </w:p>
    <w:p>
      <w:pPr>
        <w:spacing w:after="0" w:line="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Asset impairment, restructuring, and other special charges for the three months ended September 30, 2024 were primarily related to impairment of an intangible asset associated with a molecule in development. For the nine months ended September 30, 2024 asset impairment, restructuring, and other special charges also included charges related to litigation. See Note 5 to the consolidated condensed financial statements for additional information.</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Other–net, (income) expense included net investment (gains) losses on equity securities of $(112.4) million and $29.5 million for three and nine months ended September 30, 2024, respectively, and $62.9 million and $141.5 million for three and nine months ended September 30, 2023, respectively. See Note 12 to the consolidated condensed financial statements for additional information.</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effective tax rates were 38.9 percent and 19.1 percent for the three and nine months ended September 30, 2024, respectively, and 113.4 percent and 24.6 percent for the three and nine months ended September 30, 2023, respectively, primarily driven by unfavorable tax impacts of non-deductible acquired IPR&amp;D charges, with a larger impact occurring in 2023.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16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2023.</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making investments in global facilities to manufacture existing and future products. These investments, and other capital investments that support our operations, have increased our capital expenditures and will result in higher capital expenditures over the next several years.</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we expand our manufacturing capacity in order to meet existing and expected demand of our medicines, we have entered, and expect to continue to enter, into various agreements for contract manufacturing and for supply of materials. The executed agreements could, under certain circumstances, require us to pay up to approximately $11.5 billion if we do not purchase specified amounts of goods or services primarily related to our incretin medicines over the durations of the agreements, which are generally up to 8 years.</w:t>
      </w:r>
    </w:p>
    <w:p>
      <w:pPr>
        <w:spacing w:after="0" w:line="6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 the third quarter of 2024, we acquired Morphic for approximately $2.67 billion, net of cash acquired. We funded this acquisition with proceeds from the issuance of debt. See Note 3 and Note 7 to the consolidated condensed financial statements for additional information.</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Cash and cash equivalents increased to $3.37 billion as of September 30, 2024, compared with $2.82 billion as of December 31, 2023. Refer to the consolidated condensed statements of cash flows for additional information on the significant sources and uses of cash for the nine months ended September 30, 2024 and 2023.</w:t>
      </w:r>
    </w:p>
    <w:p>
      <w:pPr>
        <w:spacing w:after="0" w:line="6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$3.35 billion and $3.16 billion as of September 30, 2024 and December 31, 2023, respectively. See Note 7 to the consolidated condensed financial statements for additional information.</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September 30, 2024, total debt was $31.12 billion, an increase of $5.89 billion compared with $25.23 billion as of December 31, 2023. In August 2024, we issued $5.00 billion of fixed-rate notes and used a portion of the net cash proceeds to fund the acquisition of Morphic and related fees and expenses, with any remaining funds used for general business purposes, including the repayment of outstanding commercial paper. In February 2024, we issued $6.50 billion of fixed-rate notes and used, or may be using, the net cash proceeds for general business purposes, including the repayment of outstanding commercial paper, repayment of current maturities of long-term debt, and repayment of the $750.0 million of fixed-rate notes due in 2026. See Note 7 to the consolidated condensed financial statements for additional information.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5" w:name="page46"/>
    <w:bookmarkEnd w:id="45"/>
    <w:p>
      <w:pPr>
        <w:ind w:right="400"/>
        <w:spacing w:after="0" w:line="268" w:lineRule="auto"/>
        <w:rPr>
          <w:sz w:val="20"/>
          <w:szCs w:val="20"/>
          <w:color w:val="auto"/>
        </w:rPr>
      </w:pPr>
      <w:r>
        <w:rPr>
          <w:rFonts w:ascii="Arial" w:cs="Arial" w:eastAsia="Arial" w:hAnsi="Arial"/>
          <w:sz w:val="18"/>
          <w:szCs w:val="18"/>
          <w:color w:val="auto"/>
        </w:rPr>
        <w:t>As of September 30, 2024, we had a total of $8.42 billion of unused committed bank credit facilities, $8.00 billion of which is available to support our commercial paper program. See Note 7 to the consolidated condensed financial statements for additional information. We believe that amounts accessible through existing commercial paper markets should be adequate to fund short-term borrowing needs.</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During the nine months ended September 30, 2024, we repurchased $521.1 million of shares under our $5.00 billion share repurchase program authorized in May 2021. As of September 30, 2024, we had $1.98 billion remaining under this program.</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During the nine months ended September 30, 2024, we paid dividends of $3.51 billion, or $3.90 per share, to our shareholders. In October 2024, we declared a dividend for the fourth quarter of 2024 of $ 1.30 per share of outstanding common stock. The dividend of approximately $1.17 billion is payable on December 10, 2024 to shareholders of record at the close of business on November 15,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Overview—Other Matters—Patent Matters" for information regarding losses of patent protection.</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fair values of equity securities.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17"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2023. See also Note 1 to the consolidated condensed financial statements. There have been no material changes to our critical accounting estimates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and our executive officers may also use social media channels to communicate with investors and the public about our business, products and other matters, and those communications could be deemed to be material information. The information contained on, or that may be accessed through, our website or our or our executive officers' social media channels, is not incorporated by reference into, and is not a part of, this Quarterly Report on Form 10-Q.</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5" w:lineRule="exact"/>
        <w:rPr>
          <w:sz w:val="20"/>
          <w:szCs w:val="20"/>
          <w:color w:val="auto"/>
        </w:rPr>
      </w:pPr>
    </w:p>
    <w:p>
      <w:pPr>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5" w:lineRule="exact"/>
        <w:rPr>
          <w:sz w:val="20"/>
          <w:szCs w:val="20"/>
          <w:color w:val="auto"/>
        </w:rPr>
      </w:pPr>
    </w:p>
    <w:p>
      <w:pPr>
        <w:ind w:left="660" w:right="80" w:hanging="652"/>
        <w:spacing w:after="0" w:line="257"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Securities and Exchange Commission (SEC)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4" w:lineRule="exact"/>
        <w:rPr>
          <w:rFonts w:ascii="Arial" w:cs="Arial" w:eastAsia="Arial" w:hAnsi="Arial"/>
          <w:sz w:val="18"/>
          <w:szCs w:val="18"/>
          <w:color w:val="auto"/>
        </w:rPr>
      </w:pPr>
    </w:p>
    <w:p>
      <w:pPr>
        <w:ind w:left="660" w:right="26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Ricks, president and chief executive officer, and Lucas Montarce, executive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2023) as of September 30, 2024, and concluded that they were effective.</w:t>
      </w:r>
    </w:p>
    <w:p>
      <w:pPr>
        <w:spacing w:after="0" w:line="44" w:lineRule="exact"/>
        <w:rPr>
          <w:rFonts w:ascii="Arial" w:cs="Arial" w:eastAsia="Arial" w:hAnsi="Arial"/>
          <w:sz w:val="17"/>
          <w:szCs w:val="17"/>
          <w:color w:val="auto"/>
        </w:rPr>
      </w:pPr>
    </w:p>
    <w:p>
      <w:pPr>
        <w:ind w:left="660" w:right="120" w:hanging="652"/>
        <w:spacing w:after="0" w:line="287"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During the third quarter of 2024,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47" w:name="page48"/>
    <w:bookmarkEnd w:id="47"/>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10 to the consolidated condensed financial statements for information on various legal proceedings.</w:t>
      </w:r>
    </w:p>
    <w:p>
      <w:pPr>
        <w:spacing w:after="0" w:line="99" w:lineRule="exact"/>
        <w:rPr>
          <w:sz w:val="20"/>
          <w:szCs w:val="20"/>
          <w:color w:val="auto"/>
        </w:rPr>
      </w:pPr>
    </w:p>
    <w:p>
      <w:pPr>
        <w:ind w:right="38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27" w:lineRule="exact"/>
        <w:rPr>
          <w:sz w:val="20"/>
          <w:szCs w:val="20"/>
          <w:color w:val="auto"/>
        </w:rPr>
      </w:pPr>
    </w:p>
    <w:p>
      <w:pPr>
        <w:ind w:right="8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December 31, 2023. There have been no material changes from the risk factors previously disclosed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September 30,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Number of Shares</w:t>
            </w: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Number of</w:t>
            </w:r>
          </w:p>
        </w:tc>
        <w:tc>
          <w:tcPr>
            <w:tcW w:w="1720" w:type="dxa"/>
            <w:vAlign w:val="bottom"/>
          </w:tcPr>
          <w:p>
            <w:pPr>
              <w:spacing w:after="0"/>
              <w:rPr>
                <w:sz w:val="12"/>
                <w:szCs w:val="12"/>
                <w:color w:val="auto"/>
              </w:rPr>
            </w:pPr>
          </w:p>
        </w:tc>
        <w:tc>
          <w:tcPr>
            <w:tcW w:w="2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Purchased as Part of</w:t>
            </w:r>
          </w:p>
        </w:tc>
        <w:tc>
          <w:tcPr>
            <w:tcW w:w="2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7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Average Price Paid</w:t>
            </w:r>
          </w:p>
        </w:tc>
        <w:tc>
          <w:tcPr>
            <w:tcW w:w="25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Publicly Announced</w:t>
            </w:r>
          </w:p>
        </w:tc>
        <w:tc>
          <w:tcPr>
            <w:tcW w:w="22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9"/>
        </w:trPr>
        <w:tc>
          <w:tcPr>
            <w:tcW w:w="2720" w:type="dxa"/>
            <w:vAlign w:val="bottom"/>
          </w:tcPr>
          <w:p>
            <w:pPr>
              <w:spacing w:after="0"/>
              <w:rPr>
                <w:sz w:val="12"/>
                <w:szCs w:val="12"/>
                <w:color w:val="auto"/>
              </w:rPr>
            </w:pPr>
          </w:p>
        </w:tc>
        <w:tc>
          <w:tcPr>
            <w:tcW w:w="20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Shares Purchased</w:t>
            </w:r>
          </w:p>
        </w:tc>
        <w:tc>
          <w:tcPr>
            <w:tcW w:w="1720" w:type="dxa"/>
            <w:vAlign w:val="bottom"/>
            <w:vMerge w:val="continue"/>
          </w:tcPr>
          <w:p>
            <w:pPr>
              <w:spacing w:after="0"/>
              <w:rPr>
                <w:sz w:val="12"/>
                <w:szCs w:val="12"/>
                <w:color w:val="auto"/>
              </w:rPr>
            </w:pPr>
          </w:p>
        </w:tc>
        <w:tc>
          <w:tcPr>
            <w:tcW w:w="25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Plans or Programs</w:t>
            </w:r>
          </w:p>
        </w:tc>
        <w:tc>
          <w:tcPr>
            <w:tcW w:w="22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5"/>
        </w:trPr>
        <w:tc>
          <w:tcPr>
            <w:tcW w:w="27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per Share</w:t>
            </w:r>
          </w:p>
        </w:tc>
        <w:tc>
          <w:tcPr>
            <w:tcW w:w="2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2024</w:t>
            </w:r>
          </w:p>
        </w:tc>
        <w:tc>
          <w:tcPr>
            <w:tcW w:w="20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August 2024</w:t>
            </w: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896.13</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1,978.9</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80" w:type="dxa"/>
            <w:vAlign w:val="bottom"/>
          </w:tcPr>
          <w:p>
            <w:pPr>
              <w:spacing w:after="0"/>
              <w:rPr>
                <w:sz w:val="20"/>
                <w:szCs w:val="20"/>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896.13</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During the three months ended September 30, 2024, we repurchased $521.1 million of shares under our $5.00 billion share repurchase program authorized in May 2021.</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September 11, 2024, Daniel Skovronsky, M.D., Ph.D., executive vice president, chief scientific officer and president, Lilly research laboratories and Lilly immunology, adopted a sales plan (Plan). The Plan was entered into during an open trading window and is intended to satisfy the affirmative defense conditions of Rule 10b5-1(c) of the Exchange Act of 1934 and our policies regarding trading in our securities. The Plan calls for the sale of up to 5,000 shares of company common stock between February 10, 2025 and September 8, 2025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38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18"/>
                <w:szCs w:val="18"/>
                <w:color w:val="auto"/>
              </w:rPr>
            </w:pPr>
          </w:p>
        </w:tc>
        <w:tc>
          <w:tcPr>
            <w:tcW w:w="9380" w:type="dxa"/>
            <w:vAlign w:val="bottom"/>
            <w:gridSpan w:val="9"/>
          </w:tcPr>
          <w:p>
            <w:pPr>
              <w:spacing w:after="0"/>
              <w:rPr>
                <w:rFonts w:ascii="Arial" w:cs="Arial" w:eastAsia="Arial" w:hAnsi="Arial"/>
                <w:sz w:val="18"/>
                <w:szCs w:val="18"/>
                <w:color w:val="0000FF"/>
              </w:rPr>
            </w:pPr>
            <w:hyperlink r:id="rId79">
              <w:r>
                <w:rPr>
                  <w:rFonts w:ascii="Arial" w:cs="Arial" w:eastAsia="Arial" w:hAnsi="Arial"/>
                  <w:sz w:val="18"/>
                  <w:szCs w:val="18"/>
                  <w:color w:val="0000FF"/>
                </w:rPr>
                <w:t>Amended Articles of Incorporation,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79">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rPr>
            </w:pPr>
            <w:hyperlink r:id="rId80">
              <w:r>
                <w:rPr>
                  <w:rFonts w:ascii="Arial" w:cs="Arial" w:eastAsia="Arial" w:hAnsi="Arial"/>
                  <w:sz w:val="18"/>
                  <w:szCs w:val="18"/>
                  <w:color w:val="0000FF"/>
                </w:rPr>
                <w:t>Bylaws, as amended, incorporated by reference to Exhibit 3.2 to the Company's Current Report on Form 8-K filed on</w:t>
              </w:r>
            </w:hyperlink>
          </w:p>
        </w:tc>
      </w:tr>
      <w:tr>
        <w:trPr>
          <w:trHeight w:val="155"/>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80">
              <w:r>
                <w:rPr>
                  <w:rFonts w:ascii="Arial" w:cs="Arial" w:eastAsia="Arial" w:hAnsi="Arial"/>
                  <w:sz w:val="18"/>
                  <w:szCs w:val="18"/>
                  <w:color w:val="0000FF"/>
                  <w:w w:val="98"/>
                </w:rPr>
                <w:t>May 4, 2022</w:t>
              </w:r>
            </w:hyperlink>
          </w:p>
        </w:tc>
        <w:tc>
          <w:tcPr>
            <w:tcW w:w="826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Rule 13a-14(a) Certification of David Ricks, Chair, President, and Chief Executive Officer*</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c>
          <w:tcPr>
            <w:tcW w:w="8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 Certification of Lucas Montarce, Executive Vice President and Chief Financial Officer*</w:t>
            </w:r>
          </w:p>
        </w:tc>
        <w:tc>
          <w:tcPr>
            <w:tcW w:w="1320" w:type="dxa"/>
            <w:vAlign w:val="bottom"/>
            <w:gridSpan w:val="3"/>
          </w:tcPr>
          <w:p>
            <w:pPr>
              <w:spacing w:after="0"/>
              <w:rPr>
                <w:sz w:val="24"/>
                <w:szCs w:val="24"/>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Section 1350 Certification*</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r>
      <w:tr>
        <w:trPr>
          <w:trHeight w:val="34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90"/>
        </w:trPr>
        <w:tc>
          <w:tcPr>
            <w:tcW w:w="184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ELI LILLY AND COMPANY</w:t>
            </w:r>
          </w:p>
        </w:tc>
        <w:tc>
          <w:tcPr>
            <w:tcW w:w="6320" w:type="dxa"/>
            <w:vAlign w:val="bottom"/>
          </w:tcPr>
          <w:p>
            <w:pPr>
              <w:spacing w:after="0"/>
              <w:rPr>
                <w:sz w:val="18"/>
                <w:szCs w:val="18"/>
                <w:color w:val="auto"/>
              </w:rPr>
            </w:pPr>
          </w:p>
        </w:tc>
      </w:tr>
      <w:tr>
        <w:trPr>
          <w:trHeight w:val="254"/>
        </w:trPr>
        <w:tc>
          <w:tcPr>
            <w:tcW w:w="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9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October 30, 2024</w:t>
            </w: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Lucas Montarce</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Lucas Montarce</w:t>
            </w:r>
          </w:p>
        </w:tc>
      </w:tr>
      <w:tr>
        <w:trPr>
          <w:trHeight w:val="229"/>
        </w:trPr>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October 30, 2024</w:t>
            </w:r>
          </w:p>
        </w:tc>
        <w:tc>
          <w:tcPr>
            <w:tcW w:w="2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Zakrowski</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Donald Zakrowski</w:t>
            </w:r>
          </w:p>
        </w:tc>
      </w:tr>
      <w:tr>
        <w:trPr>
          <w:trHeight w:val="239"/>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864"/>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500" w:type="dxa"/>
            <w:vAlign w:val="bottom"/>
            <w:gridSpan w:val="3"/>
          </w:tcPr>
          <w:p>
            <w:pPr>
              <w:jc w:val="right"/>
              <w:ind w:right="552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40"/>
          </w:cols>
          <w:pgMar w:left="320" w:top="100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17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00" w:hanging="324"/>
        <w:spacing w:after="0" w:line="268"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October 30, 2024</w:t>
            </w:r>
          </w:p>
        </w:tc>
      </w:tr>
      <w:tr>
        <w:trPr>
          <w:trHeight w:val="49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David Ricks</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Ricks</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105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EXHIBIT 31.2 Rule 13a-14(a) Certification of Lucas Montarce,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Lucas Montarce, Executive Vice President and Chief Financial Officer, certify that:</w:t>
      </w:r>
    </w:p>
    <w:p>
      <w:pPr>
        <w:spacing w:after="0" w:line="17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00" w:hanging="324"/>
        <w:spacing w:after="0" w:line="268" w:lineRule="auto"/>
        <w:tabs>
          <w:tab w:leader="none" w:pos="9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October 30, 2024</w:t>
            </w:r>
          </w:p>
        </w:tc>
      </w:tr>
      <w:tr>
        <w:trPr>
          <w:trHeight w:val="49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Lucas Montarce</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Lucas Montarce</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1147"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Quarterly Report on Form 10-Q for the quarter ended September 30, 2024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October 30, 2024</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David Ricks</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Ricks</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October 30, 2024</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Lucas Montarce</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Lucas Montarce</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5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3"/>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15" Type="http://schemas.openxmlformats.org/officeDocument/2006/relationships/hyperlink" Target="https://www.sec.gov/Archives/edgar/data/59478/000005947824000065/lly-20231231.htm" TargetMode="External"/><Relationship Id="rId79" Type="http://schemas.openxmlformats.org/officeDocument/2006/relationships/hyperlink" Target="https://www.sec.gov/Archives/edgar/data/59478/000005947822000138/articlesofincorporationlly.htm" TargetMode="External"/><Relationship Id="rId80"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2024-10-30T11:01:53Z</dcterms:created>
  <dcterms:modified xsi:type="dcterms:W3CDTF">2024-10-30T11:01:53Z</dcterms:modified>
</cp:coreProperties>
</file>