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79"/>
        <w:spacing w:after="0" w:line="222"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253365</wp:posOffset>
            </wp:positionV>
            <wp:extent cx="2442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224790</wp:posOffset>
            </wp:positionV>
            <wp:extent cx="2442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6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3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201930</wp:posOffset>
            </wp:positionV>
            <wp:extent cx="2442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ELI LILLY AND COMPANY</w:t>
      </w:r>
    </w:p>
    <w:p>
      <w:pPr>
        <w:spacing w:after="0" w:line="8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208280</wp:posOffset>
            </wp:positionV>
            <wp:extent cx="24428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960" w:type="dxa"/>
        <w:tblCellMar>
          <w:top w:w="0" w:type="dxa"/>
          <w:left w:w="0" w:type="dxa"/>
          <w:bottom w:w="0" w:type="dxa"/>
          <w:right w:w="0" w:type="dxa"/>
        </w:tblCellMar>
      </w:tblPr>
      <w:tr>
        <w:trPr>
          <w:trHeight w:val="236"/>
        </w:trPr>
        <w:tc>
          <w:tcPr>
            <w:tcW w:w="3120" w:type="dxa"/>
            <w:vAlign w:val="bottom"/>
          </w:tcPr>
          <w:p>
            <w:pPr>
              <w:jc w:val="center"/>
              <w:ind w:right="1116"/>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3440" w:type="dxa"/>
            <w:vAlign w:val="bottom"/>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9"/>
              </w:rPr>
              <w:t>001-06351</w:t>
            </w:r>
          </w:p>
        </w:tc>
        <w:tc>
          <w:tcPr>
            <w:tcW w:w="2560" w:type="dxa"/>
            <w:vAlign w:val="bottom"/>
          </w:tcPr>
          <w:p>
            <w:pPr>
              <w:jc w:val="center"/>
              <w:ind w:left="1216"/>
              <w:spacing w:after="0"/>
              <w:rPr>
                <w:sz w:val="20"/>
                <w:szCs w:val="20"/>
                <w:color w:val="auto"/>
              </w:rPr>
            </w:pPr>
            <w:r>
              <w:rPr>
                <w:rFonts w:ascii="Times New Roman" w:cs="Times New Roman" w:eastAsia="Times New Roman" w:hAnsi="Times New Roman"/>
                <w:sz w:val="18"/>
                <w:szCs w:val="18"/>
                <w:b w:val="1"/>
                <w:bCs w:val="1"/>
                <w:color w:val="auto"/>
                <w:w w:val="98"/>
              </w:rPr>
              <w:t>35-0470950</w:t>
            </w:r>
          </w:p>
        </w:tc>
      </w:tr>
      <w:tr>
        <w:trPr>
          <w:trHeight w:val="164"/>
        </w:trPr>
        <w:tc>
          <w:tcPr>
            <w:tcW w:w="3120" w:type="dxa"/>
            <w:vAlign w:val="bottom"/>
          </w:tcPr>
          <w:p>
            <w:pPr>
              <w:jc w:val="center"/>
              <w:ind w:right="1116"/>
              <w:spacing w:after="0" w:line="165" w:lineRule="exact"/>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3440" w:type="dxa"/>
            <w:vAlign w:val="bottom"/>
          </w:tcPr>
          <w:p>
            <w:pPr>
              <w:jc w:val="center"/>
              <w:ind w:right="36"/>
              <w:spacing w:after="0" w:line="165" w:lineRule="exact"/>
              <w:rPr>
                <w:sz w:val="20"/>
                <w:szCs w:val="20"/>
                <w:color w:val="auto"/>
              </w:rPr>
            </w:pPr>
            <w:r>
              <w:rPr>
                <w:rFonts w:ascii="Times New Roman" w:cs="Times New Roman" w:eastAsia="Times New Roman" w:hAnsi="Times New Roman"/>
                <w:sz w:val="16"/>
                <w:szCs w:val="16"/>
                <w:b w:val="1"/>
                <w:bCs w:val="1"/>
                <w:color w:val="auto"/>
              </w:rPr>
              <w:t>(Commission</w:t>
            </w:r>
          </w:p>
        </w:tc>
        <w:tc>
          <w:tcPr>
            <w:tcW w:w="2560" w:type="dxa"/>
            <w:vAlign w:val="bottom"/>
          </w:tcPr>
          <w:p>
            <w:pPr>
              <w:jc w:val="center"/>
              <w:ind w:left="1216"/>
              <w:spacing w:after="0" w:line="165"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3120" w:type="dxa"/>
            <w:vAlign w:val="bottom"/>
          </w:tcPr>
          <w:p>
            <w:pPr>
              <w:jc w:val="center"/>
              <w:ind w:right="1116"/>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34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2560" w:type="dxa"/>
            <w:vAlign w:val="bottom"/>
          </w:tcPr>
          <w:p>
            <w:pPr>
              <w:jc w:val="center"/>
              <w:ind w:left="121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200" w:lineRule="exact"/>
        <w:rPr>
          <w:sz w:val="24"/>
          <w:szCs w:val="24"/>
          <w:color w:val="auto"/>
        </w:rPr>
      </w:pPr>
    </w:p>
    <w:p>
      <w:pPr>
        <w:sectPr>
          <w:pgSz w:w="11900" w:h="16838" w:orient="portrait"/>
          <w:cols w:equalWidth="0" w:num="1">
            <w:col w:w="10740"/>
          </w:cols>
          <w:pgMar w:left="320" w:top="1342"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Lilly Corporate Center</w:t>
      </w:r>
    </w:p>
    <w:p>
      <w:pPr>
        <w:spacing w:after="0" w:line="3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Indianapolis, Indiana</w:t>
      </w:r>
    </w:p>
    <w:p>
      <w:pPr>
        <w:spacing w:after="0" w:line="23"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46285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95" w:lineRule="exact"/>
        <w:rPr>
          <w:sz w:val="24"/>
          <w:szCs w:val="24"/>
          <w:color w:val="auto"/>
        </w:rPr>
      </w:pPr>
    </w:p>
    <w:p>
      <w:pPr>
        <w:sectPr>
          <w:pgSz w:w="11900" w:h="16838" w:orient="portrait"/>
          <w:cols w:equalWidth="0" w:num="2">
            <w:col w:w="9180" w:space="720"/>
            <w:col w:w="840"/>
          </w:cols>
          <w:pgMar w:left="320" w:top="1342" w:right="839" w:bottom="1440" w:gutter="0" w:footer="0" w:header="0"/>
          <w:type w:val="continuous"/>
        </w:sect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(317) 276-2000</w:t>
      </w:r>
    </w:p>
    <w:p>
      <w:pPr>
        <w:spacing w:after="0" w:line="264"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0740"/>
          </w:cols>
          <w:pgMar w:left="320" w:top="1342" w:right="839" w:bottom="1440" w:gutter="0" w:footer="0" w:header="0"/>
          <w:type w:val="continuous"/>
        </w:sectPr>
      </w:pPr>
    </w:p>
    <w:p>
      <w:pPr>
        <w:spacing w:after="0" w:line="264"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w:t>
      </w:r>
    </w:p>
    <w:p>
      <w:pPr>
        <w:spacing w:after="0" w:line="67" w:lineRule="exact"/>
        <w:rPr>
          <w:sz w:val="24"/>
          <w:szCs w:val="24"/>
          <w:color w:val="auto"/>
        </w:rPr>
      </w:pPr>
    </w:p>
    <w:p>
      <w:pPr>
        <w:ind w:left="940" w:hanging="914"/>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920" w:hanging="874"/>
        <w:spacing w:after="0"/>
        <w:tabs>
          <w:tab w:leader="none" w:pos="9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920" w:hanging="881"/>
        <w:spacing w:after="0"/>
        <w:tabs>
          <w:tab w:leader="none" w:pos="9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847"/>
        <w:spacing w:after="0"/>
        <w:tabs>
          <w:tab w:leader="none" w:pos="9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342"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6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1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LLY</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1.625% Notes due 2026</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LLY26</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2.125% Notes due 2030</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LLY30</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0.625% Notes due 2031</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LLY31</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0.500% Notes due 2033</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LLY33</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6.77% Notes due 2036</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LLY36</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0"/>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1.625% Notes due 2043</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LLY43</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1.700% Notes due 2049</w:t>
            </w:r>
          </w:p>
        </w:tc>
        <w:tc>
          <w:tcPr>
            <w:tcW w:w="31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LLY49A</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9"/>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1.125% Notes due 2051</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LLY51</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1.375% Notes due 2061</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LLY61</w:t>
            </w:r>
          </w:p>
        </w:tc>
        <w:tc>
          <w:tcPr>
            <w:tcW w:w="436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9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1024255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is being furnished and shall not be deemed “filed” for the purposes of Section 18 of the Securities Exchange Act of 1934 (the “Exchange Act”), or otherwise subject to the liabilities of that Section and shall not be incorporated by reference into any registration statement or other document filed pursuant to the Securities Act of 1933 or the Exchange Act, except as otherwise expressly stated in such filing.</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Attached hereto as Exhibit 99.1 and incorporated by reference into this Item 2.02 is a copy of the press release, dated April 30, 2026, announcing the financial results of Eli Lilly and Company for the quarter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2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380" w:type="dxa"/>
            <w:vAlign w:val="bottom"/>
          </w:tcPr>
          <w:p>
            <w:pPr>
              <w:spacing w:after="0"/>
              <w:rPr>
                <w:sz w:val="18"/>
                <w:szCs w:val="18"/>
                <w:color w:val="auto"/>
              </w:rPr>
            </w:pPr>
          </w:p>
        </w:tc>
        <w:tc>
          <w:tcPr>
            <w:tcW w:w="62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0000FF"/>
              </w:rPr>
              <w:t>Press Release of Eli Lilly and Company, dated April 30, 2026.</w:t>
            </w:r>
          </w:p>
        </w:tc>
      </w:tr>
      <w:tr>
        <w:trPr>
          <w:trHeight w:val="20"/>
        </w:trPr>
        <w:tc>
          <w:tcPr>
            <w:tcW w:w="3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8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7153910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ELI LILLY AND COMPANY</w:t>
      </w:r>
    </w:p>
    <w:p>
      <w:pPr>
        <w:spacing w:after="0" w:line="5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(Registrant)</w:t>
      </w:r>
    </w:p>
    <w:p>
      <w:pPr>
        <w:spacing w:after="0" w:line="252" w:lineRule="exact"/>
        <w:rPr>
          <w:sz w:val="20"/>
          <w:szCs w:val="20"/>
          <w:color w:val="auto"/>
        </w:rPr>
      </w:pPr>
    </w:p>
    <w:tbl>
      <w:tblPr>
        <w:tblLayout w:type="fixed"/>
        <w:tblInd w:w="5680" w:type="dxa"/>
        <w:tblCellMar>
          <w:top w:w="0" w:type="dxa"/>
          <w:left w:w="0" w:type="dxa"/>
          <w:bottom w:w="0" w:type="dxa"/>
          <w:right w:w="0" w:type="dxa"/>
        </w:tblCellMar>
      </w:tblPr>
      <w:tr>
        <w:trPr>
          <w:trHeight w:val="25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Donald A. Zakrowski</w:t>
            </w:r>
          </w:p>
        </w:tc>
      </w:tr>
      <w:tr>
        <w:trPr>
          <w:trHeight w:val="24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A. Zakrowski</w:t>
            </w:r>
          </w:p>
        </w:tc>
      </w:tr>
      <w:tr>
        <w:trPr>
          <w:trHeight w:val="2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and</w:t>
            </w:r>
          </w:p>
        </w:tc>
      </w:tr>
      <w:tr>
        <w:trPr>
          <w:trHeight w:val="234"/>
        </w:trPr>
        <w:tc>
          <w:tcPr>
            <w:tcW w:w="10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30, 2026</w:t>
            </w:r>
          </w:p>
        </w:tc>
      </w:tr>
    </w:tbl>
    <w:p>
      <w:pPr>
        <w:sectPr>
          <w:pgSz w:w="11900" w:h="16838" w:orient="portrait"/>
          <w:cols w:equalWidth="0" w:num="1">
            <w:col w:w="11240"/>
          </w:cols>
          <w:pgMar w:left="320" w:top="113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6380480</wp:posOffset>
            </wp:positionH>
            <wp:positionV relativeFrom="page">
              <wp:posOffset>88900</wp:posOffset>
            </wp:positionV>
            <wp:extent cx="96012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60120" cy="60007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For release:</w:t>
      </w:r>
      <w:r>
        <w:rPr>
          <w:sz w:val="20"/>
          <w:szCs w:val="20"/>
          <w:color w:val="auto"/>
        </w:rPr>
        <w:tab/>
      </w:r>
      <w:r>
        <w:rPr>
          <w:rFonts w:ascii="Arial" w:cs="Arial" w:eastAsia="Arial" w:hAnsi="Arial"/>
          <w:sz w:val="18"/>
          <w:szCs w:val="18"/>
          <w:color w:val="auto"/>
        </w:rPr>
        <w:t>Immediately</w:t>
      </w:r>
    </w:p>
    <w:p>
      <w:pPr>
        <w:spacing w:after="0" w:line="2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Refer to:</w:t>
      </w:r>
      <w:r>
        <w:rPr>
          <w:sz w:val="20"/>
          <w:szCs w:val="20"/>
          <w:color w:val="auto"/>
        </w:rPr>
        <w:tab/>
      </w:r>
      <w:r>
        <w:rPr>
          <w:rFonts w:ascii="Arial" w:cs="Arial" w:eastAsia="Arial" w:hAnsi="Arial"/>
          <w:sz w:val="17"/>
          <w:szCs w:val="17"/>
          <w:color w:val="auto"/>
        </w:rPr>
        <w:t>Ashley Hennessey; gentry_ashley_jo@lilly.com; (317) 416-4363 (Media)</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Mike Czapar; czapar_michael_c@lilly.com; (317) 617-0983 (Investors)</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Lilly reports first-quarter 2026 financial results, raises full year guidance, and highlights momentum of new medicines</w:t>
      </w:r>
    </w:p>
    <w:p>
      <w:pPr>
        <w:spacing w:after="0" w:line="254" w:lineRule="exact"/>
        <w:rPr>
          <w:sz w:val="20"/>
          <w:szCs w:val="20"/>
          <w:color w:val="auto"/>
        </w:rPr>
      </w:pPr>
    </w:p>
    <w:p>
      <w:pPr>
        <w:ind w:left="660" w:right="140" w:hanging="328"/>
        <w:spacing w:after="0" w:line="285" w:lineRule="auto"/>
        <w:tabs>
          <w:tab w:leader="none" w:pos="655" w:val="left"/>
        </w:tabs>
        <w:numPr>
          <w:ilvl w:val="0"/>
          <w:numId w:val="2"/>
        </w:numPr>
        <w:rPr>
          <w:rFonts w:ascii="Arial" w:cs="Arial" w:eastAsia="Arial" w:hAnsi="Arial"/>
          <w:sz w:val="18"/>
          <w:szCs w:val="18"/>
          <w:i w:val="1"/>
          <w:iCs w:val="1"/>
          <w:color w:val="212121"/>
        </w:rPr>
      </w:pPr>
      <w:r>
        <w:rPr>
          <w:rFonts w:ascii="Arial" w:cs="Arial" w:eastAsia="Arial" w:hAnsi="Arial"/>
          <w:sz w:val="18"/>
          <w:szCs w:val="18"/>
          <w:i w:val="1"/>
          <w:iCs w:val="1"/>
          <w:color w:val="auto"/>
        </w:rPr>
        <w:t>Revenue in Q1 2026 increased 56% to $19.8 billion primarily driven by volume growth, partially offset by lower realized prices from Mounjaro and Zepbound</w:t>
      </w:r>
      <w:r>
        <w:rPr>
          <w:rFonts w:ascii="Arial" w:cs="Arial" w:eastAsia="Arial" w:hAnsi="Arial"/>
          <w:sz w:val="18"/>
          <w:szCs w:val="18"/>
          <w:color w:val="auto"/>
        </w:rPr>
        <w:t>.</w:t>
      </w:r>
    </w:p>
    <w:p>
      <w:pPr>
        <w:spacing w:after="0" w:line="48" w:lineRule="exact"/>
        <w:rPr>
          <w:rFonts w:ascii="Arial" w:cs="Arial" w:eastAsia="Arial" w:hAnsi="Arial"/>
          <w:sz w:val="18"/>
          <w:szCs w:val="18"/>
          <w:i w:val="1"/>
          <w:iCs w:val="1"/>
          <w:color w:val="212121"/>
        </w:rPr>
      </w:pPr>
    </w:p>
    <w:p>
      <w:pPr>
        <w:ind w:left="660" w:hanging="328"/>
        <w:spacing w:after="0" w:line="285" w:lineRule="auto"/>
        <w:tabs>
          <w:tab w:leader="none" w:pos="655" w:val="left"/>
        </w:tabs>
        <w:numPr>
          <w:ilvl w:val="0"/>
          <w:numId w:val="2"/>
        </w:numPr>
        <w:rPr>
          <w:rFonts w:ascii="Arial" w:cs="Arial" w:eastAsia="Arial" w:hAnsi="Arial"/>
          <w:sz w:val="18"/>
          <w:szCs w:val="18"/>
          <w:i w:val="1"/>
          <w:iCs w:val="1"/>
          <w:color w:val="212121"/>
        </w:rPr>
      </w:pPr>
      <w:r>
        <w:rPr>
          <w:rFonts w:ascii="Arial" w:cs="Arial" w:eastAsia="Arial" w:hAnsi="Arial"/>
          <w:sz w:val="18"/>
          <w:szCs w:val="18"/>
          <w:i w:val="1"/>
          <w:iCs w:val="1"/>
          <w:color w:val="auto"/>
        </w:rPr>
        <w:t>Q1 2026 EPS increased by 170% to $8.26 on a reported basis and increased by 156% to $8.55 on a non-GAAP basis. The Q1 2026 reported and non-GAAP EPS included $0.52 of acquired IPR&amp;D charges compared to $1.72 in Q1 2025.</w:t>
      </w:r>
    </w:p>
    <w:p>
      <w:pPr>
        <w:spacing w:after="0" w:line="48" w:lineRule="exact"/>
        <w:rPr>
          <w:rFonts w:ascii="Arial" w:cs="Arial" w:eastAsia="Arial" w:hAnsi="Arial"/>
          <w:sz w:val="18"/>
          <w:szCs w:val="18"/>
          <w:i w:val="1"/>
          <w:iCs w:val="1"/>
          <w:color w:val="212121"/>
        </w:rPr>
      </w:pPr>
    </w:p>
    <w:p>
      <w:pPr>
        <w:ind w:left="660" w:right="160" w:hanging="328"/>
        <w:spacing w:after="0" w:line="285" w:lineRule="auto"/>
        <w:tabs>
          <w:tab w:leader="none" w:pos="65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2026 full-year revenue guidance to be in the range of $82.0 billion to $85.0 billion and non-GAAP EPS guidance to be in the range of $35.50 to $37.00.</w:t>
      </w:r>
    </w:p>
    <w:p>
      <w:pPr>
        <w:spacing w:after="0" w:line="48" w:lineRule="exact"/>
        <w:rPr>
          <w:rFonts w:ascii="Arial" w:cs="Arial" w:eastAsia="Arial" w:hAnsi="Arial"/>
          <w:sz w:val="18"/>
          <w:szCs w:val="18"/>
          <w:i w:val="1"/>
          <w:iCs w:val="1"/>
          <w:color w:val="auto"/>
        </w:rPr>
      </w:pPr>
    </w:p>
    <w:p>
      <w:pPr>
        <w:ind w:left="660" w:right="20" w:hanging="328"/>
        <w:spacing w:after="0" w:line="285" w:lineRule="auto"/>
        <w:tabs>
          <w:tab w:leader="none" w:pos="65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progress included U.S. FDA approval of Foundayo (orforglipron) for adults with obesity, or overweight with weight-related medical problems.</w:t>
      </w:r>
    </w:p>
    <w:p>
      <w:pPr>
        <w:spacing w:after="0" w:line="48" w:lineRule="exact"/>
        <w:rPr>
          <w:rFonts w:ascii="Arial" w:cs="Arial" w:eastAsia="Arial" w:hAnsi="Arial"/>
          <w:sz w:val="18"/>
          <w:szCs w:val="18"/>
          <w:i w:val="1"/>
          <w:iCs w:val="1"/>
          <w:color w:val="auto"/>
        </w:rPr>
      </w:pPr>
    </w:p>
    <w:p>
      <w:pPr>
        <w:ind w:left="660" w:right="160" w:hanging="328"/>
        <w:spacing w:after="0" w:line="267" w:lineRule="auto"/>
        <w:tabs>
          <w:tab w:leader="none" w:pos="65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Pipeline progress included positive Phase 3 results from Foundayo (orforglipron) in adults with type 2 diabetes and obesity or overweight at increased cardiovascular risk, Jaypirca in combination with venetoclax and rituximab in relapsed or refractory CLL or SLL, Taltz and Zepbound used together for adults with psoriasis and obesity or overweight, and retatrutide in type 2 diabetes.</w:t>
      </w:r>
    </w:p>
    <w:p>
      <w:pPr>
        <w:spacing w:after="0" w:line="65" w:lineRule="exact"/>
        <w:rPr>
          <w:rFonts w:ascii="Arial" w:cs="Arial" w:eastAsia="Arial" w:hAnsi="Arial"/>
          <w:sz w:val="18"/>
          <w:szCs w:val="18"/>
          <w:i w:val="1"/>
          <w:iCs w:val="1"/>
          <w:color w:val="auto"/>
        </w:rPr>
      </w:pPr>
    </w:p>
    <w:p>
      <w:pPr>
        <w:ind w:left="660" w:right="440" w:hanging="328"/>
        <w:spacing w:after="0" w:line="285" w:lineRule="auto"/>
        <w:tabs>
          <w:tab w:leader="none" w:pos="655"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Business development activity included the agreements to acquire Orna Therapeutics, Centessa Pharmaceuticals plc., Kelonia Therapeutics, and Ajax Therapeutics.</w:t>
      </w:r>
    </w:p>
    <w:p>
      <w:pPr>
        <w:spacing w:after="0" w:line="48"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Company announces planned Investment Community Meeting for December 7, 2026</w:t>
      </w:r>
    </w:p>
    <w:p>
      <w:pPr>
        <w:spacing w:after="0" w:line="200" w:lineRule="exact"/>
        <w:rPr>
          <w:sz w:val="20"/>
          <w:szCs w:val="20"/>
          <w:color w:val="auto"/>
        </w:rPr>
      </w:pPr>
    </w:p>
    <w:p>
      <w:pPr>
        <w:spacing w:after="0" w:line="212" w:lineRule="exact"/>
        <w:rPr>
          <w:sz w:val="20"/>
          <w:szCs w:val="20"/>
          <w:color w:val="auto"/>
        </w:rPr>
      </w:pPr>
    </w:p>
    <w:p>
      <w:pPr>
        <w:ind w:right="280"/>
        <w:spacing w:after="0" w:line="412" w:lineRule="auto"/>
        <w:rPr>
          <w:sz w:val="20"/>
          <w:szCs w:val="20"/>
          <w:color w:val="auto"/>
        </w:rPr>
      </w:pPr>
      <w:r>
        <w:rPr>
          <w:rFonts w:ascii="Arial" w:cs="Arial" w:eastAsia="Arial" w:hAnsi="Arial"/>
          <w:sz w:val="18"/>
          <w:szCs w:val="18"/>
          <w:color w:val="auto"/>
        </w:rPr>
        <w:t>INDIANAPOLIS, April 30, 2026 - Eli Lilly and Company (NYSE: LLY) today announced its financial results for the first quarter of 2026 and provided updated 2026 financial guidance.</w:t>
      </w:r>
    </w:p>
    <w:p>
      <w:pPr>
        <w:spacing w:after="0" w:line="12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"2026 is off to a strong start, we delivered 56% revenue growth in the first quarter and raised our full-year revenue guidance by $2 billion," said David A. Ricks, Lilly chair and CEO. “A key milestone was the U.S. FDA approval of Foundayo—the only approved GLP-1 pill that can be taken any time of day, without food and water restrictions. Foundayo will meaningfully expand the number of people who can benefit from GLP-1s. We also delivered pipeline progress across all four therapeutic areas and continued investing in Lilly's future growth through four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Eli Lilly and Company </w:t>
      </w:r>
      <w:r>
        <w:rPr>
          <w:rFonts w:ascii="Arial" w:cs="Arial" w:eastAsia="Arial" w:hAnsi="Arial"/>
          <w:sz w:val="18"/>
          <w:szCs w:val="18"/>
          <w:color w:val="auto"/>
        </w:rPr>
        <w:t>| Lilly Corporate Center | Indianapolis, Indiana 46285 | U.S.A.</w:t>
      </w:r>
    </w:p>
    <w:p>
      <w:pPr>
        <w:sectPr>
          <w:pgSz w:w="11900" w:h="16838" w:orient="portrait"/>
          <w:cols w:equalWidth="0" w:num="1">
            <w:col w:w="11180"/>
          </w:cols>
          <w:pgMar w:left="320" w:top="1440" w:right="3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Results</w:t>
      </w:r>
    </w:p>
    <w:p>
      <w:pPr>
        <w:spacing w:after="0" w:line="129" w:lineRule="exact"/>
        <w:rPr>
          <w:sz w:val="20"/>
          <w:szCs w:val="20"/>
          <w:color w:val="auto"/>
        </w:rPr>
      </w:pPr>
    </w:p>
    <w:tbl>
      <w:tblPr>
        <w:tblLayout w:type="fixed"/>
        <w:tblInd w:w="550" w:type="dxa"/>
        <w:tblCellMar>
          <w:top w:w="0" w:type="dxa"/>
          <w:left w:w="0" w:type="dxa"/>
          <w:bottom w:w="0" w:type="dxa"/>
          <w:right w:w="0" w:type="dxa"/>
        </w:tblCellMar>
      </w:tblPr>
      <w:tr>
        <w:trPr>
          <w:trHeight w:val="230"/>
        </w:trPr>
        <w:tc>
          <w:tcPr>
            <w:tcW w:w="394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color w:val="auto"/>
              </w:rPr>
              <w:t>$ in millions, except</w:t>
            </w:r>
          </w:p>
        </w:tc>
        <w:tc>
          <w:tcPr>
            <w:tcW w:w="15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4"/>
            <w:vMerge w:val="restart"/>
          </w:tcPr>
          <w:p>
            <w:pPr>
              <w:jc w:val="center"/>
              <w:ind w:right="900"/>
              <w:spacing w:after="0"/>
              <w:rPr>
                <w:sz w:val="20"/>
                <w:szCs w:val="20"/>
                <w:color w:val="auto"/>
              </w:rPr>
            </w:pPr>
            <w:r>
              <w:rPr>
                <w:rFonts w:ascii="Arial" w:cs="Arial" w:eastAsia="Arial" w:hAnsi="Arial"/>
                <w:sz w:val="18"/>
                <w:szCs w:val="18"/>
                <w:color w:val="auto"/>
                <w:w w:val="99"/>
              </w:rPr>
              <w:t>First-Quarter</w:t>
            </w:r>
          </w:p>
        </w:tc>
        <w:tc>
          <w:tcPr>
            <w:tcW w:w="840" w:type="dxa"/>
            <w:vAlign w:val="bottom"/>
            <w:tcBorders>
              <w:top w:val="single" w:sz="8" w:color="auto"/>
            </w:tcBorders>
          </w:tcPr>
          <w:p>
            <w:pPr>
              <w:spacing w:after="0"/>
              <w:rPr>
                <w:sz w:val="19"/>
                <w:szCs w:val="19"/>
                <w:color w:val="auto"/>
              </w:rPr>
            </w:pPr>
          </w:p>
        </w:tc>
        <w:tc>
          <w:tcPr>
            <w:tcW w:w="2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40" w:type="dxa"/>
            <w:vAlign w:val="bottom"/>
            <w:tcBorders>
              <w:left w:val="single" w:sz="8" w:color="auto"/>
            </w:tcBorders>
          </w:tcPr>
          <w:p>
            <w:pPr>
              <w:ind w:left="20"/>
              <w:spacing w:after="0" w:line="202" w:lineRule="exact"/>
              <w:rPr>
                <w:sz w:val="20"/>
                <w:szCs w:val="20"/>
                <w:color w:val="auto"/>
              </w:rPr>
            </w:pPr>
            <w:r>
              <w:rPr>
                <w:rFonts w:ascii="Arial" w:cs="Arial" w:eastAsia="Arial" w:hAnsi="Arial"/>
                <w:sz w:val="18"/>
                <w:szCs w:val="18"/>
                <w:color w:val="auto"/>
              </w:rPr>
              <w:t>per share data</w:t>
            </w: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20" w:type="dxa"/>
            <w:vAlign w:val="bottom"/>
            <w:gridSpan w:val="4"/>
            <w:vMerge w:val="continue"/>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2026</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4"/>
              </w:rPr>
              <w:t>2025</w:t>
            </w:r>
          </w:p>
        </w:tc>
        <w:tc>
          <w:tcPr>
            <w:tcW w:w="900" w:type="dxa"/>
            <w:vAlign w:val="bottom"/>
          </w:tcPr>
          <w:p>
            <w:pPr>
              <w:spacing w:after="0"/>
              <w:rPr>
                <w:sz w:val="18"/>
                <w:szCs w:val="18"/>
                <w:color w:val="auto"/>
              </w:rPr>
            </w:pPr>
          </w:p>
        </w:tc>
        <w:tc>
          <w:tcPr>
            <w:tcW w:w="11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0"/>
        </w:trPr>
        <w:tc>
          <w:tcPr>
            <w:tcW w:w="3940" w:type="dxa"/>
            <w:vAlign w:val="bottom"/>
            <w:tcBorders>
              <w:left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Revenue</w:t>
            </w:r>
          </w:p>
        </w:tc>
        <w:tc>
          <w:tcPr>
            <w:tcW w:w="15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19,799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4"/>
          </w:tcPr>
          <w:p>
            <w:pPr>
              <w:jc w:val="right"/>
              <w:ind w:right="800"/>
              <w:spacing w:after="0"/>
              <w:rPr>
                <w:sz w:val="20"/>
                <w:szCs w:val="20"/>
                <w:color w:val="auto"/>
              </w:rPr>
            </w:pPr>
            <w:r>
              <w:rPr>
                <w:rFonts w:ascii="Arial" w:cs="Arial" w:eastAsia="Arial" w:hAnsi="Arial"/>
                <w:sz w:val="18"/>
                <w:szCs w:val="18"/>
                <w:color w:val="auto"/>
              </w:rPr>
              <w:t>12,729</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2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0"/>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Net income – Reported</w:t>
            </w:r>
          </w:p>
        </w:tc>
        <w:tc>
          <w:tcPr>
            <w:tcW w:w="1580" w:type="dxa"/>
            <w:vAlign w:val="bottom"/>
          </w:tcPr>
          <w:p>
            <w:pPr>
              <w:spacing w:after="0"/>
              <w:rPr>
                <w:sz w:val="24"/>
                <w:szCs w:val="24"/>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7,396</w:t>
            </w:r>
          </w:p>
        </w:tc>
        <w:tc>
          <w:tcPr>
            <w:tcW w:w="420" w:type="dxa"/>
            <w:vAlign w:val="bottom"/>
          </w:tcPr>
          <w:p>
            <w:pPr>
              <w:spacing w:after="0"/>
              <w:rPr>
                <w:sz w:val="24"/>
                <w:szCs w:val="24"/>
                <w:color w:val="auto"/>
              </w:rPr>
            </w:pPr>
          </w:p>
        </w:tc>
        <w:tc>
          <w:tcPr>
            <w:tcW w:w="1920" w:type="dxa"/>
            <w:vAlign w:val="bottom"/>
            <w:gridSpan w:val="4"/>
          </w:tcPr>
          <w:p>
            <w:pPr>
              <w:jc w:val="right"/>
              <w:ind w:right="800"/>
              <w:spacing w:after="0"/>
              <w:rPr>
                <w:sz w:val="20"/>
                <w:szCs w:val="20"/>
                <w:color w:val="auto"/>
              </w:rPr>
            </w:pPr>
            <w:r>
              <w:rPr>
                <w:rFonts w:ascii="Arial" w:cs="Arial" w:eastAsia="Arial" w:hAnsi="Arial"/>
                <w:sz w:val="18"/>
                <w:szCs w:val="18"/>
                <w:color w:val="auto"/>
              </w:rPr>
              <w:t>2,759</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168%</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Earnings per share – Reported</w:t>
            </w:r>
          </w:p>
        </w:tc>
        <w:tc>
          <w:tcPr>
            <w:tcW w:w="158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8.26</w:t>
            </w:r>
          </w:p>
        </w:tc>
        <w:tc>
          <w:tcPr>
            <w:tcW w:w="420" w:type="dxa"/>
            <w:vAlign w:val="bottom"/>
          </w:tcPr>
          <w:p>
            <w:pPr>
              <w:spacing w:after="0"/>
              <w:rPr>
                <w:sz w:val="20"/>
                <w:szCs w:val="20"/>
                <w:color w:val="auto"/>
              </w:rPr>
            </w:pPr>
          </w:p>
        </w:tc>
        <w:tc>
          <w:tcPr>
            <w:tcW w:w="1920" w:type="dxa"/>
            <w:vAlign w:val="bottom"/>
            <w:gridSpan w:val="4"/>
          </w:tcPr>
          <w:p>
            <w:pPr>
              <w:jc w:val="right"/>
              <w:ind w:right="800"/>
              <w:spacing w:after="0"/>
              <w:rPr>
                <w:sz w:val="20"/>
                <w:szCs w:val="20"/>
                <w:color w:val="auto"/>
              </w:rPr>
            </w:pPr>
            <w:r>
              <w:rPr>
                <w:rFonts w:ascii="Arial" w:cs="Arial" w:eastAsia="Arial" w:hAnsi="Arial"/>
                <w:sz w:val="18"/>
                <w:szCs w:val="18"/>
                <w:color w:val="auto"/>
              </w:rPr>
              <w:t>3.06</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170%</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Net income – Non-GAAP</w:t>
            </w:r>
          </w:p>
        </w:tc>
        <w:tc>
          <w:tcPr>
            <w:tcW w:w="1580" w:type="dxa"/>
            <w:vAlign w:val="bottom"/>
          </w:tcPr>
          <w:p>
            <w:pPr>
              <w:spacing w:after="0"/>
              <w:rPr>
                <w:sz w:val="24"/>
                <w:szCs w:val="24"/>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7,663</w:t>
            </w:r>
          </w:p>
        </w:tc>
        <w:tc>
          <w:tcPr>
            <w:tcW w:w="420" w:type="dxa"/>
            <w:vAlign w:val="bottom"/>
          </w:tcPr>
          <w:p>
            <w:pPr>
              <w:spacing w:after="0"/>
              <w:rPr>
                <w:sz w:val="24"/>
                <w:szCs w:val="24"/>
                <w:color w:val="auto"/>
              </w:rPr>
            </w:pPr>
          </w:p>
        </w:tc>
        <w:tc>
          <w:tcPr>
            <w:tcW w:w="1920" w:type="dxa"/>
            <w:vAlign w:val="bottom"/>
            <w:gridSpan w:val="4"/>
          </w:tcPr>
          <w:p>
            <w:pPr>
              <w:jc w:val="right"/>
              <w:ind w:right="800"/>
              <w:spacing w:after="0"/>
              <w:rPr>
                <w:sz w:val="20"/>
                <w:szCs w:val="20"/>
                <w:color w:val="auto"/>
              </w:rPr>
            </w:pPr>
            <w:r>
              <w:rPr>
                <w:rFonts w:ascii="Arial" w:cs="Arial" w:eastAsia="Arial" w:hAnsi="Arial"/>
                <w:sz w:val="18"/>
                <w:szCs w:val="18"/>
                <w:color w:val="auto"/>
              </w:rPr>
              <w:t>3,004</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155%</w:t>
            </w:r>
          </w:p>
        </w:tc>
        <w:tc>
          <w:tcPr>
            <w:tcW w:w="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Earnings per share – Non-GAAP</w:t>
            </w:r>
          </w:p>
        </w:tc>
        <w:tc>
          <w:tcPr>
            <w:tcW w:w="158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8.55</w:t>
            </w:r>
          </w:p>
        </w:tc>
        <w:tc>
          <w:tcPr>
            <w:tcW w:w="420" w:type="dxa"/>
            <w:vAlign w:val="bottom"/>
          </w:tcPr>
          <w:p>
            <w:pPr>
              <w:spacing w:after="0"/>
              <w:rPr>
                <w:sz w:val="20"/>
                <w:szCs w:val="20"/>
                <w:color w:val="auto"/>
              </w:rPr>
            </w:pPr>
          </w:p>
        </w:tc>
        <w:tc>
          <w:tcPr>
            <w:tcW w:w="1920" w:type="dxa"/>
            <w:vAlign w:val="bottom"/>
            <w:gridSpan w:val="4"/>
          </w:tcPr>
          <w:p>
            <w:pPr>
              <w:jc w:val="right"/>
              <w:ind w:right="800"/>
              <w:spacing w:after="0"/>
              <w:rPr>
                <w:sz w:val="20"/>
                <w:szCs w:val="20"/>
                <w:color w:val="auto"/>
              </w:rPr>
            </w:pPr>
            <w:r>
              <w:rPr>
                <w:rFonts w:ascii="Arial" w:cs="Arial" w:eastAsia="Arial" w:hAnsi="Arial"/>
                <w:sz w:val="18"/>
                <w:szCs w:val="18"/>
                <w:color w:val="auto"/>
              </w:rPr>
              <w:t>3.34</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156%</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940" w:type="dxa"/>
            <w:vAlign w:val="bottom"/>
            <w:tcBorders>
              <w:left w:val="single" w:sz="8" w:color="auto"/>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660"/>
        <w:spacing w:after="0" w:line="412" w:lineRule="auto"/>
        <w:rPr>
          <w:sz w:val="20"/>
          <w:szCs w:val="20"/>
          <w:color w:val="auto"/>
        </w:rPr>
      </w:pPr>
      <w:r>
        <w:rPr>
          <w:rFonts w:ascii="Arial" w:cs="Arial" w:eastAsia="Arial" w:hAnsi="Arial"/>
          <w:sz w:val="18"/>
          <w:szCs w:val="18"/>
          <w:color w:val="auto"/>
        </w:rPr>
        <w:t>A discussion of the non-GAAP financial measures is included below under "Reconciliation of GAAP Reported to Selected Non-GAAP Adjusted Information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Reported Results</w:t>
      </w:r>
    </w:p>
    <w:p>
      <w:pPr>
        <w:spacing w:after="0" w:line="117" w:lineRule="exact"/>
        <w:rPr>
          <w:sz w:val="20"/>
          <w:szCs w:val="20"/>
          <w:color w:val="auto"/>
        </w:rPr>
      </w:pPr>
    </w:p>
    <w:p>
      <w:pPr>
        <w:ind w:right="100"/>
        <w:spacing w:after="0" w:line="355" w:lineRule="auto"/>
        <w:rPr>
          <w:sz w:val="20"/>
          <w:szCs w:val="20"/>
          <w:color w:val="auto"/>
        </w:rPr>
      </w:pPr>
      <w:r>
        <w:rPr>
          <w:rFonts w:ascii="Arial" w:cs="Arial" w:eastAsia="Arial" w:hAnsi="Arial"/>
          <w:sz w:val="18"/>
          <w:szCs w:val="18"/>
          <w:color w:val="auto"/>
        </w:rPr>
        <w:t>In Q1 2026, worldwide revenue was $19.8 billion, an increase of 56% compared with Q1 2025, driven by a 65% increase in volume, partially offset by a 13% decrease due to lower realized prices. Key Products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revenue grew to $13.4 billion in Q1 2026, led by Mounjaro and Zepbound. Key Products revenue in the Immunology, Oncology, and Neuroscience therapeutic areas grew 160% in Q1 2026 compared to Q1 2025.</w:t>
      </w:r>
    </w:p>
    <w:p>
      <w:pPr>
        <w:spacing w:after="0" w:line="229" w:lineRule="exact"/>
        <w:rPr>
          <w:sz w:val="20"/>
          <w:szCs w:val="20"/>
          <w:color w:val="auto"/>
        </w:rPr>
      </w:pPr>
    </w:p>
    <w:p>
      <w:pPr>
        <w:spacing w:after="0" w:line="394" w:lineRule="auto"/>
        <w:rPr>
          <w:sz w:val="20"/>
          <w:szCs w:val="20"/>
          <w:color w:val="auto"/>
        </w:rPr>
      </w:pPr>
      <w:r>
        <w:rPr>
          <w:rFonts w:ascii="Arial" w:cs="Arial" w:eastAsia="Arial" w:hAnsi="Arial"/>
          <w:sz w:val="18"/>
          <w:szCs w:val="18"/>
          <w:color w:val="auto"/>
        </w:rPr>
        <w:t>Revenue in the U.S. increased 43% to $12.1 billion, driven by a 49% increase in volume, partially offset by a 7% decrease due to lower realized prices. The increase in U.S. volume was driven by Zepbound and Mounjaro and the decline in realized prices was primarily driven by Zepbound and Taltz.</w:t>
      </w:r>
    </w:p>
    <w:p>
      <w:pPr>
        <w:spacing w:after="0" w:line="196" w:lineRule="exact"/>
        <w:rPr>
          <w:sz w:val="20"/>
          <w:szCs w:val="20"/>
          <w:color w:val="auto"/>
        </w:rPr>
      </w:pPr>
    </w:p>
    <w:p>
      <w:pPr>
        <w:ind w:right="40"/>
        <w:spacing w:after="0" w:line="384" w:lineRule="auto"/>
        <w:rPr>
          <w:sz w:val="20"/>
          <w:szCs w:val="20"/>
          <w:color w:val="auto"/>
        </w:rPr>
      </w:pPr>
      <w:r>
        <w:rPr>
          <w:rFonts w:ascii="Arial" w:cs="Arial" w:eastAsia="Arial" w:hAnsi="Arial"/>
          <w:sz w:val="18"/>
          <w:szCs w:val="18"/>
          <w:color w:val="auto"/>
        </w:rPr>
        <w:t>Revenue outside the U.S. increased 81% to $7.7 billion, driven by a 95% increase in volume, partially offset by a 25% decrease due to lower realized prices. The lower realized prices outside the U.S. were driven primarily by the addition of Mounjaro to the National Reimbursed Drug List (NRDL) in China. The volume increase outside the U.S. was driven by Mounjaro. Jardiance revenue outside the U.S. included one-time benefits of $250 million in Q1 2026 compared to $370 million in Q1 2025, associated with the company's collaboration with Boehringer Ingelheim.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714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right="340" w:firstLine="8"/>
        <w:spacing w:after="0" w:line="222" w:lineRule="auto"/>
        <w:tabs>
          <w:tab w:leader="none" w:pos="92"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The Company currently defines Key Products as Ebglyss, Inluriyo, Jaypirca, Kisunla, Mounjaro, Omvoh, and Zepbound. Effective Q1 2026, Verzenio is excluded from Key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12121"/>
        </w:rPr>
        <w:t>2</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0"/>
          <w:szCs w:val="20"/>
          <w:color w:val="auto"/>
        </w:rPr>
      </w:pPr>
    </w:p>
    <w:p>
      <w:pPr>
        <w:ind w:right="280"/>
        <w:spacing w:after="0" w:line="412" w:lineRule="auto"/>
        <w:rPr>
          <w:sz w:val="20"/>
          <w:szCs w:val="20"/>
          <w:color w:val="auto"/>
        </w:rPr>
      </w:pPr>
      <w:r>
        <w:rPr>
          <w:rFonts w:ascii="Arial" w:cs="Arial" w:eastAsia="Arial" w:hAnsi="Arial"/>
          <w:sz w:val="18"/>
          <w:szCs w:val="18"/>
          <w:color w:val="auto"/>
        </w:rPr>
        <w:t>Gross margin increased 54% to $16.2 billion in Q1 2026. Gross margin as a percent of revenue was 81.9%, a decrease of 0.6 percentage points versus the same quarter last year. The change was primarily driven by lower realized prices.</w:t>
      </w:r>
    </w:p>
    <w:p>
      <w:pPr>
        <w:spacing w:after="0" w:line="180" w:lineRule="exact"/>
        <w:rPr>
          <w:sz w:val="20"/>
          <w:szCs w:val="20"/>
          <w:color w:val="auto"/>
        </w:rPr>
      </w:pPr>
    </w:p>
    <w:p>
      <w:pPr>
        <w:ind w:right="200"/>
        <w:spacing w:after="0" w:line="412" w:lineRule="auto"/>
        <w:rPr>
          <w:sz w:val="20"/>
          <w:szCs w:val="20"/>
          <w:color w:val="auto"/>
        </w:rPr>
      </w:pPr>
      <w:r>
        <w:rPr>
          <w:rFonts w:ascii="Arial" w:cs="Arial" w:eastAsia="Arial" w:hAnsi="Arial"/>
          <w:sz w:val="18"/>
          <w:szCs w:val="18"/>
          <w:color w:val="auto"/>
        </w:rPr>
        <w:t>In Q1 2026, research and development expenses increased 28% to $3.5 billion, or 18% of revenue, driven by continued investments in the company's early and late-stage portfolio.</w:t>
      </w:r>
    </w:p>
    <w:p>
      <w:pPr>
        <w:spacing w:after="0" w:line="180" w:lineRule="exact"/>
        <w:rPr>
          <w:sz w:val="20"/>
          <w:szCs w:val="20"/>
          <w:color w:val="auto"/>
        </w:rPr>
      </w:pPr>
    </w:p>
    <w:p>
      <w:pPr>
        <w:ind w:right="180"/>
        <w:spacing w:after="0" w:line="412" w:lineRule="auto"/>
        <w:rPr>
          <w:sz w:val="20"/>
          <w:szCs w:val="20"/>
          <w:color w:val="auto"/>
        </w:rPr>
      </w:pPr>
      <w:r>
        <w:rPr>
          <w:rFonts w:ascii="Arial" w:cs="Arial" w:eastAsia="Arial" w:hAnsi="Arial"/>
          <w:sz w:val="18"/>
          <w:szCs w:val="18"/>
          <w:color w:val="auto"/>
        </w:rPr>
        <w:t>Marketing, selling, and administrative expenses increased 19% to $2.9 billion in Q1 2026, primarily driven by promotional efforts supporting ongoing and planned launches.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Q1 2026, the company recognized acquired in-process research and development (IPR&amp;D) charges of</w:t>
      </w:r>
    </w:p>
    <w:p>
      <w:pPr>
        <w:spacing w:after="0" w:line="117" w:lineRule="exact"/>
        <w:rPr>
          <w:sz w:val="20"/>
          <w:szCs w:val="20"/>
          <w:color w:val="auto"/>
        </w:rPr>
      </w:pPr>
    </w:p>
    <w:p>
      <w:pPr>
        <w:ind w:right="80"/>
        <w:spacing w:after="0" w:line="412" w:lineRule="auto"/>
        <w:rPr>
          <w:sz w:val="20"/>
          <w:szCs w:val="20"/>
          <w:color w:val="auto"/>
        </w:rPr>
      </w:pPr>
      <w:r>
        <w:rPr>
          <w:rFonts w:ascii="Arial" w:cs="Arial" w:eastAsia="Arial" w:hAnsi="Arial"/>
          <w:sz w:val="18"/>
          <w:szCs w:val="18"/>
          <w:color w:val="auto"/>
        </w:rPr>
        <w:t>$584 million compared with $1.6 billion in Q1 2025. The Q1 2025 charges primarily related to the acquisition of Scorpion Therapeutics, Inc.'s PI3Kα inhibitor program STX-478.</w:t>
      </w:r>
    </w:p>
    <w:p>
      <w:pPr>
        <w:spacing w:after="0" w:line="180" w:lineRule="exact"/>
        <w:rPr>
          <w:sz w:val="20"/>
          <w:szCs w:val="20"/>
          <w:color w:val="auto"/>
        </w:rPr>
      </w:pPr>
    </w:p>
    <w:p>
      <w:pPr>
        <w:ind w:right="120"/>
        <w:spacing w:after="0" w:line="412" w:lineRule="auto"/>
        <w:rPr>
          <w:sz w:val="20"/>
          <w:szCs w:val="20"/>
          <w:color w:val="auto"/>
        </w:rPr>
      </w:pPr>
      <w:r>
        <w:rPr>
          <w:rFonts w:ascii="Arial" w:cs="Arial" w:eastAsia="Arial" w:hAnsi="Arial"/>
          <w:sz w:val="18"/>
          <w:szCs w:val="18"/>
          <w:color w:val="auto"/>
        </w:rPr>
        <w:t>Asset impairment, restructuring and other special charges of $279 million in Q1 2026 were primarily related to litigation matters. In Q1 2025, there was a charge of $35 million related to intangible asset impairments.</w:t>
      </w:r>
    </w:p>
    <w:p>
      <w:pPr>
        <w:spacing w:after="0" w:line="180" w:lineRule="exact"/>
        <w:rPr>
          <w:sz w:val="20"/>
          <w:szCs w:val="20"/>
          <w:color w:val="auto"/>
        </w:rPr>
      </w:pPr>
    </w:p>
    <w:p>
      <w:pPr>
        <w:ind w:right="380"/>
        <w:spacing w:after="0" w:line="394" w:lineRule="auto"/>
        <w:rPr>
          <w:sz w:val="20"/>
          <w:szCs w:val="20"/>
          <w:color w:val="auto"/>
        </w:rPr>
      </w:pPr>
      <w:r>
        <w:rPr>
          <w:rFonts w:ascii="Arial" w:cs="Arial" w:eastAsia="Arial" w:hAnsi="Arial"/>
          <w:sz w:val="18"/>
          <w:szCs w:val="18"/>
          <w:color w:val="auto"/>
        </w:rPr>
        <w:t>The effective tax rate was 16.4% in Q1 2026 compared with 20.2% in Q1 2025, primarily driven by the unfavorable tax impact of a non-deductible acquired IPR&amp;D charge in Q1 2025. The 2026 and 2025 effective tax rates were impacted by net discrete tax benefits in each period.</w:t>
      </w:r>
    </w:p>
    <w:p>
      <w:pPr>
        <w:spacing w:after="0" w:line="196" w:lineRule="exact"/>
        <w:rPr>
          <w:sz w:val="20"/>
          <w:szCs w:val="20"/>
          <w:color w:val="auto"/>
        </w:rPr>
      </w:pPr>
    </w:p>
    <w:p>
      <w:pPr>
        <w:ind w:right="40"/>
        <w:spacing w:after="0" w:line="412" w:lineRule="auto"/>
        <w:rPr>
          <w:sz w:val="20"/>
          <w:szCs w:val="20"/>
          <w:color w:val="auto"/>
        </w:rPr>
      </w:pPr>
      <w:r>
        <w:rPr>
          <w:rFonts w:ascii="Arial" w:cs="Arial" w:eastAsia="Arial" w:hAnsi="Arial"/>
          <w:sz w:val="18"/>
          <w:szCs w:val="18"/>
          <w:color w:val="auto"/>
        </w:rPr>
        <w:t>In Q1 2026, net income and earnings per share (EPS) were $7.4 billion and $8.26, respectively, compared with net income of $2.8 billion and EPS of $3.06 in Q1 2025. EPS in Q1 2026 and Q1 2025 included acquired IPR&amp;D charges of $0.52 and $1.72,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First-Quarter Non-GAAP Measures</w:t>
      </w:r>
    </w:p>
    <w:p>
      <w:pPr>
        <w:spacing w:after="0" w:line="117" w:lineRule="exact"/>
        <w:rPr>
          <w:sz w:val="20"/>
          <w:szCs w:val="20"/>
          <w:color w:val="auto"/>
        </w:rPr>
      </w:pPr>
    </w:p>
    <w:p>
      <w:pPr>
        <w:ind w:right="100"/>
        <w:spacing w:after="0" w:line="412" w:lineRule="auto"/>
        <w:rPr>
          <w:sz w:val="20"/>
          <w:szCs w:val="20"/>
          <w:color w:val="auto"/>
        </w:rPr>
      </w:pPr>
      <w:r>
        <w:rPr>
          <w:rFonts w:ascii="Arial" w:cs="Arial" w:eastAsia="Arial" w:hAnsi="Arial"/>
          <w:sz w:val="18"/>
          <w:szCs w:val="18"/>
          <w:color w:val="auto"/>
        </w:rPr>
        <w:t>On a non-GAAP basis, Q1 2026 gross margin increased 54% to $16.4 billion. Gross margin as a percent of revenue was 82.6%, a decrease of 0.9 percentage points versus the same quarter last year. The change was primarily driven by lower realized prices.</w:t>
      </w:r>
    </w:p>
    <w:p>
      <w:pPr>
        <w:spacing w:after="0" w:line="180" w:lineRule="exact"/>
        <w:rPr>
          <w:sz w:val="20"/>
          <w:szCs w:val="20"/>
          <w:color w:val="auto"/>
        </w:rPr>
      </w:pPr>
    </w:p>
    <w:p>
      <w:pPr>
        <w:jc w:val="both"/>
        <w:spacing w:after="0" w:line="394" w:lineRule="auto"/>
        <w:rPr>
          <w:sz w:val="20"/>
          <w:szCs w:val="20"/>
          <w:color w:val="auto"/>
        </w:rPr>
      </w:pPr>
      <w:r>
        <w:rPr>
          <w:rFonts w:ascii="Arial" w:cs="Arial" w:eastAsia="Arial" w:hAnsi="Arial"/>
          <w:sz w:val="18"/>
          <w:szCs w:val="18"/>
          <w:color w:val="auto"/>
        </w:rPr>
        <w:t>The non-GAAP effective tax rate was 16.5% in Q1 2026 compared with 20.2% in Q1 2025, primarily driven by the unfavorable tax impact of a non-deductible acquired IPR&amp;D charge in Q1 2025. The 2026 and 2025 effective tax rates were impacted by net discrete tax benefits in each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0"/>
          <w:szCs w:val="20"/>
          <w:color w:val="auto"/>
        </w:rPr>
      </w:pPr>
    </w:p>
    <w:p>
      <w:pPr>
        <w:spacing w:after="0" w:line="451" w:lineRule="auto"/>
        <w:rPr>
          <w:sz w:val="20"/>
          <w:szCs w:val="20"/>
          <w:color w:val="auto"/>
        </w:rPr>
      </w:pPr>
      <w:r>
        <w:rPr>
          <w:rFonts w:ascii="Arial" w:cs="Arial" w:eastAsia="Arial" w:hAnsi="Arial"/>
          <w:sz w:val="17"/>
          <w:szCs w:val="17"/>
          <w:color w:val="auto"/>
        </w:rPr>
        <w:t>On a non-GAAP basis, Q1 2026 net income and EPS were $7.7 billion and $8.55, respectively, compared with net income of $3.0 billion and EPS of $3.34 in Q1 2025. Non-GAAP EPS in Q1 2026 and Q1 2025 included acquired IPR&amp;D charges of $0.52 and $1.72, respectively.</w:t>
      </w:r>
    </w:p>
    <w:p>
      <w:pPr>
        <w:spacing w:after="0" w:line="156" w:lineRule="exact"/>
        <w:rPr>
          <w:sz w:val="20"/>
          <w:szCs w:val="20"/>
          <w:color w:val="auto"/>
        </w:rPr>
      </w:pPr>
    </w:p>
    <w:p>
      <w:pPr>
        <w:ind w:right="220"/>
        <w:spacing w:after="0" w:line="412" w:lineRule="auto"/>
        <w:rPr>
          <w:sz w:val="20"/>
          <w:szCs w:val="20"/>
          <w:color w:val="auto"/>
        </w:rPr>
      </w:pPr>
      <w:r>
        <w:rPr>
          <w:rFonts w:ascii="Arial" w:cs="Arial" w:eastAsia="Arial" w:hAnsi="Arial"/>
          <w:sz w:val="18"/>
          <w:szCs w:val="18"/>
          <w:color w:val="auto"/>
        </w:rPr>
        <w:t>For further detail on non-GAAP measures, see the reconciliation below as well as the "Reconciliation of GAAP Reported to Selected Non-GAAP Adjusted Information (Unaudited)" table later in this press release.</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120" w:type="dxa"/>
            <w:vAlign w:val="bottom"/>
            <w:tcBorders>
              <w:top w:val="single" w:sz="8" w:color="auto"/>
              <w:left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6"/>
          </w:tcPr>
          <w:p>
            <w:pPr>
              <w:jc w:val="center"/>
              <w:ind w:right="20"/>
              <w:spacing w:after="0" w:line="202" w:lineRule="exact"/>
              <w:rPr>
                <w:sz w:val="20"/>
                <w:szCs w:val="20"/>
                <w:color w:val="auto"/>
              </w:rPr>
            </w:pPr>
            <w:r>
              <w:rPr>
                <w:rFonts w:ascii="Arial" w:cs="Arial" w:eastAsia="Arial" w:hAnsi="Arial"/>
                <w:sz w:val="18"/>
                <w:szCs w:val="18"/>
                <w:color w:val="auto"/>
                <w:w w:val="99"/>
              </w:rPr>
              <w:t>First-Quarter</w:t>
            </w:r>
          </w:p>
        </w:tc>
        <w:tc>
          <w:tcPr>
            <w:tcW w:w="7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auto"/>
              <w:right w:val="single" w:sz="8" w:color="auto"/>
            </w:tcBorders>
          </w:tcPr>
          <w:p>
            <w:pPr>
              <w:spacing w:after="0"/>
              <w:rPr>
                <w:sz w:val="17"/>
                <w:szCs w:val="17"/>
                <w:color w:val="auto"/>
              </w:rPr>
            </w:pPr>
          </w:p>
        </w:tc>
      </w:tr>
      <w:tr>
        <w:trPr>
          <w:trHeight w:val="209"/>
        </w:trPr>
        <w:tc>
          <w:tcPr>
            <w:tcW w:w="5120" w:type="dxa"/>
            <w:vAlign w:val="bottom"/>
            <w:tcBorders>
              <w:lef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2026</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2025</w:t>
            </w: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 Change</w:t>
            </w:r>
          </w:p>
        </w:tc>
      </w:tr>
      <w:tr>
        <w:trPr>
          <w:trHeight w:val="258"/>
        </w:trPr>
        <w:tc>
          <w:tcPr>
            <w:tcW w:w="51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Earnings per share (reported)</w:t>
            </w: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8.26</w:t>
            </w:r>
          </w:p>
        </w:tc>
        <w:tc>
          <w:tcPr>
            <w:tcW w:w="5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6"/>
              </w:rPr>
              <w:t>3.06</w:t>
            </w:r>
          </w:p>
        </w:tc>
        <w:tc>
          <w:tcPr>
            <w:tcW w:w="720" w:type="dxa"/>
            <w:vAlign w:val="bottom"/>
          </w:tcPr>
          <w:p>
            <w:pPr>
              <w:spacing w:after="0"/>
              <w:rPr>
                <w:sz w:val="22"/>
                <w:szCs w:val="22"/>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170%</w:t>
            </w:r>
          </w:p>
        </w:tc>
        <w:tc>
          <w:tcPr>
            <w:tcW w:w="240" w:type="dxa"/>
            <w:vAlign w:val="bottom"/>
            <w:tcBorders>
              <w:right w:val="single" w:sz="8" w:color="auto"/>
            </w:tcBorders>
          </w:tcPr>
          <w:p>
            <w:pPr>
              <w:spacing w:after="0"/>
              <w:rPr>
                <w:sz w:val="22"/>
                <w:szCs w:val="22"/>
                <w:color w:val="auto"/>
              </w:rPr>
            </w:pPr>
          </w:p>
        </w:tc>
      </w:tr>
      <w:tr>
        <w:trPr>
          <w:trHeight w:val="257"/>
        </w:trPr>
        <w:tc>
          <w:tcPr>
            <w:tcW w:w="51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r>
      <w:tr>
        <w:trPr>
          <w:trHeight w:val="239"/>
        </w:trPr>
        <w:tc>
          <w:tcPr>
            <w:tcW w:w="51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66"/>
        </w:trPr>
        <w:tc>
          <w:tcPr>
            <w:tcW w:w="51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Net losses (gains) on investments in equity securities</w:t>
            </w:r>
          </w:p>
        </w:tc>
        <w:tc>
          <w:tcPr>
            <w:tcW w:w="4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w:t>
            </w: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r>
      <w:tr>
        <w:trPr>
          <w:trHeight w:val="223"/>
        </w:trPr>
        <w:tc>
          <w:tcPr>
            <w:tcW w:w="51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Earnings per share (non-GAAP)</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w:t>
            </w:r>
          </w:p>
        </w:tc>
        <w:tc>
          <w:tcPr>
            <w:tcW w:w="5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96"/>
              </w:rPr>
              <w:t>3.34</w:t>
            </w:r>
          </w:p>
        </w:tc>
        <w:tc>
          <w:tcPr>
            <w:tcW w:w="156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9"/>
              </w:rPr>
              <w:t>156%</w:t>
            </w:r>
          </w:p>
        </w:tc>
        <w:tc>
          <w:tcPr>
            <w:tcW w:w="240" w:type="dxa"/>
            <w:vAlign w:val="bottom"/>
            <w:tcBorders>
              <w:right w:val="single" w:sz="8" w:color="auto"/>
            </w:tcBorders>
          </w:tcPr>
          <w:p>
            <w:pPr>
              <w:spacing w:after="0"/>
              <w:rPr>
                <w:sz w:val="19"/>
                <w:szCs w:val="19"/>
                <w:color w:val="auto"/>
              </w:rPr>
            </w:pPr>
          </w:p>
        </w:tc>
      </w:tr>
      <w:tr>
        <w:trPr>
          <w:trHeight w:val="20"/>
        </w:trPr>
        <w:tc>
          <w:tcPr>
            <w:tcW w:w="5120" w:type="dxa"/>
            <w:vAlign w:val="bottom"/>
            <w:tcBorders>
              <w:lef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466"/>
        </w:trPr>
        <w:tc>
          <w:tcPr>
            <w:tcW w:w="5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Acquired IPR&amp;D</w:t>
            </w: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6"/>
              </w:rPr>
              <w:t>1.72</w:t>
            </w:r>
          </w:p>
        </w:tc>
        <w:tc>
          <w:tcPr>
            <w:tcW w:w="1560" w:type="dxa"/>
            <w:vAlign w:val="bottom"/>
            <w:tcBorders>
              <w:bottom w:val="single" w:sz="8" w:color="auto"/>
            </w:tcBorders>
            <w:gridSpan w:val="2"/>
          </w:tcPr>
          <w:p>
            <w:pPr>
              <w:jc w:val="center"/>
              <w:ind w:left="630"/>
              <w:spacing w:after="0"/>
              <w:rPr>
                <w:sz w:val="20"/>
                <w:szCs w:val="20"/>
                <w:color w:val="auto"/>
              </w:rPr>
            </w:pPr>
            <w:r>
              <w:rPr>
                <w:rFonts w:ascii="Arial" w:cs="Arial" w:eastAsia="Arial" w:hAnsi="Arial"/>
                <w:sz w:val="18"/>
                <w:szCs w:val="18"/>
                <w:color w:val="auto"/>
                <w:w w:val="99"/>
              </w:rPr>
              <w:t>(70)%</w:t>
            </w:r>
          </w:p>
        </w:tc>
        <w:tc>
          <w:tcPr>
            <w:tcW w:w="240" w:type="dxa"/>
            <w:vAlign w:val="bottom"/>
            <w:tcBorders>
              <w:bottom w:val="single" w:sz="8" w:color="auto"/>
              <w:right w:val="single" w:sz="8" w:color="auto"/>
            </w:tcBorders>
          </w:tcPr>
          <w:p>
            <w:pPr>
              <w:spacing w:after="0"/>
              <w:rPr>
                <w:sz w:val="24"/>
                <w:szCs w:val="24"/>
                <w:color w:val="auto"/>
              </w:rPr>
            </w:pPr>
          </w:p>
        </w:tc>
      </w:tr>
      <w:tr>
        <w:trPr>
          <w:trHeight w:val="192"/>
        </w:trPr>
        <w:tc>
          <w:tcPr>
            <w:tcW w:w="51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Numbers may not add due to rounding</w:t>
            </w:r>
          </w:p>
        </w:tc>
        <w:tc>
          <w:tcPr>
            <w:tcW w:w="4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60"/>
          </w:cols>
          <w:pgMar w:left="320" w:top="1440" w:right="4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Selected Revenue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94615</wp:posOffset>
            </wp:positionV>
            <wp:extent cx="5452110" cy="2160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16027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2640" w:type="dxa"/>
            <w:vAlign w:val="bottom"/>
          </w:tcPr>
          <w:p>
            <w:pPr>
              <w:spacing w:after="0"/>
              <w:rPr>
                <w:sz w:val="20"/>
                <w:szCs w:val="20"/>
                <w:color w:val="auto"/>
              </w:rPr>
            </w:pPr>
            <w:r>
              <w:rPr>
                <w:rFonts w:ascii="Arial" w:cs="Arial" w:eastAsia="Arial" w:hAnsi="Arial"/>
                <w:sz w:val="18"/>
                <w:szCs w:val="18"/>
                <w:i w:val="1"/>
                <w:iCs w:val="1"/>
                <w:color w:val="auto"/>
              </w:rPr>
              <w:t>(Dollars in millions)</w:t>
            </w:r>
          </w:p>
        </w:tc>
        <w:tc>
          <w:tcPr>
            <w:tcW w:w="1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gridSpan w:val="4"/>
          </w:tcPr>
          <w:p>
            <w:pPr>
              <w:jc w:val="center"/>
              <w:ind w:right="390"/>
              <w:spacing w:after="0"/>
              <w:rPr>
                <w:sz w:val="20"/>
                <w:szCs w:val="20"/>
                <w:color w:val="auto"/>
              </w:rPr>
            </w:pPr>
            <w:r>
              <w:rPr>
                <w:rFonts w:ascii="Arial" w:cs="Arial" w:eastAsia="Arial" w:hAnsi="Arial"/>
                <w:sz w:val="18"/>
                <w:szCs w:val="18"/>
                <w:color w:val="auto"/>
                <w:w w:val="99"/>
              </w:rPr>
              <w:t>First-Quarter</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90"/>
        </w:trPr>
        <w:tc>
          <w:tcPr>
            <w:tcW w:w="2640" w:type="dxa"/>
            <w:vAlign w:val="bottom"/>
          </w:tcPr>
          <w:p>
            <w:pPr>
              <w:spacing w:after="0"/>
              <w:rPr>
                <w:sz w:val="20"/>
                <w:szCs w:val="20"/>
                <w:color w:val="auto"/>
              </w:rPr>
            </w:pPr>
            <w:r>
              <w:rPr>
                <w:rFonts w:ascii="Arial" w:cs="Arial" w:eastAsia="Arial" w:hAnsi="Arial"/>
                <w:sz w:val="18"/>
                <w:szCs w:val="18"/>
                <w:b w:val="1"/>
                <w:bCs w:val="1"/>
                <w:color w:val="auto"/>
              </w:rPr>
              <w:t>Selected Products</w:t>
            </w:r>
          </w:p>
        </w:tc>
        <w:tc>
          <w:tcPr>
            <w:tcW w:w="16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4"/>
              </w:rPr>
              <w:t>2026</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4"/>
              </w:rPr>
              <w:t>2025</w:t>
            </w:r>
          </w:p>
        </w:tc>
        <w:tc>
          <w:tcPr>
            <w:tcW w:w="480" w:type="dxa"/>
            <w:vAlign w:val="bottom"/>
          </w:tcPr>
          <w:p>
            <w:pPr>
              <w:spacing w:after="0"/>
              <w:rPr>
                <w:sz w:val="24"/>
                <w:szCs w:val="24"/>
                <w:color w:val="auto"/>
              </w:rPr>
            </w:pPr>
          </w:p>
        </w:tc>
        <w:tc>
          <w:tcPr>
            <w:tcW w:w="11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 Change</w:t>
            </w:r>
          </w:p>
        </w:tc>
      </w:tr>
      <w:tr>
        <w:trPr>
          <w:trHeight w:val="242"/>
        </w:trPr>
        <w:tc>
          <w:tcPr>
            <w:tcW w:w="2640" w:type="dxa"/>
            <w:vAlign w:val="bottom"/>
          </w:tcPr>
          <w:p>
            <w:pPr>
              <w:ind w:left="220"/>
              <w:spacing w:after="0"/>
              <w:rPr>
                <w:sz w:val="20"/>
                <w:szCs w:val="20"/>
                <w:color w:val="auto"/>
              </w:rPr>
            </w:pPr>
            <w:r>
              <w:rPr>
                <w:rFonts w:ascii="Arial" w:cs="Arial" w:eastAsia="Arial" w:hAnsi="Arial"/>
                <w:sz w:val="18"/>
                <w:szCs w:val="18"/>
                <w:color w:val="auto"/>
              </w:rPr>
              <w:t>Mounjaro</w:t>
            </w:r>
          </w:p>
        </w:tc>
        <w:tc>
          <w:tcPr>
            <w:tcW w:w="1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spacing w:after="0"/>
              <w:rPr>
                <w:sz w:val="21"/>
                <w:szCs w:val="21"/>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8,662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80" w:type="dxa"/>
            <w:vAlign w:val="bottom"/>
            <w:gridSpan w:val="2"/>
          </w:tcPr>
          <w:p>
            <w:pPr>
              <w:jc w:val="right"/>
              <w:ind w:right="190"/>
              <w:spacing w:after="0"/>
              <w:rPr>
                <w:sz w:val="20"/>
                <w:szCs w:val="20"/>
                <w:color w:val="auto"/>
              </w:rPr>
            </w:pPr>
            <w:r>
              <w:rPr>
                <w:rFonts w:ascii="Arial" w:cs="Arial" w:eastAsia="Arial" w:hAnsi="Arial"/>
                <w:sz w:val="18"/>
                <w:szCs w:val="18"/>
                <w:color w:val="auto"/>
              </w:rPr>
              <w:t>3,842</w:t>
            </w:r>
          </w:p>
        </w:tc>
        <w:tc>
          <w:tcPr>
            <w:tcW w:w="280" w:type="dxa"/>
            <w:vAlign w:val="bottom"/>
          </w:tcPr>
          <w:p>
            <w:pPr>
              <w:spacing w:after="0"/>
              <w:rPr>
                <w:sz w:val="21"/>
                <w:szCs w:val="21"/>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125%</w:t>
            </w:r>
          </w:p>
        </w:tc>
      </w:tr>
      <w:tr>
        <w:trPr>
          <w:trHeight w:val="232"/>
        </w:trPr>
        <w:tc>
          <w:tcPr>
            <w:tcW w:w="2640" w:type="dxa"/>
            <w:vAlign w:val="bottom"/>
          </w:tcPr>
          <w:p>
            <w:pPr>
              <w:ind w:left="220"/>
              <w:spacing w:after="0" w:line="232" w:lineRule="exact"/>
              <w:rPr>
                <w:sz w:val="20"/>
                <w:szCs w:val="20"/>
                <w:color w:val="auto"/>
              </w:rPr>
            </w:pPr>
            <w:r>
              <w:rPr>
                <w:rFonts w:ascii="Arial" w:cs="Arial" w:eastAsia="Arial" w:hAnsi="Arial"/>
                <w:sz w:val="18"/>
                <w:szCs w:val="18"/>
                <w:color w:val="auto"/>
              </w:rPr>
              <w:t>Zepbound</w:t>
            </w:r>
            <w:r>
              <w:rPr>
                <w:rFonts w:ascii="Arial" w:cs="Arial" w:eastAsia="Arial" w:hAnsi="Arial"/>
                <w:sz w:val="23"/>
                <w:szCs w:val="23"/>
                <w:color w:val="auto"/>
                <w:vertAlign w:val="superscript"/>
              </w:rPr>
              <w:t>(1)</w:t>
            </w:r>
          </w:p>
        </w:tc>
        <w:tc>
          <w:tcPr>
            <w:tcW w:w="160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4,160</w:t>
            </w:r>
          </w:p>
        </w:tc>
        <w:tc>
          <w:tcPr>
            <w:tcW w:w="280" w:type="dxa"/>
            <w:vAlign w:val="bottom"/>
          </w:tcPr>
          <w:p>
            <w:pPr>
              <w:spacing w:after="0"/>
              <w:rPr>
                <w:sz w:val="20"/>
                <w:szCs w:val="20"/>
                <w:color w:val="auto"/>
              </w:rPr>
            </w:pPr>
          </w:p>
        </w:tc>
        <w:tc>
          <w:tcPr>
            <w:tcW w:w="1560" w:type="dxa"/>
            <w:vAlign w:val="bottom"/>
            <w:gridSpan w:val="5"/>
          </w:tcPr>
          <w:p>
            <w:pPr>
              <w:jc w:val="right"/>
              <w:ind w:right="190"/>
              <w:spacing w:after="0"/>
              <w:rPr>
                <w:sz w:val="20"/>
                <w:szCs w:val="20"/>
                <w:color w:val="auto"/>
              </w:rPr>
            </w:pPr>
            <w:r>
              <w:rPr>
                <w:rFonts w:ascii="Arial" w:cs="Arial" w:eastAsia="Arial" w:hAnsi="Arial"/>
                <w:sz w:val="18"/>
                <w:szCs w:val="18"/>
                <w:color w:val="auto"/>
              </w:rPr>
              <w:t>2,312</w:t>
            </w:r>
          </w:p>
        </w:tc>
        <w:tc>
          <w:tcPr>
            <w:tcW w:w="11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80%</w:t>
            </w:r>
          </w:p>
        </w:tc>
      </w:tr>
      <w:tr>
        <w:trPr>
          <w:trHeight w:val="229"/>
        </w:trPr>
        <w:tc>
          <w:tcPr>
            <w:tcW w:w="2640" w:type="dxa"/>
            <w:vAlign w:val="bottom"/>
          </w:tcPr>
          <w:p>
            <w:pPr>
              <w:ind w:left="220"/>
              <w:spacing w:after="0"/>
              <w:rPr>
                <w:sz w:val="20"/>
                <w:szCs w:val="20"/>
                <w:color w:val="auto"/>
              </w:rPr>
            </w:pPr>
            <w:r>
              <w:rPr>
                <w:rFonts w:ascii="Arial" w:cs="Arial" w:eastAsia="Arial" w:hAnsi="Arial"/>
                <w:sz w:val="18"/>
                <w:szCs w:val="18"/>
                <w:color w:val="auto"/>
              </w:rPr>
              <w:t>Jaypirca</w:t>
            </w:r>
          </w:p>
        </w:tc>
        <w:tc>
          <w:tcPr>
            <w:tcW w:w="160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9"/>
                <w:szCs w:val="19"/>
                <w:color w:val="auto"/>
              </w:rPr>
            </w:pPr>
          </w:p>
        </w:tc>
        <w:tc>
          <w:tcPr>
            <w:tcW w:w="1560" w:type="dxa"/>
            <w:vAlign w:val="bottom"/>
            <w:gridSpan w:val="5"/>
          </w:tcPr>
          <w:p>
            <w:pPr>
              <w:jc w:val="right"/>
              <w:ind w:right="190"/>
              <w:spacing w:after="0"/>
              <w:rPr>
                <w:sz w:val="20"/>
                <w:szCs w:val="20"/>
                <w:color w:val="auto"/>
              </w:rPr>
            </w:pPr>
            <w:r>
              <w:rPr>
                <w:rFonts w:ascii="Arial" w:cs="Arial" w:eastAsia="Arial" w:hAnsi="Arial"/>
                <w:sz w:val="18"/>
                <w:szCs w:val="18"/>
                <w:color w:val="auto"/>
              </w:rPr>
              <w:t>92</w:t>
            </w:r>
          </w:p>
        </w:tc>
        <w:tc>
          <w:tcPr>
            <w:tcW w:w="11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79%</w:t>
            </w:r>
          </w:p>
        </w:tc>
      </w:tr>
      <w:tr>
        <w:trPr>
          <w:trHeight w:val="230"/>
        </w:trPr>
        <w:tc>
          <w:tcPr>
            <w:tcW w:w="2640" w:type="dxa"/>
            <w:vAlign w:val="bottom"/>
          </w:tcPr>
          <w:p>
            <w:pPr>
              <w:ind w:left="220"/>
              <w:spacing w:after="0"/>
              <w:rPr>
                <w:sz w:val="20"/>
                <w:szCs w:val="20"/>
                <w:color w:val="auto"/>
              </w:rPr>
            </w:pPr>
            <w:r>
              <w:rPr>
                <w:rFonts w:ascii="Arial" w:cs="Arial" w:eastAsia="Arial" w:hAnsi="Arial"/>
                <w:sz w:val="18"/>
                <w:szCs w:val="18"/>
                <w:color w:val="auto"/>
              </w:rPr>
              <w:t>Ebglyss</w:t>
            </w:r>
          </w:p>
        </w:tc>
        <w:tc>
          <w:tcPr>
            <w:tcW w:w="160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9"/>
                <w:szCs w:val="19"/>
                <w:color w:val="auto"/>
              </w:rPr>
            </w:pPr>
          </w:p>
        </w:tc>
        <w:tc>
          <w:tcPr>
            <w:tcW w:w="1560" w:type="dxa"/>
            <w:vAlign w:val="bottom"/>
            <w:gridSpan w:val="5"/>
          </w:tcPr>
          <w:p>
            <w:pPr>
              <w:jc w:val="right"/>
              <w:ind w:right="190"/>
              <w:spacing w:after="0"/>
              <w:rPr>
                <w:sz w:val="20"/>
                <w:szCs w:val="20"/>
                <w:color w:val="auto"/>
              </w:rPr>
            </w:pPr>
            <w:r>
              <w:rPr>
                <w:rFonts w:ascii="Arial" w:cs="Arial" w:eastAsia="Arial" w:hAnsi="Arial"/>
                <w:sz w:val="18"/>
                <w:szCs w:val="18"/>
                <w:color w:val="auto"/>
              </w:rPr>
              <w:t>60</w:t>
            </w:r>
          </w:p>
        </w:tc>
        <w:tc>
          <w:tcPr>
            <w:tcW w:w="11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141%</w:t>
            </w:r>
          </w:p>
        </w:tc>
      </w:tr>
      <w:tr>
        <w:trPr>
          <w:trHeight w:val="229"/>
        </w:trPr>
        <w:tc>
          <w:tcPr>
            <w:tcW w:w="2640" w:type="dxa"/>
            <w:vAlign w:val="bottom"/>
          </w:tcPr>
          <w:p>
            <w:pPr>
              <w:ind w:left="220"/>
              <w:spacing w:after="0"/>
              <w:rPr>
                <w:sz w:val="20"/>
                <w:szCs w:val="20"/>
                <w:color w:val="auto"/>
              </w:rPr>
            </w:pPr>
            <w:r>
              <w:rPr>
                <w:rFonts w:ascii="Arial" w:cs="Arial" w:eastAsia="Arial" w:hAnsi="Arial"/>
                <w:sz w:val="18"/>
                <w:szCs w:val="18"/>
                <w:color w:val="auto"/>
              </w:rPr>
              <w:t>Kisunla</w:t>
            </w:r>
          </w:p>
        </w:tc>
        <w:tc>
          <w:tcPr>
            <w:tcW w:w="160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19"/>
                <w:szCs w:val="19"/>
                <w:color w:val="auto"/>
              </w:rPr>
            </w:pPr>
          </w:p>
        </w:tc>
        <w:tc>
          <w:tcPr>
            <w:tcW w:w="1560" w:type="dxa"/>
            <w:vAlign w:val="bottom"/>
            <w:gridSpan w:val="5"/>
          </w:tcPr>
          <w:p>
            <w:pPr>
              <w:jc w:val="right"/>
              <w:ind w:right="19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29"/>
        </w:trPr>
        <w:tc>
          <w:tcPr>
            <w:tcW w:w="2640" w:type="dxa"/>
            <w:vAlign w:val="bottom"/>
          </w:tcPr>
          <w:p>
            <w:pPr>
              <w:ind w:left="220"/>
              <w:spacing w:after="0"/>
              <w:rPr>
                <w:sz w:val="20"/>
                <w:szCs w:val="20"/>
                <w:color w:val="auto"/>
              </w:rPr>
            </w:pPr>
            <w:r>
              <w:rPr>
                <w:rFonts w:ascii="Arial" w:cs="Arial" w:eastAsia="Arial" w:hAnsi="Arial"/>
                <w:sz w:val="18"/>
                <w:szCs w:val="18"/>
                <w:color w:val="auto"/>
              </w:rPr>
              <w:t>Omvoh</w:t>
            </w:r>
          </w:p>
        </w:tc>
        <w:tc>
          <w:tcPr>
            <w:tcW w:w="160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1560" w:type="dxa"/>
            <w:vAlign w:val="bottom"/>
            <w:gridSpan w:val="5"/>
          </w:tcPr>
          <w:p>
            <w:pPr>
              <w:jc w:val="right"/>
              <w:ind w:right="190"/>
              <w:spacing w:after="0"/>
              <w:rPr>
                <w:sz w:val="20"/>
                <w:szCs w:val="20"/>
                <w:color w:val="auto"/>
              </w:rPr>
            </w:pPr>
            <w:r>
              <w:rPr>
                <w:rFonts w:ascii="Arial" w:cs="Arial" w:eastAsia="Arial" w:hAnsi="Arial"/>
                <w:sz w:val="18"/>
                <w:szCs w:val="18"/>
                <w:color w:val="auto"/>
              </w:rPr>
              <w:t>37</w:t>
            </w:r>
          </w:p>
        </w:tc>
        <w:tc>
          <w:tcPr>
            <w:tcW w:w="112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115%</w:t>
            </w:r>
          </w:p>
        </w:tc>
      </w:tr>
      <w:tr>
        <w:trPr>
          <w:trHeight w:val="239"/>
        </w:trPr>
        <w:tc>
          <w:tcPr>
            <w:tcW w:w="2640" w:type="dxa"/>
            <w:vAlign w:val="bottom"/>
          </w:tcPr>
          <w:p>
            <w:pPr>
              <w:ind w:left="220"/>
              <w:spacing w:after="0"/>
              <w:rPr>
                <w:sz w:val="20"/>
                <w:szCs w:val="20"/>
                <w:color w:val="auto"/>
              </w:rPr>
            </w:pPr>
            <w:r>
              <w:rPr>
                <w:rFonts w:ascii="Arial" w:cs="Arial" w:eastAsia="Arial" w:hAnsi="Arial"/>
                <w:sz w:val="18"/>
                <w:szCs w:val="18"/>
                <w:color w:val="auto"/>
              </w:rPr>
              <w:t>Inluriyo</w:t>
            </w:r>
          </w:p>
        </w:tc>
        <w:tc>
          <w:tcPr>
            <w:tcW w:w="1600" w:type="dxa"/>
            <w:vAlign w:val="bottom"/>
          </w:tcPr>
          <w:p>
            <w:pPr>
              <w:spacing w:after="0"/>
              <w:rPr>
                <w:sz w:val="20"/>
                <w:szCs w:val="20"/>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332"/>
        </w:trPr>
        <w:tc>
          <w:tcPr>
            <w:tcW w:w="26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600" w:type="dxa"/>
            <w:vAlign w:val="bottom"/>
          </w:tcPr>
          <w:p>
            <w:pPr>
              <w:spacing w:after="0"/>
              <w:rPr>
                <w:sz w:val="24"/>
                <w:szCs w:val="24"/>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19,799</w:t>
            </w:r>
          </w:p>
        </w:tc>
        <w:tc>
          <w:tcPr>
            <w:tcW w:w="280" w:type="dxa"/>
            <w:vAlign w:val="bottom"/>
          </w:tcPr>
          <w:p>
            <w:pPr>
              <w:spacing w:after="0"/>
              <w:rPr>
                <w:sz w:val="24"/>
                <w:szCs w:val="24"/>
                <w:color w:val="auto"/>
              </w:rPr>
            </w:pPr>
          </w:p>
        </w:tc>
        <w:tc>
          <w:tcPr>
            <w:tcW w:w="1560" w:type="dxa"/>
            <w:vAlign w:val="bottom"/>
            <w:gridSpan w:val="5"/>
          </w:tcPr>
          <w:p>
            <w:pPr>
              <w:jc w:val="right"/>
              <w:ind w:right="190"/>
              <w:spacing w:after="0"/>
              <w:rPr>
                <w:sz w:val="20"/>
                <w:szCs w:val="20"/>
                <w:color w:val="auto"/>
              </w:rPr>
            </w:pPr>
            <w:r>
              <w:rPr>
                <w:rFonts w:ascii="Arial" w:cs="Arial" w:eastAsia="Arial" w:hAnsi="Arial"/>
                <w:sz w:val="18"/>
                <w:szCs w:val="18"/>
                <w:color w:val="auto"/>
              </w:rPr>
              <w:t>12,729</w:t>
            </w:r>
          </w:p>
        </w:tc>
        <w:tc>
          <w:tcPr>
            <w:tcW w:w="11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56%</w:t>
            </w:r>
          </w:p>
        </w:tc>
      </w:tr>
    </w:tbl>
    <w:p>
      <w:pPr>
        <w:spacing w:after="0" w:line="52" w:lineRule="exact"/>
        <w:rPr>
          <w:sz w:val="20"/>
          <w:szCs w:val="20"/>
          <w:color w:val="auto"/>
        </w:rPr>
      </w:pPr>
    </w:p>
    <w:p>
      <w:pPr>
        <w:ind w:left="136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Tirzepatide is marketed for obesity under the brand name Zepbound in Canada, Japan, and the United States.</w:t>
      </w:r>
    </w:p>
    <w:p>
      <w:pPr>
        <w:ind w:left="1360"/>
        <w:spacing w:after="0"/>
        <w:rPr>
          <w:sz w:val="20"/>
          <w:szCs w:val="20"/>
          <w:color w:val="auto"/>
        </w:rPr>
      </w:pPr>
      <w:r>
        <w:rPr>
          <w:rFonts w:ascii="Arial" w:cs="Arial" w:eastAsia="Arial" w:hAnsi="Arial"/>
          <w:sz w:val="14"/>
          <w:szCs w:val="14"/>
          <w:color w:val="auto"/>
        </w:rPr>
        <w:t>NM - not meaningful</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Mounjaro</w:t>
      </w:r>
    </w:p>
    <w:p>
      <w:pPr>
        <w:spacing w:after="0" w:line="117" w:lineRule="exact"/>
        <w:rPr>
          <w:sz w:val="20"/>
          <w:szCs w:val="20"/>
          <w:color w:val="auto"/>
        </w:rPr>
      </w:pPr>
    </w:p>
    <w:p>
      <w:pPr>
        <w:ind w:right="40"/>
        <w:spacing w:after="0" w:line="384" w:lineRule="auto"/>
        <w:rPr>
          <w:sz w:val="20"/>
          <w:szCs w:val="20"/>
          <w:color w:val="auto"/>
        </w:rPr>
      </w:pPr>
      <w:r>
        <w:rPr>
          <w:rFonts w:ascii="Arial" w:cs="Arial" w:eastAsia="Arial" w:hAnsi="Arial"/>
          <w:sz w:val="18"/>
          <w:szCs w:val="18"/>
          <w:color w:val="auto"/>
        </w:rPr>
        <w:t>For Q1 2026, worldwide Mounjaro revenue increased 125% to $8.7 billion. U.S. revenue was $4.2 billion, an increase of 59%, reflecting strong demand, partially offset by lower realized prices. Lower realized prices were partially offset by a favorable one-time adjustment to estimates for rebates and discounts in Q1 2026. Revenue outside the U.S. increased to $4.4 billion compared with $1.2 billion in Q1 2025, primarily driven by volume growth, partially offset by lower realized prices driven by the addition of Mounjaro to the NRDL within the China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Zepbound</w:t>
      </w:r>
    </w:p>
    <w:p>
      <w:pPr>
        <w:spacing w:after="0" w:line="117" w:lineRule="exact"/>
        <w:rPr>
          <w:sz w:val="20"/>
          <w:szCs w:val="20"/>
          <w:color w:val="auto"/>
        </w:rPr>
      </w:pPr>
    </w:p>
    <w:p>
      <w:pPr>
        <w:spacing w:after="0" w:line="394" w:lineRule="auto"/>
        <w:rPr>
          <w:sz w:val="20"/>
          <w:szCs w:val="20"/>
          <w:color w:val="auto"/>
        </w:rPr>
      </w:pPr>
      <w:r>
        <w:rPr>
          <w:rFonts w:ascii="Arial" w:cs="Arial" w:eastAsia="Arial" w:hAnsi="Arial"/>
          <w:sz w:val="18"/>
          <w:szCs w:val="18"/>
          <w:color w:val="auto"/>
        </w:rPr>
        <w:t>For Q1 2026, U.S. Zepbound revenue increased 79% to $4.1 billion, compared with $2.3 billion in Q1 2025, primarily driven by strong demand, partially offset by lower realized prices, including previously announced reductions in cash pay prices. Lower realized prices were partially offset by a favorable one-time adjustment to estimates for rebates and discounts in Q1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020"/>
          </w:cols>
          <w:pgMar w:left="320" w:top="1440" w:right="55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Lilly shared numerous updates recently on key regulatory, clinical, business development and other events, including:</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2260" w:type="dxa"/>
            <w:vAlign w:val="bottom"/>
            <w:tcBorders>
              <w:top w:val="single" w:sz="8" w:color="auto"/>
              <w:left w:val="single" w:sz="8" w:color="auto"/>
              <w:right w:val="single" w:sz="8" w:color="auto"/>
            </w:tcBorders>
          </w:tcPr>
          <w:p>
            <w:pPr>
              <w:spacing w:after="0"/>
              <w:rPr>
                <w:sz w:val="17"/>
                <w:szCs w:val="17"/>
                <w:color w:val="auto"/>
              </w:rPr>
            </w:pPr>
          </w:p>
        </w:tc>
        <w:tc>
          <w:tcPr>
            <w:tcW w:w="9000" w:type="dxa"/>
            <w:vAlign w:val="bottom"/>
            <w:tcBorders>
              <w:top w:val="single" w:sz="8" w:color="auto"/>
              <w:right w:val="single" w:sz="8" w:color="auto"/>
            </w:tcBorders>
          </w:tcPr>
          <w:p>
            <w:pPr>
              <w:spacing w:after="0" w:line="197" w:lineRule="exact"/>
              <w:rPr>
                <w:sz w:val="20"/>
                <w:szCs w:val="20"/>
                <w:color w:val="auto"/>
              </w:rPr>
            </w:pPr>
            <w:r>
              <w:rPr>
                <w:rFonts w:ascii="Arial" w:cs="Arial" w:eastAsia="Arial" w:hAnsi="Arial"/>
                <w:sz w:val="18"/>
                <w:szCs w:val="18"/>
                <w:color w:val="auto"/>
              </w:rPr>
              <w:t>FDA approves Lilly's Foundayo™ (orforglipron), the only GLP-1 pill for weight loss that can be taken any time of</w:t>
            </w:r>
          </w:p>
        </w:tc>
        <w:tc>
          <w:tcPr>
            <w:tcW w:w="0" w:type="dxa"/>
            <w:vAlign w:val="bottom"/>
          </w:tcPr>
          <w:p>
            <w:pPr>
              <w:spacing w:after="0"/>
              <w:rPr>
                <w:sz w:val="1"/>
                <w:szCs w:val="1"/>
                <w:color w:val="auto"/>
              </w:rPr>
            </w:pPr>
          </w:p>
        </w:tc>
      </w:tr>
      <w:tr>
        <w:trPr>
          <w:trHeight w:val="235"/>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day without food or water restrictions (announcement)</w:t>
            </w:r>
          </w:p>
        </w:tc>
        <w:tc>
          <w:tcPr>
            <w:tcW w:w="0" w:type="dxa"/>
            <w:vAlign w:val="bottom"/>
          </w:tcPr>
          <w:p>
            <w:pPr>
              <w:spacing w:after="0"/>
              <w:rPr>
                <w:sz w:val="1"/>
                <w:szCs w:val="1"/>
                <w:color w:val="auto"/>
              </w:rPr>
            </w:pPr>
          </w:p>
        </w:tc>
      </w:tr>
      <w:tr>
        <w:trPr>
          <w:trHeight w:val="27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Regulatory</w:t>
            </w: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Lilly's Olumiant (baricitinib) recommended by CHMP for approval of expanded use in the European Union for</w:t>
            </w:r>
          </w:p>
        </w:tc>
        <w:tc>
          <w:tcPr>
            <w:tcW w:w="0" w:type="dxa"/>
            <w:vAlign w:val="bottom"/>
          </w:tcPr>
          <w:p>
            <w:pPr>
              <w:spacing w:after="0"/>
              <w:rPr>
                <w:sz w:val="1"/>
                <w:szCs w:val="1"/>
                <w:color w:val="auto"/>
              </w:rPr>
            </w:pPr>
          </w:p>
        </w:tc>
      </w:tr>
      <w:tr>
        <w:trPr>
          <w:trHeight w:val="152"/>
        </w:trPr>
        <w:tc>
          <w:tcPr>
            <w:tcW w:w="2260" w:type="dxa"/>
            <w:vAlign w:val="bottom"/>
            <w:tcBorders>
              <w:left w:val="single" w:sz="8" w:color="auto"/>
              <w:right w:val="single" w:sz="8" w:color="auto"/>
            </w:tcBorders>
            <w:vMerge w:val="continue"/>
          </w:tcPr>
          <w:p>
            <w:pPr>
              <w:spacing w:after="0"/>
              <w:rPr>
                <w:sz w:val="13"/>
                <w:szCs w:val="13"/>
                <w:color w:val="auto"/>
              </w:rPr>
            </w:pPr>
          </w:p>
        </w:tc>
        <w:tc>
          <w:tcPr>
            <w:tcW w:w="90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adolescents with severe alopecia areata (announcement)</w:t>
            </w:r>
          </w:p>
        </w:tc>
        <w:tc>
          <w:tcPr>
            <w:tcW w:w="0" w:type="dxa"/>
            <w:vAlign w:val="bottom"/>
          </w:tcPr>
          <w:p>
            <w:pPr>
              <w:spacing w:after="0"/>
              <w:rPr>
                <w:sz w:val="1"/>
                <w:szCs w:val="1"/>
                <w:color w:val="auto"/>
              </w:rPr>
            </w:pPr>
          </w:p>
        </w:tc>
      </w:tr>
      <w:tr>
        <w:trPr>
          <w:trHeight w:val="87"/>
        </w:trPr>
        <w:tc>
          <w:tcPr>
            <w:tcW w:w="2260" w:type="dxa"/>
            <w:vAlign w:val="bottom"/>
            <w:tcBorders>
              <w:left w:val="single" w:sz="8" w:color="auto"/>
              <w:right w:val="single" w:sz="8" w:color="auto"/>
            </w:tcBorders>
          </w:tcPr>
          <w:p>
            <w:pPr>
              <w:spacing w:after="0"/>
              <w:rPr>
                <w:sz w:val="7"/>
                <w:szCs w:val="7"/>
                <w:color w:val="auto"/>
              </w:rPr>
            </w:pPr>
          </w:p>
        </w:tc>
        <w:tc>
          <w:tcPr>
            <w:tcW w:w="9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260" w:type="dxa"/>
            <w:vAlign w:val="bottom"/>
            <w:tcBorders>
              <w:left w:val="single" w:sz="8" w:color="auto"/>
              <w:right w:val="single" w:sz="8" w:color="auto"/>
            </w:tcBorders>
          </w:tcPr>
          <w:p>
            <w:pPr>
              <w:spacing w:after="0"/>
              <w:rPr>
                <w:sz w:val="9"/>
                <w:szCs w:val="9"/>
                <w:color w:val="auto"/>
              </w:rPr>
            </w:pPr>
          </w:p>
        </w:tc>
        <w:tc>
          <w:tcPr>
            <w:tcW w:w="9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260" w:type="dxa"/>
            <w:vAlign w:val="bottom"/>
            <w:tcBorders>
              <w:left w:val="single" w:sz="8" w:color="auto"/>
              <w:right w:val="single" w:sz="8" w:color="auto"/>
            </w:tcBorders>
          </w:tcPr>
          <w:p>
            <w:pPr>
              <w:spacing w:after="0"/>
              <w:rPr>
                <w:sz w:val="15"/>
                <w:szCs w:val="15"/>
                <w:color w:val="auto"/>
              </w:rPr>
            </w:pPr>
          </w:p>
        </w:tc>
        <w:tc>
          <w:tcPr>
            <w:tcW w:w="900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Zepbound (tirzepatide), the most prescribed weight management medication in 2025, now available in multi-</w:t>
            </w:r>
          </w:p>
        </w:tc>
        <w:tc>
          <w:tcPr>
            <w:tcW w:w="0" w:type="dxa"/>
            <w:vAlign w:val="bottom"/>
          </w:tcPr>
          <w:p>
            <w:pPr>
              <w:spacing w:after="0"/>
              <w:rPr>
                <w:sz w:val="1"/>
                <w:szCs w:val="1"/>
                <w:color w:val="auto"/>
              </w:rPr>
            </w:pPr>
          </w:p>
        </w:tc>
      </w:tr>
      <w:tr>
        <w:trPr>
          <w:trHeight w:val="235"/>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dose KwikPen (announcement)</w:t>
            </w:r>
          </w:p>
        </w:tc>
        <w:tc>
          <w:tcPr>
            <w:tcW w:w="0" w:type="dxa"/>
            <w:vAlign w:val="bottom"/>
          </w:tcPr>
          <w:p>
            <w:pPr>
              <w:spacing w:after="0"/>
              <w:rPr>
                <w:sz w:val="1"/>
                <w:szCs w:val="1"/>
                <w:color w:val="auto"/>
              </w:rPr>
            </w:pPr>
          </w:p>
        </w:tc>
      </w:tr>
      <w:tr>
        <w:trPr>
          <w:trHeight w:val="191"/>
        </w:trPr>
        <w:tc>
          <w:tcPr>
            <w:tcW w:w="2260" w:type="dxa"/>
            <w:vAlign w:val="bottom"/>
            <w:tcBorders>
              <w:left w:val="single" w:sz="8" w:color="auto"/>
              <w:right w:val="single" w:sz="8" w:color="auto"/>
            </w:tcBorders>
          </w:tcPr>
          <w:p>
            <w:pPr>
              <w:spacing w:after="0"/>
              <w:rPr>
                <w:sz w:val="16"/>
                <w:szCs w:val="16"/>
                <w:color w:val="auto"/>
              </w:rPr>
            </w:pPr>
          </w:p>
        </w:tc>
        <w:tc>
          <w:tcPr>
            <w:tcW w:w="9000" w:type="dxa"/>
            <w:vAlign w:val="bottom"/>
            <w:tcBorders>
              <w:right w:val="single" w:sz="8" w:color="auto"/>
            </w:tcBorders>
          </w:tcPr>
          <w:p>
            <w:pPr>
              <w:spacing w:after="0" w:line="191" w:lineRule="exact"/>
              <w:rPr>
                <w:sz w:val="20"/>
                <w:szCs w:val="20"/>
                <w:color w:val="auto"/>
              </w:rPr>
            </w:pPr>
            <w:r>
              <w:rPr>
                <w:rFonts w:ascii="Arial" w:cs="Arial" w:eastAsia="Arial" w:hAnsi="Arial"/>
                <w:sz w:val="18"/>
                <w:szCs w:val="18"/>
                <w:color w:val="auto"/>
              </w:rPr>
              <w:t>ACHIEVE-4, the longest Phase 3 study of Lilly's Foundayo (orforglipron) to date, reaffirmed its cardiovascular</w:t>
            </w:r>
          </w:p>
        </w:tc>
        <w:tc>
          <w:tcPr>
            <w:tcW w:w="0" w:type="dxa"/>
            <w:vAlign w:val="bottom"/>
          </w:tcPr>
          <w:p>
            <w:pPr>
              <w:spacing w:after="0"/>
              <w:rPr>
                <w:sz w:val="1"/>
                <w:szCs w:val="1"/>
                <w:color w:val="auto"/>
              </w:rPr>
            </w:pPr>
          </w:p>
        </w:tc>
      </w:tr>
      <w:tr>
        <w:trPr>
          <w:trHeight w:val="181"/>
        </w:trPr>
        <w:tc>
          <w:tcPr>
            <w:tcW w:w="2260" w:type="dxa"/>
            <w:vAlign w:val="bottom"/>
            <w:tcBorders>
              <w:left w:val="single" w:sz="8" w:color="auto"/>
              <w:right w:val="single" w:sz="8" w:color="auto"/>
            </w:tcBorders>
          </w:tcPr>
          <w:p>
            <w:pPr>
              <w:spacing w:after="0"/>
              <w:rPr>
                <w:sz w:val="15"/>
                <w:szCs w:val="15"/>
                <w:color w:val="auto"/>
              </w:rPr>
            </w:pPr>
          </w:p>
        </w:tc>
        <w:tc>
          <w:tcPr>
            <w:tcW w:w="900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color w:val="auto"/>
              </w:rPr>
              <w:t>and overall safety profile as well as consistent improvements across key measures of cardiometabolic health</w:t>
            </w:r>
          </w:p>
        </w:tc>
        <w:tc>
          <w:tcPr>
            <w:tcW w:w="0" w:type="dxa"/>
            <w:vAlign w:val="bottom"/>
          </w:tcPr>
          <w:p>
            <w:pPr>
              <w:spacing w:after="0"/>
              <w:rPr>
                <w:sz w:val="1"/>
                <w:szCs w:val="1"/>
                <w:color w:val="auto"/>
              </w:rPr>
            </w:pPr>
          </w:p>
        </w:tc>
      </w:tr>
      <w:tr>
        <w:trPr>
          <w:trHeight w:val="241"/>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(announcement)</w:t>
            </w:r>
          </w:p>
        </w:tc>
        <w:tc>
          <w:tcPr>
            <w:tcW w:w="0" w:type="dxa"/>
            <w:vAlign w:val="bottom"/>
          </w:tcPr>
          <w:p>
            <w:pPr>
              <w:spacing w:after="0"/>
              <w:rPr>
                <w:sz w:val="1"/>
                <w:szCs w:val="1"/>
                <w:color w:val="auto"/>
              </w:rPr>
            </w:pPr>
          </w:p>
        </w:tc>
      </w:tr>
      <w:tr>
        <w:trPr>
          <w:trHeight w:val="274"/>
        </w:trPr>
        <w:tc>
          <w:tcPr>
            <w:tcW w:w="2260" w:type="dxa"/>
            <w:vAlign w:val="bottom"/>
            <w:tcBorders>
              <w:left w:val="single" w:sz="8" w:color="auto"/>
              <w:right w:val="single" w:sz="8" w:color="auto"/>
            </w:tcBorders>
          </w:tcPr>
          <w:p>
            <w:pPr>
              <w:spacing w:after="0"/>
              <w:rPr>
                <w:sz w:val="23"/>
                <w:szCs w:val="23"/>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Lilly's Jaypirca (pirtobrutinib) significantly extended progression-free survival when added to a venetoclax time-</w:t>
            </w:r>
          </w:p>
        </w:tc>
        <w:tc>
          <w:tcPr>
            <w:tcW w:w="0" w:type="dxa"/>
            <w:vAlign w:val="bottom"/>
          </w:tcPr>
          <w:p>
            <w:pPr>
              <w:spacing w:after="0"/>
              <w:rPr>
                <w:sz w:val="1"/>
                <w:szCs w:val="1"/>
                <w:color w:val="auto"/>
              </w:rPr>
            </w:pPr>
          </w:p>
        </w:tc>
      </w:tr>
      <w:tr>
        <w:trPr>
          <w:trHeight w:val="239"/>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limited regimen in patients with previously treated CLL/SLL (announcement)</w:t>
            </w:r>
          </w:p>
        </w:tc>
        <w:tc>
          <w:tcPr>
            <w:tcW w:w="0" w:type="dxa"/>
            <w:vAlign w:val="bottom"/>
          </w:tcPr>
          <w:p>
            <w:pPr>
              <w:spacing w:after="0"/>
              <w:rPr>
                <w:sz w:val="1"/>
                <w:szCs w:val="1"/>
                <w:color w:val="auto"/>
              </w:rPr>
            </w:pPr>
          </w:p>
        </w:tc>
      </w:tr>
      <w:tr>
        <w:trPr>
          <w:trHeight w:val="104"/>
        </w:trPr>
        <w:tc>
          <w:tcPr>
            <w:tcW w:w="2260" w:type="dxa"/>
            <w:vAlign w:val="bottom"/>
            <w:tcBorders>
              <w:left w:val="single" w:sz="8" w:color="auto"/>
              <w:right w:val="single" w:sz="8" w:color="auto"/>
            </w:tcBorders>
          </w:tcPr>
          <w:p>
            <w:pPr>
              <w:spacing w:after="0"/>
              <w:rPr>
                <w:sz w:val="9"/>
                <w:szCs w:val="9"/>
                <w:color w:val="auto"/>
              </w:rPr>
            </w:pPr>
          </w:p>
        </w:tc>
        <w:tc>
          <w:tcPr>
            <w:tcW w:w="9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2260" w:type="dxa"/>
            <w:vAlign w:val="bottom"/>
            <w:tcBorders>
              <w:left w:val="single" w:sz="8" w:color="auto"/>
              <w:right w:val="single" w:sz="8" w:color="auto"/>
            </w:tcBorders>
          </w:tcPr>
          <w:p>
            <w:pPr>
              <w:spacing w:after="0"/>
              <w:rPr>
                <w:sz w:val="23"/>
                <w:szCs w:val="23"/>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3b data presented at AAD Annual Meeting show Lilly's Taltz (ixekizumab) plus Zepbound (tirzepatide)</w:t>
            </w:r>
          </w:p>
        </w:tc>
        <w:tc>
          <w:tcPr>
            <w:tcW w:w="0" w:type="dxa"/>
            <w:vAlign w:val="bottom"/>
          </w:tcPr>
          <w:p>
            <w:pPr>
              <w:spacing w:after="0"/>
              <w:rPr>
                <w:sz w:val="1"/>
                <w:szCs w:val="1"/>
                <w:color w:val="auto"/>
              </w:rPr>
            </w:pPr>
          </w:p>
        </w:tc>
      </w:tr>
      <w:tr>
        <w:trPr>
          <w:trHeight w:val="239"/>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delivered superior efficacy for adults with psoriatic arthritis and obesity (announcement)</w:t>
            </w:r>
          </w:p>
        </w:tc>
        <w:tc>
          <w:tcPr>
            <w:tcW w:w="0" w:type="dxa"/>
            <w:vAlign w:val="bottom"/>
          </w:tcPr>
          <w:p>
            <w:pPr>
              <w:spacing w:after="0"/>
              <w:rPr>
                <w:sz w:val="1"/>
                <w:szCs w:val="1"/>
                <w:color w:val="auto"/>
              </w:rPr>
            </w:pPr>
          </w:p>
        </w:tc>
      </w:tr>
      <w:tr>
        <w:trPr>
          <w:trHeight w:val="104"/>
        </w:trPr>
        <w:tc>
          <w:tcPr>
            <w:tcW w:w="2260" w:type="dxa"/>
            <w:vAlign w:val="bottom"/>
            <w:tcBorders>
              <w:left w:val="single" w:sz="8" w:color="auto"/>
              <w:right w:val="single" w:sz="8" w:color="auto"/>
            </w:tcBorders>
          </w:tcPr>
          <w:p>
            <w:pPr>
              <w:spacing w:after="0"/>
              <w:rPr>
                <w:sz w:val="9"/>
                <w:szCs w:val="9"/>
                <w:color w:val="auto"/>
              </w:rPr>
            </w:pPr>
          </w:p>
        </w:tc>
        <w:tc>
          <w:tcPr>
            <w:tcW w:w="9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260" w:type="dxa"/>
            <w:vAlign w:val="bottom"/>
            <w:tcBorders>
              <w:left w:val="single" w:sz="8" w:color="auto"/>
              <w:right w:val="single" w:sz="8" w:color="auto"/>
            </w:tcBorders>
          </w:tcPr>
          <w:p>
            <w:pPr>
              <w:spacing w:after="0"/>
              <w:rPr>
                <w:sz w:val="15"/>
                <w:szCs w:val="15"/>
                <w:color w:val="auto"/>
              </w:rPr>
            </w:pPr>
          </w:p>
        </w:tc>
        <w:tc>
          <w:tcPr>
            <w:tcW w:w="900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Lilly's EBGLYSS (lebrikizumab-lbkz) delivered up to four years of durable disease control for patients with</w:t>
            </w:r>
          </w:p>
        </w:tc>
        <w:tc>
          <w:tcPr>
            <w:tcW w:w="0" w:type="dxa"/>
            <w:vAlign w:val="bottom"/>
          </w:tcPr>
          <w:p>
            <w:pPr>
              <w:spacing w:after="0"/>
              <w:rPr>
                <w:sz w:val="1"/>
                <w:szCs w:val="1"/>
                <w:color w:val="auto"/>
              </w:rPr>
            </w:pPr>
          </w:p>
        </w:tc>
      </w:tr>
      <w:tr>
        <w:trPr>
          <w:trHeight w:val="235"/>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moderate-to-severe atopic dermatitis (announcement)</w:t>
            </w:r>
          </w:p>
        </w:tc>
        <w:tc>
          <w:tcPr>
            <w:tcW w:w="0" w:type="dxa"/>
            <w:vAlign w:val="bottom"/>
          </w:tcPr>
          <w:p>
            <w:pPr>
              <w:spacing w:after="0"/>
              <w:rPr>
                <w:sz w:val="1"/>
                <w:szCs w:val="1"/>
                <w:color w:val="auto"/>
              </w:rPr>
            </w:pPr>
          </w:p>
        </w:tc>
      </w:tr>
      <w:tr>
        <w:trPr>
          <w:trHeight w:val="177"/>
        </w:trPr>
        <w:tc>
          <w:tcPr>
            <w:tcW w:w="2260" w:type="dxa"/>
            <w:vAlign w:val="bottom"/>
            <w:tcBorders>
              <w:left w:val="single" w:sz="8" w:color="auto"/>
              <w:right w:val="single" w:sz="8" w:color="auto"/>
            </w:tcBorders>
          </w:tcPr>
          <w:p>
            <w:pPr>
              <w:spacing w:after="0"/>
              <w:rPr>
                <w:sz w:val="15"/>
                <w:szCs w:val="15"/>
                <w:color w:val="auto"/>
              </w:rPr>
            </w:pPr>
          </w:p>
        </w:tc>
        <w:tc>
          <w:tcPr>
            <w:tcW w:w="900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Lilly's triple agonist, retatrutide, demonstrated significant reductions in A1C and weight in first Phase 3 trial for</w:t>
            </w:r>
          </w:p>
        </w:tc>
        <w:tc>
          <w:tcPr>
            <w:tcW w:w="0" w:type="dxa"/>
            <w:vAlign w:val="bottom"/>
          </w:tcPr>
          <w:p>
            <w:pPr>
              <w:spacing w:after="0"/>
              <w:rPr>
                <w:sz w:val="1"/>
                <w:szCs w:val="1"/>
                <w:color w:val="auto"/>
              </w:rPr>
            </w:pPr>
          </w:p>
        </w:tc>
      </w:tr>
      <w:tr>
        <w:trPr>
          <w:trHeight w:val="235"/>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Clinical</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treatment of type 2 diabetes (announcement)</w:t>
            </w:r>
          </w:p>
        </w:tc>
        <w:tc>
          <w:tcPr>
            <w:tcW w:w="0" w:type="dxa"/>
            <w:vAlign w:val="bottom"/>
          </w:tcPr>
          <w:p>
            <w:pPr>
              <w:spacing w:after="0"/>
              <w:rPr>
                <w:sz w:val="1"/>
                <w:szCs w:val="1"/>
                <w:color w:val="auto"/>
              </w:rPr>
            </w:pPr>
          </w:p>
        </w:tc>
      </w:tr>
      <w:tr>
        <w:trPr>
          <w:trHeight w:val="113"/>
        </w:trPr>
        <w:tc>
          <w:tcPr>
            <w:tcW w:w="2260" w:type="dxa"/>
            <w:vAlign w:val="bottom"/>
            <w:tcBorders>
              <w:left w:val="single" w:sz="8" w:color="auto"/>
              <w:right w:val="single" w:sz="8" w:color="auto"/>
            </w:tcBorders>
            <w:vMerge w:val="continue"/>
          </w:tcPr>
          <w:p>
            <w:pPr>
              <w:spacing w:after="0"/>
              <w:rPr>
                <w:sz w:val="9"/>
                <w:szCs w:val="9"/>
                <w:color w:val="auto"/>
              </w:rPr>
            </w:pPr>
          </w:p>
        </w:tc>
        <w:tc>
          <w:tcPr>
            <w:tcW w:w="90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Lilly's EBGLYSS (lebrikizumab-lbkz) is the first and only selective IL-13 inhibitor to deliver positive Phase 3</w:t>
            </w:r>
          </w:p>
        </w:tc>
        <w:tc>
          <w:tcPr>
            <w:tcW w:w="0" w:type="dxa"/>
            <w:vAlign w:val="bottom"/>
          </w:tcPr>
          <w:p>
            <w:pPr>
              <w:spacing w:after="0"/>
              <w:rPr>
                <w:sz w:val="1"/>
                <w:szCs w:val="1"/>
                <w:color w:val="auto"/>
              </w:rPr>
            </w:pPr>
          </w:p>
        </w:tc>
      </w:tr>
      <w:tr>
        <w:trPr>
          <w:trHeight w:val="158"/>
        </w:trPr>
        <w:tc>
          <w:tcPr>
            <w:tcW w:w="2260" w:type="dxa"/>
            <w:vAlign w:val="bottom"/>
            <w:tcBorders>
              <w:left w:val="single" w:sz="8" w:color="auto"/>
              <w:right w:val="single" w:sz="8" w:color="auto"/>
            </w:tcBorders>
          </w:tcPr>
          <w:p>
            <w:pPr>
              <w:spacing w:after="0"/>
              <w:rPr>
                <w:sz w:val="13"/>
                <w:szCs w:val="13"/>
                <w:color w:val="auto"/>
              </w:rPr>
            </w:pPr>
          </w:p>
        </w:tc>
        <w:tc>
          <w:tcPr>
            <w:tcW w:w="90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outcomes in patients aged six months to 18 years with moderate-to-severe atopic dermatitis (announcement)</w:t>
            </w:r>
          </w:p>
        </w:tc>
        <w:tc>
          <w:tcPr>
            <w:tcW w:w="0" w:type="dxa"/>
            <w:vAlign w:val="bottom"/>
          </w:tcPr>
          <w:p>
            <w:pPr>
              <w:spacing w:after="0"/>
              <w:rPr>
                <w:sz w:val="1"/>
                <w:szCs w:val="1"/>
                <w:color w:val="auto"/>
              </w:rPr>
            </w:pPr>
          </w:p>
        </w:tc>
      </w:tr>
      <w:tr>
        <w:trPr>
          <w:trHeight w:val="104"/>
        </w:trPr>
        <w:tc>
          <w:tcPr>
            <w:tcW w:w="2260" w:type="dxa"/>
            <w:vAlign w:val="bottom"/>
            <w:tcBorders>
              <w:left w:val="single" w:sz="8" w:color="auto"/>
              <w:right w:val="single" w:sz="8" w:color="auto"/>
            </w:tcBorders>
          </w:tcPr>
          <w:p>
            <w:pPr>
              <w:spacing w:after="0"/>
              <w:rPr>
                <w:sz w:val="9"/>
                <w:szCs w:val="9"/>
                <w:color w:val="auto"/>
              </w:rPr>
            </w:pPr>
          </w:p>
        </w:tc>
        <w:tc>
          <w:tcPr>
            <w:tcW w:w="9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2"/>
        </w:trPr>
        <w:tc>
          <w:tcPr>
            <w:tcW w:w="2260" w:type="dxa"/>
            <w:vAlign w:val="bottom"/>
            <w:tcBorders>
              <w:left w:val="single" w:sz="8" w:color="auto"/>
              <w:right w:val="single" w:sz="8" w:color="auto"/>
            </w:tcBorders>
          </w:tcPr>
          <w:p>
            <w:pPr>
              <w:spacing w:after="0"/>
              <w:rPr>
                <w:sz w:val="23"/>
                <w:szCs w:val="23"/>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Lilly's oral GLP-1, orforglipron, delivered superior blood sugar control and weight loss compared to oral</w:t>
            </w:r>
          </w:p>
        </w:tc>
        <w:tc>
          <w:tcPr>
            <w:tcW w:w="0" w:type="dxa"/>
            <w:vAlign w:val="bottom"/>
          </w:tcPr>
          <w:p>
            <w:pPr>
              <w:spacing w:after="0"/>
              <w:rPr>
                <w:sz w:val="1"/>
                <w:szCs w:val="1"/>
                <w:color w:val="auto"/>
              </w:rPr>
            </w:pPr>
          </w:p>
        </w:tc>
      </w:tr>
      <w:tr>
        <w:trPr>
          <w:trHeight w:val="239"/>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semaglutide in head-to-head type 2 diabetes trial published in The Lancet (announcement)</w:t>
            </w:r>
          </w:p>
        </w:tc>
        <w:tc>
          <w:tcPr>
            <w:tcW w:w="0" w:type="dxa"/>
            <w:vAlign w:val="bottom"/>
          </w:tcPr>
          <w:p>
            <w:pPr>
              <w:spacing w:after="0"/>
              <w:rPr>
                <w:sz w:val="1"/>
                <w:szCs w:val="1"/>
                <w:color w:val="auto"/>
              </w:rPr>
            </w:pPr>
          </w:p>
        </w:tc>
      </w:tr>
      <w:tr>
        <w:trPr>
          <w:trHeight w:val="104"/>
        </w:trPr>
        <w:tc>
          <w:tcPr>
            <w:tcW w:w="2260" w:type="dxa"/>
            <w:vAlign w:val="bottom"/>
            <w:tcBorders>
              <w:left w:val="single" w:sz="8" w:color="auto"/>
              <w:right w:val="single" w:sz="8" w:color="auto"/>
            </w:tcBorders>
          </w:tcPr>
          <w:p>
            <w:pPr>
              <w:spacing w:after="0"/>
              <w:rPr>
                <w:sz w:val="9"/>
                <w:szCs w:val="9"/>
                <w:color w:val="auto"/>
              </w:rPr>
            </w:pPr>
          </w:p>
        </w:tc>
        <w:tc>
          <w:tcPr>
            <w:tcW w:w="9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260" w:type="dxa"/>
            <w:vAlign w:val="bottom"/>
            <w:tcBorders>
              <w:left w:val="single" w:sz="8" w:color="auto"/>
              <w:right w:val="single" w:sz="8" w:color="auto"/>
            </w:tcBorders>
          </w:tcPr>
          <w:p>
            <w:pPr>
              <w:spacing w:after="0"/>
              <w:rPr>
                <w:sz w:val="15"/>
                <w:szCs w:val="15"/>
                <w:color w:val="auto"/>
              </w:rPr>
            </w:pPr>
          </w:p>
        </w:tc>
        <w:tc>
          <w:tcPr>
            <w:tcW w:w="900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Patients with Crohn's disease maintained steroid-free remission for three years with Lilly's Omvoh (mirikizumab-</w:t>
            </w:r>
          </w:p>
        </w:tc>
        <w:tc>
          <w:tcPr>
            <w:tcW w:w="0" w:type="dxa"/>
            <w:vAlign w:val="bottom"/>
          </w:tcPr>
          <w:p>
            <w:pPr>
              <w:spacing w:after="0"/>
              <w:rPr>
                <w:sz w:val="1"/>
                <w:szCs w:val="1"/>
                <w:color w:val="auto"/>
              </w:rPr>
            </w:pPr>
          </w:p>
        </w:tc>
      </w:tr>
      <w:tr>
        <w:trPr>
          <w:trHeight w:val="235"/>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mrkz) (announcement)</w:t>
            </w:r>
          </w:p>
        </w:tc>
        <w:tc>
          <w:tcPr>
            <w:tcW w:w="0" w:type="dxa"/>
            <w:vAlign w:val="bottom"/>
          </w:tcPr>
          <w:p>
            <w:pPr>
              <w:spacing w:after="0"/>
              <w:rPr>
                <w:sz w:val="1"/>
                <w:szCs w:val="1"/>
                <w:color w:val="auto"/>
              </w:rPr>
            </w:pPr>
          </w:p>
        </w:tc>
      </w:tr>
      <w:tr>
        <w:trPr>
          <w:trHeight w:val="272"/>
        </w:trPr>
        <w:tc>
          <w:tcPr>
            <w:tcW w:w="2260" w:type="dxa"/>
            <w:vAlign w:val="bottom"/>
            <w:tcBorders>
              <w:left w:val="single" w:sz="8" w:color="auto"/>
              <w:right w:val="single" w:sz="8" w:color="auto"/>
            </w:tcBorders>
          </w:tcPr>
          <w:p>
            <w:pPr>
              <w:spacing w:after="0"/>
              <w:rPr>
                <w:sz w:val="23"/>
                <w:szCs w:val="23"/>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Lilly's Taltz (ixekizumab) and Zepbound (tirzepatide) used together delivered superior efficacy in first-of-its-kind</w:t>
            </w:r>
          </w:p>
        </w:tc>
        <w:tc>
          <w:tcPr>
            <w:tcW w:w="0" w:type="dxa"/>
            <w:vAlign w:val="bottom"/>
          </w:tcPr>
          <w:p>
            <w:pPr>
              <w:spacing w:after="0"/>
              <w:rPr>
                <w:sz w:val="1"/>
                <w:szCs w:val="1"/>
                <w:color w:val="auto"/>
              </w:rPr>
            </w:pPr>
          </w:p>
        </w:tc>
      </w:tr>
      <w:tr>
        <w:trPr>
          <w:trHeight w:val="239"/>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3b trial for adults with psoriasis and obesity or overweight (announcement)</w:t>
            </w:r>
          </w:p>
        </w:tc>
        <w:tc>
          <w:tcPr>
            <w:tcW w:w="0" w:type="dxa"/>
            <w:vAlign w:val="bottom"/>
          </w:tcPr>
          <w:p>
            <w:pPr>
              <w:spacing w:after="0"/>
              <w:rPr>
                <w:sz w:val="1"/>
                <w:szCs w:val="1"/>
                <w:color w:val="auto"/>
              </w:rPr>
            </w:pPr>
          </w:p>
        </w:tc>
      </w:tr>
      <w:tr>
        <w:trPr>
          <w:trHeight w:val="104"/>
        </w:trPr>
        <w:tc>
          <w:tcPr>
            <w:tcW w:w="2260" w:type="dxa"/>
            <w:vAlign w:val="bottom"/>
            <w:tcBorders>
              <w:left w:val="single" w:sz="8" w:color="auto"/>
              <w:right w:val="single" w:sz="8" w:color="auto"/>
            </w:tcBorders>
          </w:tcPr>
          <w:p>
            <w:pPr>
              <w:spacing w:after="0"/>
              <w:rPr>
                <w:sz w:val="9"/>
                <w:szCs w:val="9"/>
                <w:color w:val="auto"/>
              </w:rPr>
            </w:pPr>
          </w:p>
        </w:tc>
        <w:tc>
          <w:tcPr>
            <w:tcW w:w="9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260" w:type="dxa"/>
            <w:vAlign w:val="bottom"/>
            <w:tcBorders>
              <w:left w:val="single" w:sz="8" w:color="auto"/>
              <w:right w:val="single" w:sz="8" w:color="auto"/>
            </w:tcBorders>
          </w:tcPr>
          <w:p>
            <w:pPr>
              <w:spacing w:after="0"/>
              <w:rPr>
                <w:sz w:val="15"/>
                <w:szCs w:val="15"/>
                <w:color w:val="auto"/>
              </w:rPr>
            </w:pPr>
          </w:p>
        </w:tc>
        <w:tc>
          <w:tcPr>
            <w:tcW w:w="900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Lilly's Retevmo (selpercatinib) delivers substantial event-free survival benefit as an adjuvant therapy in early-</w:t>
            </w:r>
          </w:p>
        </w:tc>
        <w:tc>
          <w:tcPr>
            <w:tcW w:w="0" w:type="dxa"/>
            <w:vAlign w:val="bottom"/>
          </w:tcPr>
          <w:p>
            <w:pPr>
              <w:spacing w:after="0"/>
              <w:rPr>
                <w:sz w:val="1"/>
                <w:szCs w:val="1"/>
                <w:color w:val="auto"/>
              </w:rPr>
            </w:pPr>
          </w:p>
        </w:tc>
      </w:tr>
      <w:tr>
        <w:trPr>
          <w:trHeight w:val="235"/>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stage RET fusion-positive lung cancer (announcement)</w:t>
            </w:r>
          </w:p>
        </w:tc>
        <w:tc>
          <w:tcPr>
            <w:tcW w:w="0" w:type="dxa"/>
            <w:vAlign w:val="bottom"/>
          </w:tcPr>
          <w:p>
            <w:pPr>
              <w:spacing w:after="0"/>
              <w:rPr>
                <w:sz w:val="1"/>
                <w:szCs w:val="1"/>
                <w:color w:val="auto"/>
              </w:rPr>
            </w:pPr>
          </w:p>
        </w:tc>
      </w:tr>
      <w:tr>
        <w:trPr>
          <w:trHeight w:val="177"/>
        </w:trPr>
        <w:tc>
          <w:tcPr>
            <w:tcW w:w="2260" w:type="dxa"/>
            <w:vAlign w:val="bottom"/>
            <w:tcBorders>
              <w:left w:val="single" w:sz="8" w:color="auto"/>
              <w:right w:val="single" w:sz="8" w:color="auto"/>
            </w:tcBorders>
          </w:tcPr>
          <w:p>
            <w:pPr>
              <w:spacing w:after="0"/>
              <w:rPr>
                <w:sz w:val="15"/>
                <w:szCs w:val="15"/>
                <w:color w:val="auto"/>
              </w:rPr>
            </w:pPr>
          </w:p>
        </w:tc>
        <w:tc>
          <w:tcPr>
            <w:tcW w:w="9000" w:type="dxa"/>
            <w:vAlign w:val="bottom"/>
            <w:tcBorders>
              <w:right w:val="single" w:sz="8" w:color="auto"/>
            </w:tcBorders>
          </w:tcPr>
          <w:p>
            <w:pPr>
              <w:spacing w:after="0" w:line="177" w:lineRule="exact"/>
              <w:rPr>
                <w:sz w:val="20"/>
                <w:szCs w:val="20"/>
                <w:color w:val="auto"/>
              </w:rPr>
            </w:pPr>
            <w:r>
              <w:rPr>
                <w:rFonts w:ascii="Arial" w:cs="Arial" w:eastAsia="Arial" w:hAnsi="Arial"/>
                <w:sz w:val="18"/>
                <w:szCs w:val="18"/>
                <w:color w:val="auto"/>
              </w:rPr>
              <w:t>Lilly to acquire Ajax Therapeutics to advance outcomes for patients with myelofibrosis and polycythemia vera</w:t>
            </w:r>
          </w:p>
        </w:tc>
        <w:tc>
          <w:tcPr>
            <w:tcW w:w="0" w:type="dxa"/>
            <w:vAlign w:val="bottom"/>
          </w:tcPr>
          <w:p>
            <w:pPr>
              <w:spacing w:after="0"/>
              <w:rPr>
                <w:sz w:val="1"/>
                <w:szCs w:val="1"/>
                <w:color w:val="auto"/>
              </w:rPr>
            </w:pPr>
          </w:p>
        </w:tc>
      </w:tr>
      <w:tr>
        <w:trPr>
          <w:trHeight w:val="235"/>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(announcement)</w:t>
            </w:r>
          </w:p>
        </w:tc>
        <w:tc>
          <w:tcPr>
            <w:tcW w:w="0" w:type="dxa"/>
            <w:vAlign w:val="bottom"/>
          </w:tcPr>
          <w:p>
            <w:pPr>
              <w:spacing w:after="0"/>
              <w:rPr>
                <w:sz w:val="1"/>
                <w:szCs w:val="1"/>
                <w:color w:val="auto"/>
              </w:rPr>
            </w:pPr>
          </w:p>
        </w:tc>
      </w:tr>
      <w:tr>
        <w:trPr>
          <w:trHeight w:val="321"/>
        </w:trPr>
        <w:tc>
          <w:tcPr>
            <w:tcW w:w="2260" w:type="dxa"/>
            <w:vAlign w:val="bottom"/>
            <w:tcBorders>
              <w:left w:val="single" w:sz="8" w:color="auto"/>
              <w:right w:val="single" w:sz="8" w:color="auto"/>
            </w:tcBorders>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Lilly to acquire Kelonia Therapeutics to advance in vivo CAR-T cell therapies (announcement)</w:t>
            </w:r>
          </w:p>
        </w:tc>
        <w:tc>
          <w:tcPr>
            <w:tcW w:w="0" w:type="dxa"/>
            <w:vAlign w:val="bottom"/>
          </w:tcPr>
          <w:p>
            <w:pPr>
              <w:spacing w:after="0"/>
              <w:rPr>
                <w:sz w:val="1"/>
                <w:szCs w:val="1"/>
                <w:color w:val="auto"/>
              </w:rPr>
            </w:pPr>
          </w:p>
        </w:tc>
      </w:tr>
      <w:tr>
        <w:trPr>
          <w:trHeight w:val="90"/>
        </w:trPr>
        <w:tc>
          <w:tcPr>
            <w:tcW w:w="2260" w:type="dxa"/>
            <w:vAlign w:val="bottom"/>
            <w:tcBorders>
              <w:left w:val="single" w:sz="8" w:color="auto"/>
              <w:right w:val="single" w:sz="8" w:color="auto"/>
            </w:tcBorders>
          </w:tcPr>
          <w:p>
            <w:pPr>
              <w:spacing w:after="0"/>
              <w:rPr>
                <w:sz w:val="7"/>
                <w:szCs w:val="7"/>
                <w:color w:val="auto"/>
              </w:rPr>
            </w:pPr>
          </w:p>
        </w:tc>
        <w:tc>
          <w:tcPr>
            <w:tcW w:w="9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Other</w:t>
            </w: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Foundayo™ (orforglipron), Lilly's new oral GLP-1 pill for weight loss, now available in the U.S. (announcement)</w:t>
            </w:r>
          </w:p>
        </w:tc>
        <w:tc>
          <w:tcPr>
            <w:tcW w:w="0" w:type="dxa"/>
            <w:vAlign w:val="bottom"/>
          </w:tcPr>
          <w:p>
            <w:pPr>
              <w:spacing w:after="0"/>
              <w:rPr>
                <w:sz w:val="1"/>
                <w:szCs w:val="1"/>
                <w:color w:val="auto"/>
              </w:rPr>
            </w:pPr>
          </w:p>
        </w:tc>
      </w:tr>
      <w:tr>
        <w:trPr>
          <w:trHeight w:val="90"/>
        </w:trPr>
        <w:tc>
          <w:tcPr>
            <w:tcW w:w="2260" w:type="dxa"/>
            <w:vAlign w:val="bottom"/>
            <w:tcBorders>
              <w:left w:val="single" w:sz="8" w:color="auto"/>
              <w:right w:val="single" w:sz="8" w:color="auto"/>
            </w:tcBorders>
            <w:vMerge w:val="continue"/>
          </w:tcPr>
          <w:p>
            <w:pPr>
              <w:spacing w:after="0"/>
              <w:rPr>
                <w:sz w:val="7"/>
                <w:szCs w:val="7"/>
                <w:color w:val="auto"/>
              </w:rPr>
            </w:pPr>
          </w:p>
        </w:tc>
        <w:tc>
          <w:tcPr>
            <w:tcW w:w="9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260" w:type="dxa"/>
            <w:vAlign w:val="bottom"/>
            <w:tcBorders>
              <w:left w:val="single" w:sz="8" w:color="auto"/>
              <w:right w:val="single" w:sz="8" w:color="auto"/>
            </w:tcBorders>
            <w:vMerge w:val="continue"/>
          </w:tcPr>
          <w:p>
            <w:pPr>
              <w:spacing w:after="0"/>
              <w:rPr>
                <w:sz w:val="11"/>
                <w:szCs w:val="11"/>
                <w:color w:val="auto"/>
              </w:rPr>
            </w:pPr>
          </w:p>
        </w:tc>
        <w:tc>
          <w:tcPr>
            <w:tcW w:w="90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Lilly to acquire Centessa Pharmaceuticals to advance treatments for sleep-wake disorders (announcement)</w:t>
            </w:r>
          </w:p>
        </w:tc>
        <w:tc>
          <w:tcPr>
            <w:tcW w:w="0" w:type="dxa"/>
            <w:vAlign w:val="bottom"/>
          </w:tcPr>
          <w:p>
            <w:pPr>
              <w:spacing w:after="0"/>
              <w:rPr>
                <w:sz w:val="1"/>
                <w:szCs w:val="1"/>
                <w:color w:val="auto"/>
              </w:rPr>
            </w:pPr>
          </w:p>
        </w:tc>
      </w:tr>
      <w:tr>
        <w:trPr>
          <w:trHeight w:val="195"/>
        </w:trPr>
        <w:tc>
          <w:tcPr>
            <w:tcW w:w="2260" w:type="dxa"/>
            <w:vAlign w:val="bottom"/>
            <w:tcBorders>
              <w:left w:val="single" w:sz="8" w:color="auto"/>
              <w:right w:val="single" w:sz="8" w:color="auto"/>
            </w:tcBorders>
          </w:tcPr>
          <w:p>
            <w:pPr>
              <w:spacing w:after="0"/>
              <w:rPr>
                <w:sz w:val="16"/>
                <w:szCs w:val="16"/>
                <w:color w:val="auto"/>
              </w:rPr>
            </w:pPr>
          </w:p>
        </w:tc>
        <w:tc>
          <w:tcPr>
            <w:tcW w:w="90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260" w:type="dxa"/>
            <w:vAlign w:val="bottom"/>
            <w:tcBorders>
              <w:left w:val="single" w:sz="8" w:color="auto"/>
              <w:right w:val="single" w:sz="8" w:color="auto"/>
            </w:tcBorders>
          </w:tcPr>
          <w:p>
            <w:pPr>
              <w:spacing w:after="0"/>
              <w:rPr>
                <w:sz w:val="7"/>
                <w:szCs w:val="7"/>
                <w:color w:val="auto"/>
              </w:rPr>
            </w:pPr>
          </w:p>
        </w:tc>
        <w:tc>
          <w:tcPr>
            <w:tcW w:w="9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2260" w:type="dxa"/>
            <w:vAlign w:val="bottom"/>
            <w:tcBorders>
              <w:left w:val="single" w:sz="8" w:color="auto"/>
              <w:right w:val="single" w:sz="8" w:color="auto"/>
            </w:tcBorders>
          </w:tcPr>
          <w:p>
            <w:pPr>
              <w:spacing w:after="0"/>
              <w:rPr>
                <w:sz w:val="23"/>
                <w:szCs w:val="23"/>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Lilly Employer Connect platform launches with over fifteen independent program administrators offering tailored</w:t>
            </w:r>
          </w:p>
        </w:tc>
        <w:tc>
          <w:tcPr>
            <w:tcW w:w="0" w:type="dxa"/>
            <w:vAlign w:val="bottom"/>
          </w:tcPr>
          <w:p>
            <w:pPr>
              <w:spacing w:after="0"/>
              <w:rPr>
                <w:sz w:val="1"/>
                <w:szCs w:val="1"/>
                <w:color w:val="auto"/>
              </w:rPr>
            </w:pPr>
          </w:p>
        </w:tc>
      </w:tr>
      <w:tr>
        <w:trPr>
          <w:trHeight w:val="239"/>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obesity coverage options to expand access to patients (announcement)</w:t>
            </w:r>
          </w:p>
        </w:tc>
        <w:tc>
          <w:tcPr>
            <w:tcW w:w="0" w:type="dxa"/>
            <w:vAlign w:val="bottom"/>
          </w:tcPr>
          <w:p>
            <w:pPr>
              <w:spacing w:after="0"/>
              <w:rPr>
                <w:sz w:val="1"/>
                <w:szCs w:val="1"/>
                <w:color w:val="auto"/>
              </w:rPr>
            </w:pPr>
          </w:p>
        </w:tc>
      </w:tr>
      <w:tr>
        <w:trPr>
          <w:trHeight w:val="104"/>
        </w:trPr>
        <w:tc>
          <w:tcPr>
            <w:tcW w:w="2260" w:type="dxa"/>
            <w:vAlign w:val="bottom"/>
            <w:tcBorders>
              <w:left w:val="single" w:sz="8" w:color="auto"/>
              <w:right w:val="single" w:sz="8" w:color="auto"/>
            </w:tcBorders>
          </w:tcPr>
          <w:p>
            <w:pPr>
              <w:spacing w:after="0"/>
              <w:rPr>
                <w:sz w:val="9"/>
                <w:szCs w:val="9"/>
                <w:color w:val="auto"/>
              </w:rPr>
            </w:pPr>
          </w:p>
        </w:tc>
        <w:tc>
          <w:tcPr>
            <w:tcW w:w="9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Lilly to acquire Orna Therapeutics to advance cell therapies (announcement)</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important public announcements, visit the news section of Lilly's website.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2026 Financial Guidance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providing guidance for GAAP revenue, Lilly provides guidance for certain non-GAAP measures.</w:t>
      </w:r>
    </w:p>
    <w:p>
      <w:pPr>
        <w:spacing w:after="0" w:line="212" w:lineRule="exact"/>
        <w:rPr>
          <w:sz w:val="20"/>
          <w:szCs w:val="20"/>
          <w:color w:val="auto"/>
        </w:rPr>
      </w:pPr>
    </w:p>
    <w:p>
      <w:pPr>
        <w:ind w:right="900"/>
        <w:spacing w:after="0" w:line="412" w:lineRule="auto"/>
        <w:rPr>
          <w:sz w:val="20"/>
          <w:szCs w:val="20"/>
          <w:color w:val="auto"/>
        </w:rPr>
      </w:pPr>
      <w:r>
        <w:rPr>
          <w:rFonts w:ascii="Arial" w:cs="Arial" w:eastAsia="Arial" w:hAnsi="Arial"/>
          <w:sz w:val="18"/>
          <w:szCs w:val="18"/>
          <w:color w:val="auto"/>
        </w:rPr>
        <w:t>The following table summarizes the company's updated full-year 2026 non-GAAP financial guidance, reflecting the strong revenue performance in Q1:</w:t>
      </w:r>
    </w:p>
    <w:p>
      <w:pPr>
        <w:sectPr>
          <w:pgSz w:w="11900" w:h="16838" w:orient="portrait"/>
          <w:cols w:equalWidth="0" w:num="1">
            <w:col w:w="11260"/>
          </w:cols>
          <w:pgMar w:left="320" w:top="1440" w:right="319" w:bottom="1440" w:gutter="0" w:footer="0" w:header="0"/>
        </w:sectPr>
      </w:pPr>
    </w:p>
    <w:bookmarkStart w:id="11" w:name="page12"/>
    <w:bookmarkEnd w:id="11"/>
    <w:tbl>
      <w:tblPr>
        <w:tblLayout w:type="fixed"/>
        <w:tblInd w:w="1" w:type="dxa"/>
        <w:tblCellMar>
          <w:top w:w="0" w:type="dxa"/>
          <w:left w:w="0" w:type="dxa"/>
          <w:bottom w:w="0" w:type="dxa"/>
          <w:right w:w="0" w:type="dxa"/>
        </w:tblCellMar>
      </w:tblPr>
      <w:tr>
        <w:trPr>
          <w:trHeight w:val="247"/>
        </w:trPr>
        <w:tc>
          <w:tcPr>
            <w:tcW w:w="4080" w:type="dxa"/>
            <w:vAlign w:val="bottom"/>
          </w:tcPr>
          <w:p>
            <w:pPr>
              <w:spacing w:after="0"/>
              <w:rPr>
                <w:sz w:val="21"/>
                <w:szCs w:val="21"/>
                <w:color w:val="auto"/>
              </w:rPr>
            </w:pPr>
          </w:p>
        </w:tc>
        <w:tc>
          <w:tcPr>
            <w:tcW w:w="428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Prior</w:t>
            </w:r>
          </w:p>
        </w:tc>
        <w:tc>
          <w:tcPr>
            <w:tcW w:w="2180" w:type="dxa"/>
            <w:vAlign w:val="bottom"/>
          </w:tcPr>
          <w:p>
            <w:pPr>
              <w:jc w:val="center"/>
              <w:ind w:left="730"/>
              <w:spacing w:after="0"/>
              <w:rPr>
                <w:sz w:val="20"/>
                <w:szCs w:val="20"/>
                <w:color w:val="auto"/>
              </w:rPr>
            </w:pPr>
            <w:r>
              <w:rPr>
                <w:rFonts w:ascii="Arial" w:cs="Arial" w:eastAsia="Arial" w:hAnsi="Arial"/>
                <w:sz w:val="18"/>
                <w:szCs w:val="18"/>
                <w:b w:val="1"/>
                <w:bCs w:val="1"/>
                <w:color w:val="auto"/>
                <w:w w:val="99"/>
              </w:rPr>
              <w:t>Updated</w:t>
            </w:r>
          </w:p>
        </w:tc>
      </w:tr>
      <w:tr>
        <w:trPr>
          <w:trHeight w:val="478"/>
        </w:trPr>
        <w:tc>
          <w:tcPr>
            <w:tcW w:w="4080" w:type="dxa"/>
            <w:vAlign w:val="bottom"/>
          </w:tcPr>
          <w:p>
            <w:pPr>
              <w:spacing w:after="0"/>
              <w:rPr>
                <w:sz w:val="20"/>
                <w:szCs w:val="20"/>
                <w:color w:val="auto"/>
              </w:rPr>
            </w:pPr>
            <w:r>
              <w:rPr>
                <w:rFonts w:ascii="Arial" w:cs="Arial" w:eastAsia="Arial" w:hAnsi="Arial"/>
                <w:sz w:val="18"/>
                <w:szCs w:val="18"/>
                <w:color w:val="auto"/>
              </w:rPr>
              <w:t>Revenue</w:t>
            </w:r>
          </w:p>
        </w:tc>
        <w:tc>
          <w:tcPr>
            <w:tcW w:w="4280" w:type="dxa"/>
            <w:vAlign w:val="bottom"/>
          </w:tcPr>
          <w:p>
            <w:pPr>
              <w:jc w:val="center"/>
              <w:ind w:left="1230"/>
              <w:spacing w:after="0"/>
              <w:rPr>
                <w:sz w:val="20"/>
                <w:szCs w:val="20"/>
                <w:color w:val="auto"/>
              </w:rPr>
            </w:pPr>
            <w:r>
              <w:rPr>
                <w:rFonts w:ascii="Arial" w:cs="Arial" w:eastAsia="Arial" w:hAnsi="Arial"/>
                <w:sz w:val="18"/>
                <w:szCs w:val="18"/>
                <w:color w:val="auto"/>
                <w:w w:val="99"/>
              </w:rPr>
              <w:t>$80 to $83 billion</w:t>
            </w:r>
          </w:p>
        </w:tc>
        <w:tc>
          <w:tcPr>
            <w:tcW w:w="2180" w:type="dxa"/>
            <w:vAlign w:val="bottom"/>
          </w:tcPr>
          <w:p>
            <w:pPr>
              <w:jc w:val="center"/>
              <w:ind w:left="730"/>
              <w:spacing w:after="0"/>
              <w:rPr>
                <w:sz w:val="20"/>
                <w:szCs w:val="20"/>
                <w:color w:val="auto"/>
              </w:rPr>
            </w:pPr>
            <w:r>
              <w:rPr>
                <w:rFonts w:ascii="Arial" w:cs="Arial" w:eastAsia="Arial" w:hAnsi="Arial"/>
                <w:sz w:val="18"/>
                <w:szCs w:val="18"/>
                <w:color w:val="auto"/>
                <w:w w:val="99"/>
              </w:rPr>
              <w:t>$82 to $85 billion</w:t>
            </w:r>
          </w:p>
        </w:tc>
      </w:tr>
      <w:tr>
        <w:trPr>
          <w:trHeight w:val="569"/>
        </w:trPr>
        <w:tc>
          <w:tcPr>
            <w:tcW w:w="4080" w:type="dxa"/>
            <w:vAlign w:val="bottom"/>
          </w:tcPr>
          <w:p>
            <w:pPr>
              <w:spacing w:after="0"/>
              <w:rPr>
                <w:sz w:val="20"/>
                <w:szCs w:val="20"/>
                <w:color w:val="auto"/>
              </w:rPr>
            </w:pPr>
            <w:r>
              <w:rPr>
                <w:rFonts w:ascii="Arial" w:cs="Arial" w:eastAsia="Arial" w:hAnsi="Arial"/>
                <w:sz w:val="18"/>
                <w:szCs w:val="18"/>
                <w:color w:val="auto"/>
              </w:rPr>
              <w:t>Performance Margin</w:t>
            </w:r>
            <w:r>
              <w:rPr>
                <w:rFonts w:ascii="Arial" w:cs="Arial" w:eastAsia="Arial" w:hAnsi="Arial"/>
                <w:sz w:val="23"/>
                <w:szCs w:val="23"/>
                <w:color w:val="auto"/>
                <w:vertAlign w:val="superscript"/>
              </w:rPr>
              <w:t>(1)(2)</w:t>
            </w:r>
          </w:p>
        </w:tc>
        <w:tc>
          <w:tcPr>
            <w:tcW w:w="4280" w:type="dxa"/>
            <w:vAlign w:val="bottom"/>
          </w:tcPr>
          <w:p>
            <w:pPr>
              <w:jc w:val="center"/>
              <w:ind w:left="1230"/>
              <w:spacing w:after="0"/>
              <w:rPr>
                <w:sz w:val="20"/>
                <w:szCs w:val="20"/>
                <w:color w:val="auto"/>
              </w:rPr>
            </w:pPr>
            <w:r>
              <w:rPr>
                <w:rFonts w:ascii="Arial" w:cs="Arial" w:eastAsia="Arial" w:hAnsi="Arial"/>
                <w:sz w:val="18"/>
                <w:szCs w:val="18"/>
                <w:color w:val="auto"/>
              </w:rPr>
              <w:t>46.0% to 47.5%</w:t>
            </w:r>
          </w:p>
        </w:tc>
        <w:tc>
          <w:tcPr>
            <w:tcW w:w="2180" w:type="dxa"/>
            <w:vAlign w:val="bottom"/>
          </w:tcPr>
          <w:p>
            <w:pPr>
              <w:jc w:val="center"/>
              <w:ind w:left="730"/>
              <w:spacing w:after="0"/>
              <w:rPr>
                <w:sz w:val="20"/>
                <w:szCs w:val="20"/>
                <w:color w:val="auto"/>
              </w:rPr>
            </w:pPr>
            <w:r>
              <w:rPr>
                <w:rFonts w:ascii="Arial" w:cs="Arial" w:eastAsia="Arial" w:hAnsi="Arial"/>
                <w:sz w:val="18"/>
                <w:szCs w:val="18"/>
                <w:color w:val="auto"/>
              </w:rPr>
              <w:t>47.0% to 48.5%</w:t>
            </w:r>
          </w:p>
        </w:tc>
      </w:tr>
      <w:tr>
        <w:trPr>
          <w:trHeight w:val="499"/>
        </w:trPr>
        <w:tc>
          <w:tcPr>
            <w:tcW w:w="4080" w:type="dxa"/>
            <w:vAlign w:val="bottom"/>
          </w:tcPr>
          <w:p>
            <w:pPr>
              <w:spacing w:after="0"/>
              <w:rPr>
                <w:sz w:val="20"/>
                <w:szCs w:val="20"/>
                <w:color w:val="auto"/>
              </w:rPr>
            </w:pPr>
            <w:r>
              <w:rPr>
                <w:rFonts w:ascii="Arial" w:cs="Arial" w:eastAsia="Arial" w:hAnsi="Arial"/>
                <w:sz w:val="18"/>
                <w:szCs w:val="18"/>
                <w:color w:val="auto"/>
              </w:rPr>
              <w:t>Tax Rate</w:t>
            </w:r>
            <w:r>
              <w:rPr>
                <w:rFonts w:ascii="Arial" w:cs="Arial" w:eastAsia="Arial" w:hAnsi="Arial"/>
                <w:sz w:val="23"/>
                <w:szCs w:val="23"/>
                <w:color w:val="auto"/>
                <w:vertAlign w:val="superscript"/>
              </w:rPr>
              <w:t>(1)(3)</w:t>
            </w:r>
          </w:p>
        </w:tc>
        <w:tc>
          <w:tcPr>
            <w:tcW w:w="4280" w:type="dxa"/>
            <w:vAlign w:val="bottom"/>
          </w:tcPr>
          <w:p>
            <w:pPr>
              <w:jc w:val="center"/>
              <w:ind w:left="1230"/>
              <w:spacing w:after="0"/>
              <w:rPr>
                <w:sz w:val="20"/>
                <w:szCs w:val="20"/>
                <w:color w:val="auto"/>
              </w:rPr>
            </w:pPr>
            <w:r>
              <w:rPr>
                <w:rFonts w:ascii="Arial" w:cs="Arial" w:eastAsia="Arial" w:hAnsi="Arial"/>
                <w:sz w:val="18"/>
                <w:szCs w:val="18"/>
                <w:color w:val="auto"/>
                <w:w w:val="98"/>
              </w:rPr>
              <w:t>18% to 19%</w:t>
            </w:r>
          </w:p>
        </w:tc>
        <w:tc>
          <w:tcPr>
            <w:tcW w:w="2180" w:type="dxa"/>
            <w:vAlign w:val="bottom"/>
          </w:tcPr>
          <w:p>
            <w:pPr>
              <w:jc w:val="center"/>
              <w:ind w:left="730"/>
              <w:spacing w:after="0"/>
              <w:rPr>
                <w:sz w:val="20"/>
                <w:szCs w:val="20"/>
                <w:color w:val="auto"/>
              </w:rPr>
            </w:pPr>
            <w:r>
              <w:rPr>
                <w:rFonts w:ascii="Arial" w:cs="Arial" w:eastAsia="Arial" w:hAnsi="Arial"/>
                <w:sz w:val="18"/>
                <w:szCs w:val="18"/>
                <w:color w:val="auto"/>
                <w:w w:val="99"/>
              </w:rPr>
              <w:t>Unchanged</w:t>
            </w:r>
          </w:p>
        </w:tc>
      </w:tr>
      <w:tr>
        <w:trPr>
          <w:trHeight w:val="500"/>
        </w:trPr>
        <w:tc>
          <w:tcPr>
            <w:tcW w:w="4080" w:type="dxa"/>
            <w:vAlign w:val="bottom"/>
          </w:tcPr>
          <w:p>
            <w:pPr>
              <w:spacing w:after="0"/>
              <w:rPr>
                <w:sz w:val="20"/>
                <w:szCs w:val="20"/>
                <w:color w:val="auto"/>
              </w:rPr>
            </w:pPr>
            <w:r>
              <w:rPr>
                <w:rFonts w:ascii="Arial" w:cs="Arial" w:eastAsia="Arial" w:hAnsi="Arial"/>
                <w:sz w:val="18"/>
                <w:szCs w:val="18"/>
                <w:color w:val="auto"/>
              </w:rPr>
              <w:t>Earnings per Share</w:t>
            </w:r>
            <w:r>
              <w:rPr>
                <w:rFonts w:ascii="Arial" w:cs="Arial" w:eastAsia="Arial" w:hAnsi="Arial"/>
                <w:sz w:val="23"/>
                <w:szCs w:val="23"/>
                <w:color w:val="auto"/>
                <w:vertAlign w:val="superscript"/>
              </w:rPr>
              <w:t>(1)(3)(4)</w:t>
            </w:r>
          </w:p>
        </w:tc>
        <w:tc>
          <w:tcPr>
            <w:tcW w:w="4280" w:type="dxa"/>
            <w:vAlign w:val="bottom"/>
          </w:tcPr>
          <w:p>
            <w:pPr>
              <w:jc w:val="center"/>
              <w:ind w:left="1230"/>
              <w:spacing w:after="0"/>
              <w:rPr>
                <w:sz w:val="20"/>
                <w:szCs w:val="20"/>
                <w:color w:val="auto"/>
              </w:rPr>
            </w:pPr>
            <w:r>
              <w:rPr>
                <w:rFonts w:ascii="Arial" w:cs="Arial" w:eastAsia="Arial" w:hAnsi="Arial"/>
                <w:sz w:val="18"/>
                <w:szCs w:val="18"/>
                <w:color w:val="auto"/>
              </w:rPr>
              <w:t>$33.50 to $35.00</w:t>
            </w:r>
          </w:p>
        </w:tc>
        <w:tc>
          <w:tcPr>
            <w:tcW w:w="2180" w:type="dxa"/>
            <w:vAlign w:val="bottom"/>
          </w:tcPr>
          <w:p>
            <w:pPr>
              <w:jc w:val="center"/>
              <w:ind w:left="730"/>
              <w:spacing w:after="0"/>
              <w:rPr>
                <w:sz w:val="20"/>
                <w:szCs w:val="20"/>
                <w:color w:val="auto"/>
              </w:rPr>
            </w:pPr>
            <w:r>
              <w:rPr>
                <w:rFonts w:ascii="Arial" w:cs="Arial" w:eastAsia="Arial" w:hAnsi="Arial"/>
                <w:sz w:val="18"/>
                <w:szCs w:val="18"/>
                <w:color w:val="auto"/>
              </w:rPr>
              <w:t>$35.50 to $37.00</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40575" cy="24771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2477135"/>
                    </a:xfrm>
                    <a:prstGeom prst="rect">
                      <a:avLst/>
                    </a:prstGeom>
                    <a:noFill/>
                  </pic:spPr>
                </pic:pic>
              </a:graphicData>
            </a:graphic>
          </wp:anchor>
        </w:drawing>
      </w:r>
    </w:p>
    <w:p>
      <w:pPr>
        <w:ind w:left="1" w:hanging="1"/>
        <w:spacing w:after="0" w:line="214" w:lineRule="auto"/>
        <w:tabs>
          <w:tab w:leader="none" w:pos="155"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Lilly does not provide reconciliations of forward-looking non-GAAP measures to the most directly comparable GAAP measures because comparable GAAP measures are not reasonably accessible or reliable due to the inherent difficulty in forecasting and quantifying measures that would be necessary for a reconciliation. In particular, Lilly cannot reasonably predict certain items including net gains and losses on equity securities, asset impairment, acquisition or divestiture-related items, restructuring and other adjustments, without unreasonable effort. These items are uncertain, depend on various factors, and could have a material impact on Lilly's reported results in accordance with GAAP. See Reconciliation of GAAP Reported to Selected Non-GAAP Adjusted Information (Unaudited) table below for additional Non-GAAP information.</w:t>
      </w:r>
    </w:p>
    <w:p>
      <w:pPr>
        <w:spacing w:after="0" w:line="1" w:lineRule="exact"/>
        <w:rPr>
          <w:rFonts w:ascii="Arial" w:cs="Arial" w:eastAsia="Arial" w:hAnsi="Arial"/>
          <w:sz w:val="19"/>
          <w:szCs w:val="19"/>
          <w:color w:val="auto"/>
          <w:vertAlign w:val="superscript"/>
        </w:rPr>
      </w:pPr>
    </w:p>
    <w:p>
      <w:pPr>
        <w:ind w:left="161" w:hanging="161"/>
        <w:spacing w:after="0" w:line="222" w:lineRule="auto"/>
        <w:tabs>
          <w:tab w:leader="none" w:pos="16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The company defines performance margin as gross margin less research and development and marketing, selling, and administrative expenses divided by revenue.</w:t>
      </w:r>
    </w:p>
    <w:p>
      <w:pPr>
        <w:spacing w:after="0" w:line="26" w:lineRule="exact"/>
        <w:rPr>
          <w:rFonts w:ascii="Arial" w:cs="Arial" w:eastAsia="Arial" w:hAnsi="Arial"/>
          <w:sz w:val="19"/>
          <w:szCs w:val="19"/>
          <w:color w:val="auto"/>
          <w:vertAlign w:val="superscript"/>
        </w:rPr>
      </w:pPr>
    </w:p>
    <w:p>
      <w:pPr>
        <w:ind w:left="161" w:hanging="161"/>
        <w:spacing w:after="0" w:line="193" w:lineRule="auto"/>
        <w:tabs>
          <w:tab w:leader="none" w:pos="16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Guidance does not include acquired in-process research and development (IPR&amp;D) incurred after March 31, 2026.</w:t>
      </w:r>
    </w:p>
    <w:p>
      <w:pPr>
        <w:spacing w:after="0" w:line="26" w:lineRule="exact"/>
        <w:rPr>
          <w:rFonts w:ascii="Arial" w:cs="Arial" w:eastAsia="Arial" w:hAnsi="Arial"/>
          <w:sz w:val="19"/>
          <w:szCs w:val="19"/>
          <w:color w:val="auto"/>
          <w:vertAlign w:val="superscript"/>
        </w:rPr>
      </w:pPr>
    </w:p>
    <w:p>
      <w:pPr>
        <w:ind w:left="161" w:hanging="161"/>
        <w:spacing w:after="0" w:line="193" w:lineRule="auto"/>
        <w:tabs>
          <w:tab w:leader="none" w:pos="161"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2026 assumes shares outstanding of approximately 895 million and foreign currency exchange rate assumptions of 1.16 (Euro), 153 (Yen) and 7.1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476885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61"/>
          </w:cols>
          <w:pgMar w:left="359" w:top="175" w:right="3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of Conference Call</w:t>
      </w:r>
    </w:p>
    <w:p>
      <w:pPr>
        <w:spacing w:after="0" w:line="117" w:lineRule="exact"/>
        <w:rPr>
          <w:sz w:val="20"/>
          <w:szCs w:val="20"/>
          <w:color w:val="auto"/>
        </w:rPr>
      </w:pPr>
    </w:p>
    <w:p>
      <w:pPr>
        <w:jc w:val="both"/>
        <w:spacing w:after="0" w:line="394" w:lineRule="auto"/>
        <w:rPr>
          <w:sz w:val="20"/>
          <w:szCs w:val="20"/>
          <w:color w:val="auto"/>
        </w:rPr>
      </w:pPr>
      <w:r>
        <w:rPr>
          <w:rFonts w:ascii="Arial" w:cs="Arial" w:eastAsia="Arial" w:hAnsi="Arial"/>
          <w:sz w:val="18"/>
          <w:szCs w:val="18"/>
          <w:color w:val="auto"/>
        </w:rPr>
        <w:t>As previously announced, investors and the general public can access a live webcast of the Q1 2026 financial results conference call through a link on Lilly's website at investor.lilly.com/webcasts-and-presentations. The conference call will begin at 10 a.m. Eastern time today and will be available for replay via the website.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7" w:lineRule="exact"/>
        <w:rPr>
          <w:sz w:val="20"/>
          <w:szCs w:val="20"/>
          <w:color w:val="auto"/>
        </w:rPr>
      </w:pPr>
    </w:p>
    <w:p>
      <w:pPr>
        <w:jc w:val="both"/>
        <w:spacing w:after="0" w:line="375" w:lineRule="auto"/>
        <w:rPr>
          <w:sz w:val="20"/>
          <w:szCs w:val="20"/>
          <w:color w:val="auto"/>
        </w:rPr>
      </w:pPr>
      <w:r>
        <w:rPr>
          <w:rFonts w:ascii="Arial" w:cs="Arial" w:eastAsia="Arial" w:hAnsi="Arial"/>
          <w:sz w:val="18"/>
          <w:szCs w:val="18"/>
          <w:color w:val="auto"/>
        </w:rPr>
        <w:t>Certain financial information is presented on both a reported and a non-GAAP basis. Some numbers in this press release may not add due to rounding. Reported results were prepared in accordance with U.S. generally accepted accounting principles (GAAP) and include all revenue and expenses recognized during the periods. Historical non-GAAP measures reflect adjustments for the items described in the reconciliation tables later in the release. Related materials provide certain GAAP and non-GAAP figures excluding the impact of foreign exchange rates.</w:t>
      </w:r>
    </w:p>
    <w:p>
      <w:pPr>
        <w:spacing w:after="0" w:line="2" w:lineRule="exact"/>
        <w:rPr>
          <w:sz w:val="20"/>
          <w:szCs w:val="20"/>
          <w:color w:val="auto"/>
        </w:rPr>
      </w:pPr>
    </w:p>
    <w:p>
      <w:pPr>
        <w:jc w:val="both"/>
        <w:ind w:right="480"/>
        <w:spacing w:after="0" w:line="394" w:lineRule="auto"/>
        <w:rPr>
          <w:sz w:val="20"/>
          <w:szCs w:val="20"/>
          <w:color w:val="auto"/>
        </w:rPr>
      </w:pPr>
      <w:r>
        <w:rPr>
          <w:rFonts w:ascii="Arial" w:cs="Arial" w:eastAsia="Arial" w:hAnsi="Arial"/>
          <w:sz w:val="18"/>
          <w:szCs w:val="18"/>
          <w:color w:val="auto"/>
        </w:rPr>
        <w:t>Lilly recalculates current period figures on a constant currency basis by keeping constant the exchange rates from the base period. The company's 2026 financial guidance (other than revenue) is provided on a non-GAAP basis, as described in "2026 Financial Guidance" above. Non-GAAP measures are presented to provide additional insights into the underlying trends in the company's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Lilly</w:t>
      </w:r>
    </w:p>
    <w:p>
      <w:pPr>
        <w:spacing w:after="0" w:line="117" w:lineRule="exact"/>
        <w:rPr>
          <w:sz w:val="20"/>
          <w:szCs w:val="20"/>
          <w:color w:val="auto"/>
        </w:rPr>
      </w:pPr>
    </w:p>
    <w:p>
      <w:pPr>
        <w:ind w:right="80"/>
        <w:spacing w:after="0" w:line="380" w:lineRule="auto"/>
        <w:rPr>
          <w:sz w:val="20"/>
          <w:szCs w:val="20"/>
          <w:color w:val="auto"/>
        </w:rPr>
      </w:pPr>
      <w:r>
        <w:rPr>
          <w:rFonts w:ascii="Arial" w:cs="Arial" w:eastAsia="Arial" w:hAnsi="Arial"/>
          <w:sz w:val="18"/>
          <w:szCs w:val="18"/>
          <w:color w:val="212121"/>
        </w:rPr>
        <w:t xml:space="preserve">Lilly is a medicine company turning science into healing to make life better for people around the world. We've been pioneering life-changing discoveries for nearly 150 years, and today our medicines help tens of millions of people across the globe. Harnessing the power of biotechnology, chemistry and genetic medicine, our scientists are urgently advancing new discoveries to solve some of the world's most significant health challenges: redefining diabetes care; treating obesity and curtailing its most devastating long-term effects; advancing the fight against Alzheimer's disease; providing solutions to some of the most debilitating immune system disorders; and transforming the most difficult-to-treat cancers into manageable diseases. With each step toward a healthier world, we're motivated by one thing: making life better for millions more people. That includes delivering innovative clinical trials that reflect the diversity of our world and working to ensure our medicines are accessible and affordable. To learn more, visit Lilly.com and Lilly.com/news. </w:t>
      </w:r>
      <w:r>
        <w:rPr>
          <w:rFonts w:ascii="Arial" w:cs="Arial" w:eastAsia="Arial" w:hAnsi="Arial"/>
          <w:sz w:val="18"/>
          <w:szCs w:val="18"/>
          <w:color w:val="000000"/>
        </w:rPr>
        <w:t>F-LLY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 Regarding Forward-Looking Statements</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This press release and the related attachments contain management's intentions and expectations for the future, all of which are forward-looking statements within the meaning of Section 27A of the Securities Act of 1933 and Section 21E of the Securities Exchange Act of 1934. The words "estimate", "project", "intend", "expect", "believe", "target", "plan", "anticipate", "may", "could", "aim", "seek", "will", "continue", and similar expressions are intended to identify forward-looking statements. Actual results may differ materially due to various factors. The following include some but not all of the factors that could cause actual results or events to differ from those anticipated, including the</w:t>
      </w:r>
    </w:p>
    <w:p>
      <w:pPr>
        <w:spacing w:after="0" w:line="2"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significant costs and uncertainties in the pharmaceutical research and development process, including with respect to the timing and process of obtaining regulatory approvals and the ability of the company's clinical trials to meet expectations; the impact and uncertain outcome of acquisitions and business development transactions and related costs;</w:t>
      </w:r>
    </w:p>
    <w:p>
      <w:pPr>
        <w:spacing w:after="0" w:line="1"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intense competition affecting the company's products, pipeline, or industry; market uptake of launched products and indications; continued pricing pressures and the impact of actions of governmental and private actors affecting pricing of, reimbursement for, and patient access to pharmaceuticals, or reporting obligations related thereto; the implementation of our voluntary agreement with the U.S. government related to drug pricing and access; Developments or uncertainties related to our or competitive products, including as may relate to safety or efficacy concerns; dependence on relatively few products or product classes for a significant percentage of the company's total revenue and a consolidated supply chain; the expiration of intellectual property protection for certain of the company's products and competition from generic and biosimilar products; the company's ability to protect and enforce patents and other intellectual property and changes in patent law or regulations related to data package exclusivity; information technology system inadequacies, inadequate controls or procedures, security breaches, or operating failures; unauthorized access, disclosure, misappropriation, or compromise of confidential information or other data stored in the company's information technology systems, networks, and facilities, or those of third parties with whom the company shares its data and violations of data protection laws or regulations; issues with product supply, regulatory approvals, or other negative outcomes stemming from manufacturing difficulties, disruptions, or shortages, including as a result of unpredictability and variability in demand, labor shortages, third-party performance, quality, cyber-attacks, or regulatory actions related to the company's and third-party facilities; reliance on third-party relationships and outsourcing arrangements; the use of artificial intelligence or other emerging technologies in various facets of the company's operations, including partnerships related to the use of, or the sharing of such technologies with third parties, which may exacerbate competitive, regulatory, litigation, cybersecurity, and other risks; the impact of global macroeconomic conditions, including uneven economic growth or downturns or uncertainty, trade and other global disputes and interruptions, including related to tariffs, trade protection measures, and similar restrictions, international tension,</w:t>
      </w:r>
    </w:p>
    <w:p>
      <w:pPr>
        <w:spacing w:after="0" w:line="5" w:lineRule="exact"/>
        <w:rPr>
          <w:sz w:val="20"/>
          <w:szCs w:val="20"/>
          <w:color w:val="auto"/>
        </w:rPr>
      </w:pPr>
    </w:p>
    <w:p>
      <w:pPr>
        <w:ind w:right="300"/>
        <w:spacing w:after="0" w:line="231" w:lineRule="auto"/>
        <w:rPr>
          <w:sz w:val="20"/>
          <w:szCs w:val="20"/>
          <w:color w:val="auto"/>
        </w:rPr>
      </w:pPr>
      <w:r>
        <w:rPr>
          <w:rFonts w:ascii="Arial" w:cs="Arial" w:eastAsia="Arial" w:hAnsi="Arial"/>
          <w:sz w:val="14"/>
          <w:szCs w:val="14"/>
          <w:color w:val="auto"/>
        </w:rPr>
        <w:t>conflicts, regional dependencies, or other costs, uncertainties, and risks related to engaging in business globally; fluctuations in foreign currency exchange rates, changes in interest rates and inflation or deflation; significant and sudden declines or volatility in the trading price of the company's common stock and market capitalization; litigation,</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investigations, or other similar proceedings involving past, current, or future products, activities, or intellectual property; changes in tax law and regulations, tax rates, or events that differ from our assumptions related to tax positions; regulatory changes, developments, and uncertainty; regulatory oversight and actions regarding the company's operations and products; regulatory compliance problems or government investigations; risks from the proliferation of counterfeit, misbranded, adulterated, or illegally compounded products; actual or perceived deviation from environmental-, social-, or governance-related requirements or expectations; asset impairments and restructuring charges; and changes in accounting and reporting standards. For additional information about the factors that could cause actual results or events to differ materially from forward-looking statements, please see the company's latest Form 10-K and subsequent Forms 8-K and 10-Q filed with the Securities and Exchange Commission. You should not place undue reliance on forward-looking statements contained in this press release and the related attachments, which, except as otherwise noted, speak only as of the date of this release. Except as is required by law, the company expressly disclaims any obligation to publicly release any revisions to forward-looking statements contained in this press release and the related attachments to reflect events or circumstances after the date of this release.</w:t>
      </w:r>
    </w:p>
    <w:p>
      <w:pPr>
        <w:spacing w:after="0" w:line="227" w:lineRule="exact"/>
        <w:rPr>
          <w:sz w:val="20"/>
          <w:szCs w:val="20"/>
          <w:color w:val="auto"/>
        </w:rPr>
      </w:pPr>
    </w:p>
    <w:p>
      <w:pPr>
        <w:ind w:left="160"/>
        <w:spacing w:after="0"/>
        <w:tabs>
          <w:tab w:leader="none" w:pos="380" w:val="left"/>
          <w:tab w:leader="none" w:pos="620" w:val="left"/>
        </w:tabs>
        <w:rPr>
          <w:sz w:val="20"/>
          <w:szCs w:val="20"/>
          <w:color w:val="auto"/>
        </w:rPr>
      </w:pPr>
      <w:r>
        <w:rPr>
          <w:rFonts w:ascii="Arial" w:cs="Arial" w:eastAsia="Arial" w:hAnsi="Arial"/>
          <w:sz w:val="14"/>
          <w:szCs w:val="14"/>
          <w:color w:val="auto"/>
        </w:rPr>
        <w:t>#</w:t>
        <w:tab/>
        <w:t>#</w:t>
        <w:tab/>
        <w:t>#</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Website Information</w:t>
      </w:r>
    </w:p>
    <w:p>
      <w:pPr>
        <w:spacing w:after="0" w:line="244" w:lineRule="exact"/>
        <w:rPr>
          <w:sz w:val="20"/>
          <w:szCs w:val="20"/>
          <w:color w:val="auto"/>
        </w:rPr>
      </w:pPr>
    </w:p>
    <w:p>
      <w:pPr>
        <w:ind w:right="220"/>
        <w:spacing w:after="0" w:line="305" w:lineRule="auto"/>
        <w:rPr>
          <w:sz w:val="20"/>
          <w:szCs w:val="20"/>
          <w:color w:val="auto"/>
        </w:rPr>
      </w:pPr>
      <w:r>
        <w:rPr>
          <w:rFonts w:ascii="Arial" w:cs="Arial" w:eastAsia="Arial" w:hAnsi="Arial"/>
          <w:sz w:val="14"/>
          <w:szCs w:val="14"/>
          <w:color w:val="auto"/>
        </w:rPr>
        <w:t>The information contained on, or that may be accessed through, our website or any third-party website is not incorporated by reference into, and is not a part of, this earnings release.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Trademarks and Trade Names</w:t>
      </w:r>
    </w:p>
    <w:p>
      <w:pPr>
        <w:spacing w:after="0" w:line="258"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All trademarks or trade names referred to in this press release are the property of the company, or, to the extent trademarks or trade names belonging to other companies are referenced in this press release, the property of their respective owners. Solely for convenience, the trademarks and trade names in this press release are referred to without the</w:t>
      </w:r>
    </w:p>
    <w:p>
      <w:pPr>
        <w:spacing w:after="0" w:line="1" w:lineRule="exact"/>
        <w:rPr>
          <w:sz w:val="20"/>
          <w:szCs w:val="20"/>
          <w:color w:val="auto"/>
        </w:rPr>
      </w:pPr>
    </w:p>
    <w:p>
      <w:pPr>
        <w:ind w:right="360" w:firstLine="8"/>
        <w:spacing w:after="0" w:line="272" w:lineRule="auto"/>
        <w:tabs>
          <w:tab w:leader="none" w:pos="146" w:val="left"/>
        </w:tabs>
        <w:numPr>
          <w:ilvl w:val="0"/>
          <w:numId w:val="5"/>
        </w:numPr>
        <w:rPr>
          <w:rFonts w:ascii="Arial" w:cs="Arial" w:eastAsia="Arial" w:hAnsi="Arial"/>
          <w:sz w:val="14"/>
          <w:szCs w:val="14"/>
          <w:color w:val="auto"/>
        </w:rPr>
      </w:pPr>
      <w:r>
        <w:rPr>
          <w:rFonts w:ascii="Arial" w:cs="Arial" w:eastAsia="Arial" w:hAnsi="Arial"/>
          <w:sz w:val="14"/>
          <w:szCs w:val="14"/>
          <w:color w:val="auto"/>
        </w:rPr>
        <w:t>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Eli Lilly and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Results (Unaudited) – REPORTED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(Dollars in millions, except per share data; numbers may not add due to rounding)</w:t>
      </w:r>
    </w:p>
    <w:p>
      <w:pPr>
        <w:spacing w:after="0" w:line="374" w:lineRule="exact"/>
        <w:rPr>
          <w:sz w:val="20"/>
          <w:szCs w:val="20"/>
          <w:color w:val="auto"/>
        </w:rPr>
      </w:pPr>
    </w:p>
    <w:tbl>
      <w:tblPr>
        <w:tblLayout w:type="fixed"/>
        <w:tblInd w:w="110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color w:val="auto"/>
              </w:rPr>
              <w:t>Three Months Ended</w:t>
            </w:r>
          </w:p>
        </w:tc>
        <w:tc>
          <w:tcPr>
            <w:tcW w:w="1060" w:type="dxa"/>
            <w:vAlign w:val="bottom"/>
          </w:tcPr>
          <w:p>
            <w:pPr>
              <w:spacing w:after="0"/>
              <w:rPr>
                <w:sz w:val="16"/>
                <w:szCs w:val="16"/>
                <w:color w:val="auto"/>
              </w:rPr>
            </w:pPr>
          </w:p>
        </w:tc>
      </w:tr>
      <w:tr>
        <w:trPr>
          <w:trHeight w:val="203"/>
        </w:trPr>
        <w:tc>
          <w:tcPr>
            <w:tcW w:w="4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color w:val="auto"/>
              </w:rPr>
              <w:t>March 31,</w:t>
            </w:r>
          </w:p>
        </w:tc>
        <w:tc>
          <w:tcPr>
            <w:tcW w:w="1060" w:type="dxa"/>
            <w:vAlign w:val="bottom"/>
          </w:tcPr>
          <w:p>
            <w:pPr>
              <w:spacing w:after="0"/>
              <w:rPr>
                <w:sz w:val="17"/>
                <w:szCs w:val="17"/>
                <w:color w:val="auto"/>
              </w:rPr>
            </w:pPr>
          </w:p>
        </w:tc>
      </w:tr>
      <w:tr>
        <w:trPr>
          <w:trHeight w:val="207"/>
        </w:trPr>
        <w:tc>
          <w:tcPr>
            <w:tcW w:w="4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2026</w:t>
            </w: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color w:val="auto"/>
              </w:rPr>
              <w:t>% Chg.</w:t>
            </w:r>
          </w:p>
        </w:tc>
      </w:tr>
      <w:tr>
        <w:trPr>
          <w:trHeight w:val="488"/>
        </w:trPr>
        <w:tc>
          <w:tcPr>
            <w:tcW w:w="484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19,799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12,729</w:t>
            </w:r>
          </w:p>
        </w:tc>
        <w:tc>
          <w:tcPr>
            <w:tcW w:w="340" w:type="dxa"/>
            <w:vAlign w:val="bottom"/>
          </w:tcPr>
          <w:p>
            <w:pPr>
              <w:spacing w:after="0"/>
              <w:rPr>
                <w:sz w:val="24"/>
                <w:szCs w:val="24"/>
                <w:color w:val="auto"/>
              </w:rPr>
            </w:pPr>
          </w:p>
        </w:tc>
        <w:tc>
          <w:tcPr>
            <w:tcW w:w="1060" w:type="dxa"/>
            <w:vAlign w:val="bottom"/>
          </w:tcPr>
          <w:p>
            <w:pPr>
              <w:jc w:val="center"/>
              <w:ind w:right="11"/>
              <w:spacing w:after="0"/>
              <w:rPr>
                <w:sz w:val="20"/>
                <w:szCs w:val="20"/>
                <w:color w:val="auto"/>
              </w:rPr>
            </w:pPr>
            <w:r>
              <w:rPr>
                <w:rFonts w:ascii="Arial" w:cs="Arial" w:eastAsia="Arial" w:hAnsi="Arial"/>
                <w:sz w:val="18"/>
                <w:szCs w:val="18"/>
                <w:color w:val="auto"/>
                <w:w w:val="99"/>
              </w:rPr>
              <w:t>56%</w:t>
            </w:r>
          </w:p>
        </w:tc>
      </w:tr>
      <w:tr>
        <w:trPr>
          <w:trHeight w:val="490"/>
        </w:trPr>
        <w:tc>
          <w:tcPr>
            <w:tcW w:w="484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3,577</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2,225</w:t>
            </w:r>
          </w:p>
        </w:tc>
        <w:tc>
          <w:tcPr>
            <w:tcW w:w="340" w:type="dxa"/>
            <w:vAlign w:val="bottom"/>
          </w:tcPr>
          <w:p>
            <w:pPr>
              <w:spacing w:after="0"/>
              <w:rPr>
                <w:sz w:val="24"/>
                <w:szCs w:val="24"/>
                <w:color w:val="auto"/>
              </w:rPr>
            </w:pPr>
          </w:p>
        </w:tc>
        <w:tc>
          <w:tcPr>
            <w:tcW w:w="1060" w:type="dxa"/>
            <w:vAlign w:val="bottom"/>
          </w:tcPr>
          <w:p>
            <w:pPr>
              <w:jc w:val="center"/>
              <w:ind w:right="11"/>
              <w:spacing w:after="0"/>
              <w:rPr>
                <w:sz w:val="20"/>
                <w:szCs w:val="20"/>
                <w:color w:val="auto"/>
              </w:rPr>
            </w:pPr>
            <w:r>
              <w:rPr>
                <w:rFonts w:ascii="Arial" w:cs="Arial" w:eastAsia="Arial" w:hAnsi="Arial"/>
                <w:sz w:val="18"/>
                <w:szCs w:val="18"/>
                <w:color w:val="auto"/>
                <w:w w:val="99"/>
              </w:rPr>
              <w:t>61%</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3,510</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2,734</w:t>
            </w:r>
          </w:p>
        </w:tc>
        <w:tc>
          <w:tcPr>
            <w:tcW w:w="340" w:type="dxa"/>
            <w:vAlign w:val="bottom"/>
          </w:tcPr>
          <w:p>
            <w:pPr>
              <w:spacing w:after="0"/>
              <w:rPr>
                <w:sz w:val="19"/>
                <w:szCs w:val="19"/>
                <w:color w:val="auto"/>
              </w:rPr>
            </w:pPr>
          </w:p>
        </w:tc>
        <w:tc>
          <w:tcPr>
            <w:tcW w:w="1060" w:type="dxa"/>
            <w:vAlign w:val="bottom"/>
          </w:tcPr>
          <w:p>
            <w:pPr>
              <w:jc w:val="center"/>
              <w:ind w:right="11"/>
              <w:spacing w:after="0"/>
              <w:rPr>
                <w:sz w:val="20"/>
                <w:szCs w:val="20"/>
                <w:color w:val="auto"/>
              </w:rPr>
            </w:pPr>
            <w:r>
              <w:rPr>
                <w:rFonts w:ascii="Arial" w:cs="Arial" w:eastAsia="Arial" w:hAnsi="Arial"/>
                <w:sz w:val="18"/>
                <w:szCs w:val="18"/>
                <w:color w:val="auto"/>
                <w:w w:val="99"/>
              </w:rPr>
              <w:t>28%</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Marketing, selling, and administrative</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2,934</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2,468</w:t>
            </w:r>
          </w:p>
        </w:tc>
        <w:tc>
          <w:tcPr>
            <w:tcW w:w="340" w:type="dxa"/>
            <w:vAlign w:val="bottom"/>
          </w:tcPr>
          <w:p>
            <w:pPr>
              <w:spacing w:after="0"/>
              <w:rPr>
                <w:sz w:val="19"/>
                <w:szCs w:val="19"/>
                <w:color w:val="auto"/>
              </w:rPr>
            </w:pPr>
          </w:p>
        </w:tc>
        <w:tc>
          <w:tcPr>
            <w:tcW w:w="1060" w:type="dxa"/>
            <w:vAlign w:val="bottom"/>
          </w:tcPr>
          <w:p>
            <w:pPr>
              <w:jc w:val="center"/>
              <w:ind w:right="11"/>
              <w:spacing w:after="0"/>
              <w:rPr>
                <w:sz w:val="20"/>
                <w:szCs w:val="20"/>
                <w:color w:val="auto"/>
              </w:rPr>
            </w:pPr>
            <w:r>
              <w:rPr>
                <w:rFonts w:ascii="Arial" w:cs="Arial" w:eastAsia="Arial" w:hAnsi="Arial"/>
                <w:sz w:val="18"/>
                <w:szCs w:val="18"/>
                <w:color w:val="auto"/>
                <w:w w:val="99"/>
              </w:rPr>
              <w:t>19%</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Acquired IPR&amp;D</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584</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1,572</w:t>
            </w:r>
          </w:p>
        </w:tc>
        <w:tc>
          <w:tcPr>
            <w:tcW w:w="340" w:type="dxa"/>
            <w:vAlign w:val="bottom"/>
          </w:tcPr>
          <w:p>
            <w:pPr>
              <w:spacing w:after="0"/>
              <w:rPr>
                <w:sz w:val="19"/>
                <w:szCs w:val="19"/>
                <w:color w:val="auto"/>
              </w:rPr>
            </w:pPr>
          </w:p>
        </w:tc>
        <w:tc>
          <w:tcPr>
            <w:tcW w:w="1060" w:type="dxa"/>
            <w:vAlign w:val="bottom"/>
          </w:tcPr>
          <w:p>
            <w:pPr>
              <w:jc w:val="center"/>
              <w:ind w:right="11"/>
              <w:spacing w:after="0"/>
              <w:rPr>
                <w:sz w:val="20"/>
                <w:szCs w:val="20"/>
                <w:color w:val="auto"/>
              </w:rPr>
            </w:pPr>
            <w:r>
              <w:rPr>
                <w:rFonts w:ascii="Arial" w:cs="Arial" w:eastAsia="Arial" w:hAnsi="Arial"/>
                <w:sz w:val="18"/>
                <w:szCs w:val="18"/>
                <w:color w:val="auto"/>
                <w:w w:val="99"/>
              </w:rPr>
              <w:t>(63)%</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Asset impairment, restructuring and other special charges</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0"/>
                <w:szCs w:val="20"/>
                <w:color w:val="auto"/>
              </w:rPr>
            </w:pPr>
          </w:p>
        </w:tc>
        <w:tc>
          <w:tcPr>
            <w:tcW w:w="1060" w:type="dxa"/>
            <w:vAlign w:val="bottom"/>
          </w:tcPr>
          <w:p>
            <w:pPr>
              <w:jc w:val="center"/>
              <w:ind w:right="11"/>
              <w:spacing w:after="0"/>
              <w:rPr>
                <w:sz w:val="20"/>
                <w:szCs w:val="20"/>
                <w:color w:val="auto"/>
              </w:rPr>
            </w:pPr>
            <w:r>
              <w:rPr>
                <w:rFonts w:ascii="Arial" w:cs="Arial" w:eastAsia="Arial" w:hAnsi="Arial"/>
                <w:sz w:val="18"/>
                <w:szCs w:val="18"/>
                <w:color w:val="auto"/>
                <w:w w:val="99"/>
              </w:rPr>
              <w:t>NM</w:t>
            </w:r>
          </w:p>
        </w:tc>
      </w:tr>
      <w:tr>
        <w:trPr>
          <w:trHeight w:val="232"/>
        </w:trPr>
        <w:tc>
          <w:tcPr>
            <w:tcW w:w="484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8,915</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3,695</w:t>
            </w:r>
          </w:p>
        </w:tc>
        <w:tc>
          <w:tcPr>
            <w:tcW w:w="340" w:type="dxa"/>
            <w:vAlign w:val="bottom"/>
          </w:tcPr>
          <w:p>
            <w:pPr>
              <w:spacing w:after="0"/>
              <w:rPr>
                <w:sz w:val="20"/>
                <w:szCs w:val="20"/>
                <w:color w:val="auto"/>
              </w:rPr>
            </w:pPr>
          </w:p>
        </w:tc>
        <w:tc>
          <w:tcPr>
            <w:tcW w:w="1060" w:type="dxa"/>
            <w:vAlign w:val="bottom"/>
          </w:tcPr>
          <w:p>
            <w:pPr>
              <w:jc w:val="center"/>
              <w:ind w:right="31"/>
              <w:spacing w:after="0"/>
              <w:rPr>
                <w:sz w:val="20"/>
                <w:szCs w:val="20"/>
                <w:color w:val="auto"/>
              </w:rPr>
            </w:pPr>
            <w:r>
              <w:rPr>
                <w:rFonts w:ascii="Arial" w:cs="Arial" w:eastAsia="Arial" w:hAnsi="Arial"/>
                <w:sz w:val="18"/>
                <w:szCs w:val="18"/>
                <w:color w:val="auto"/>
                <w:w w:val="99"/>
              </w:rPr>
              <w:t>141%</w:t>
            </w:r>
          </w:p>
        </w:tc>
      </w:tr>
      <w:tr>
        <w:trPr>
          <w:trHeight w:val="485"/>
        </w:trPr>
        <w:tc>
          <w:tcPr>
            <w:tcW w:w="4840" w:type="dxa"/>
            <w:vAlign w:val="bottom"/>
          </w:tcPr>
          <w:p>
            <w:pPr>
              <w:ind w:left="160"/>
              <w:spacing w:after="0"/>
              <w:rPr>
                <w:sz w:val="20"/>
                <w:szCs w:val="20"/>
                <w:color w:val="auto"/>
              </w:rPr>
            </w:pPr>
            <w:r>
              <w:rPr>
                <w:rFonts w:ascii="Arial" w:cs="Arial" w:eastAsia="Arial" w:hAnsi="Arial"/>
                <w:sz w:val="18"/>
                <w:szCs w:val="18"/>
                <w:color w:val="auto"/>
              </w:rPr>
              <w:t>Net interest income (expense)</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5"/>
        </w:trPr>
        <w:tc>
          <w:tcPr>
            <w:tcW w:w="4840" w:type="dxa"/>
            <w:vAlign w:val="bottom"/>
          </w:tcPr>
          <w:p>
            <w:pPr>
              <w:ind w:left="160"/>
              <w:spacing w:after="0"/>
              <w:rPr>
                <w:sz w:val="20"/>
                <w:szCs w:val="20"/>
                <w:color w:val="auto"/>
              </w:rPr>
            </w:pPr>
            <w:r>
              <w:rPr>
                <w:rFonts w:ascii="Arial" w:cs="Arial" w:eastAsia="Arial" w:hAnsi="Arial"/>
                <w:sz w:val="18"/>
                <w:szCs w:val="18"/>
                <w:color w:val="auto"/>
              </w:rPr>
              <w:t>Net other income (expense)</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2"/>
        </w:trPr>
        <w:tc>
          <w:tcPr>
            <w:tcW w:w="484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c>
          <w:tcPr>
            <w:tcW w:w="340" w:type="dxa"/>
            <w:vAlign w:val="bottom"/>
          </w:tcPr>
          <w:p>
            <w:pPr>
              <w:spacing w:after="0"/>
              <w:rPr>
                <w:sz w:val="20"/>
                <w:szCs w:val="20"/>
                <w:color w:val="auto"/>
              </w:rPr>
            </w:pPr>
          </w:p>
        </w:tc>
        <w:tc>
          <w:tcPr>
            <w:tcW w:w="1060" w:type="dxa"/>
            <w:vAlign w:val="bottom"/>
          </w:tcPr>
          <w:p>
            <w:pPr>
              <w:jc w:val="center"/>
              <w:ind w:right="11"/>
              <w:spacing w:after="0"/>
              <w:rPr>
                <w:sz w:val="20"/>
                <w:szCs w:val="20"/>
                <w:color w:val="auto"/>
              </w:rPr>
            </w:pPr>
            <w:r>
              <w:rPr>
                <w:rFonts w:ascii="Arial" w:cs="Arial" w:eastAsia="Arial" w:hAnsi="Arial"/>
                <w:sz w:val="18"/>
                <w:szCs w:val="18"/>
                <w:color w:val="auto"/>
                <w:w w:val="99"/>
              </w:rPr>
              <w:t>(73)%</w:t>
            </w:r>
          </w:p>
        </w:tc>
      </w:tr>
      <w:tr>
        <w:trPr>
          <w:trHeight w:val="485"/>
        </w:trPr>
        <w:tc>
          <w:tcPr>
            <w:tcW w:w="4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8,850</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3,456</w:t>
            </w:r>
          </w:p>
        </w:tc>
        <w:tc>
          <w:tcPr>
            <w:tcW w:w="340" w:type="dxa"/>
            <w:vAlign w:val="bottom"/>
          </w:tcPr>
          <w:p>
            <w:pPr>
              <w:spacing w:after="0"/>
              <w:rPr>
                <w:sz w:val="24"/>
                <w:szCs w:val="24"/>
                <w:color w:val="auto"/>
              </w:rPr>
            </w:pPr>
          </w:p>
        </w:tc>
        <w:tc>
          <w:tcPr>
            <w:tcW w:w="1060" w:type="dxa"/>
            <w:vAlign w:val="bottom"/>
          </w:tcPr>
          <w:p>
            <w:pPr>
              <w:jc w:val="center"/>
              <w:ind w:right="31"/>
              <w:spacing w:after="0"/>
              <w:rPr>
                <w:sz w:val="20"/>
                <w:szCs w:val="20"/>
                <w:color w:val="auto"/>
              </w:rPr>
            </w:pPr>
            <w:r>
              <w:rPr>
                <w:rFonts w:ascii="Arial" w:cs="Arial" w:eastAsia="Arial" w:hAnsi="Arial"/>
                <w:sz w:val="18"/>
                <w:szCs w:val="18"/>
                <w:color w:val="auto"/>
                <w:w w:val="99"/>
              </w:rPr>
              <w:t>156%</w:t>
            </w:r>
          </w:p>
        </w:tc>
      </w:tr>
      <w:tr>
        <w:trPr>
          <w:trHeight w:val="235"/>
        </w:trPr>
        <w:tc>
          <w:tcPr>
            <w:tcW w:w="484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340" w:type="dxa"/>
            <w:vAlign w:val="bottom"/>
          </w:tcPr>
          <w:p>
            <w:pPr>
              <w:spacing w:after="0"/>
              <w:rPr>
                <w:sz w:val="20"/>
                <w:szCs w:val="20"/>
                <w:color w:val="auto"/>
              </w:rPr>
            </w:pPr>
          </w:p>
        </w:tc>
        <w:tc>
          <w:tcPr>
            <w:tcW w:w="1060" w:type="dxa"/>
            <w:vAlign w:val="bottom"/>
          </w:tcPr>
          <w:p>
            <w:pPr>
              <w:jc w:val="center"/>
              <w:ind w:right="31"/>
              <w:spacing w:after="0"/>
              <w:rPr>
                <w:sz w:val="20"/>
                <w:szCs w:val="20"/>
                <w:color w:val="auto"/>
              </w:rPr>
            </w:pPr>
            <w:r>
              <w:rPr>
                <w:rFonts w:ascii="Arial" w:cs="Arial" w:eastAsia="Arial" w:hAnsi="Arial"/>
                <w:sz w:val="18"/>
                <w:szCs w:val="18"/>
                <w:color w:val="auto"/>
                <w:w w:val="99"/>
              </w:rPr>
              <w:t>109%</w:t>
            </w:r>
          </w:p>
        </w:tc>
      </w:tr>
      <w:tr>
        <w:trPr>
          <w:trHeight w:val="479"/>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340" w:type="dxa"/>
            <w:vAlign w:val="bottom"/>
          </w:tcPr>
          <w:p>
            <w:pPr>
              <w:spacing w:after="0"/>
              <w:rPr>
                <w:sz w:val="24"/>
                <w:szCs w:val="24"/>
                <w:color w:val="auto"/>
              </w:rPr>
            </w:pPr>
          </w:p>
        </w:tc>
        <w:tc>
          <w:tcPr>
            <w:tcW w:w="1060" w:type="dxa"/>
            <w:vAlign w:val="bottom"/>
          </w:tcPr>
          <w:p>
            <w:pPr>
              <w:jc w:val="center"/>
              <w:ind w:right="31"/>
              <w:spacing w:after="0"/>
              <w:rPr>
                <w:sz w:val="20"/>
                <w:szCs w:val="20"/>
                <w:color w:val="auto"/>
              </w:rPr>
            </w:pPr>
            <w:r>
              <w:rPr>
                <w:rFonts w:ascii="Arial" w:cs="Arial" w:eastAsia="Arial" w:hAnsi="Arial"/>
                <w:sz w:val="18"/>
                <w:szCs w:val="18"/>
                <w:color w:val="auto"/>
                <w:w w:val="99"/>
              </w:rPr>
              <w:t>168%</w:t>
            </w:r>
          </w:p>
        </w:tc>
      </w:tr>
      <w:tr>
        <w:trPr>
          <w:trHeight w:val="20"/>
        </w:trPr>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484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340" w:type="dxa"/>
            <w:vAlign w:val="bottom"/>
          </w:tcPr>
          <w:p>
            <w:pPr>
              <w:spacing w:after="0"/>
              <w:rPr>
                <w:sz w:val="24"/>
                <w:szCs w:val="24"/>
                <w:color w:val="auto"/>
              </w:rPr>
            </w:pPr>
          </w:p>
        </w:tc>
        <w:tc>
          <w:tcPr>
            <w:tcW w:w="1060" w:type="dxa"/>
            <w:vAlign w:val="bottom"/>
          </w:tcPr>
          <w:p>
            <w:pPr>
              <w:jc w:val="center"/>
              <w:ind w:right="31"/>
              <w:spacing w:after="0"/>
              <w:rPr>
                <w:sz w:val="20"/>
                <w:szCs w:val="20"/>
                <w:color w:val="auto"/>
              </w:rPr>
            </w:pPr>
            <w:r>
              <w:rPr>
                <w:rFonts w:ascii="Arial" w:cs="Arial" w:eastAsia="Arial" w:hAnsi="Arial"/>
                <w:sz w:val="18"/>
                <w:szCs w:val="18"/>
                <w:color w:val="auto"/>
                <w:w w:val="99"/>
              </w:rPr>
              <w:t>170%</w:t>
            </w:r>
          </w:p>
        </w:tc>
      </w:tr>
      <w:tr>
        <w:trPr>
          <w:trHeight w:val="20"/>
        </w:trPr>
        <w:tc>
          <w:tcPr>
            <w:tcW w:w="4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1"/>
        </w:trPr>
        <w:tc>
          <w:tcPr>
            <w:tcW w:w="4840" w:type="dxa"/>
            <w:vAlign w:val="bottom"/>
          </w:tcPr>
          <w:p>
            <w:pPr>
              <w:spacing w:after="0"/>
              <w:rPr>
                <w:sz w:val="20"/>
                <w:szCs w:val="20"/>
                <w:color w:val="auto"/>
              </w:rPr>
            </w:pPr>
            <w:r>
              <w:rPr>
                <w:rFonts w:ascii="Arial" w:cs="Arial" w:eastAsia="Arial" w:hAnsi="Arial"/>
                <w:sz w:val="18"/>
                <w:szCs w:val="18"/>
                <w:color w:val="auto"/>
              </w:rPr>
              <w:t>Dividends paid per 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spacing w:after="0"/>
              <w:rPr>
                <w:sz w:val="24"/>
                <w:szCs w:val="24"/>
                <w:color w:val="auto"/>
              </w:rPr>
            </w:pPr>
          </w:p>
        </w:tc>
        <w:tc>
          <w:tcPr>
            <w:tcW w:w="1060" w:type="dxa"/>
            <w:vAlign w:val="bottom"/>
          </w:tcPr>
          <w:p>
            <w:pPr>
              <w:jc w:val="center"/>
              <w:ind w:right="11"/>
              <w:spacing w:after="0"/>
              <w:rPr>
                <w:sz w:val="20"/>
                <w:szCs w:val="20"/>
                <w:color w:val="auto"/>
              </w:rPr>
            </w:pPr>
            <w:r>
              <w:rPr>
                <w:rFonts w:ascii="Arial" w:cs="Arial" w:eastAsia="Arial" w:hAnsi="Arial"/>
                <w:sz w:val="18"/>
                <w:szCs w:val="18"/>
                <w:color w:val="auto"/>
                <w:w w:val="99"/>
              </w:rPr>
              <w:t>15%</w:t>
            </w:r>
          </w:p>
        </w:tc>
      </w:tr>
      <w:tr>
        <w:trPr>
          <w:trHeight w:val="239"/>
        </w:trPr>
        <w:tc>
          <w:tcPr>
            <w:tcW w:w="4840" w:type="dxa"/>
            <w:vAlign w:val="bottom"/>
          </w:tcPr>
          <w:p>
            <w:pPr>
              <w:spacing w:after="0"/>
              <w:rPr>
                <w:sz w:val="20"/>
                <w:szCs w:val="20"/>
                <w:color w:val="auto"/>
              </w:rPr>
            </w:pPr>
            <w:r>
              <w:rPr>
                <w:rFonts w:ascii="Arial" w:cs="Arial" w:eastAsia="Arial" w:hAnsi="Arial"/>
                <w:sz w:val="18"/>
                <w:szCs w:val="18"/>
                <w:color w:val="auto"/>
              </w:rPr>
              <w:t>Weighted-average shares outstanding (thousand) - diluted</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895,918</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900,604</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160"/>
          </w:cols>
          <w:pgMar w:left="320" w:top="1440" w:right="141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8"/>
        <w:spacing w:after="0"/>
        <w:rPr>
          <w:sz w:val="20"/>
          <w:szCs w:val="20"/>
          <w:color w:val="auto"/>
        </w:rPr>
      </w:pPr>
      <w:r>
        <w:rPr>
          <w:rFonts w:ascii="Arial" w:cs="Arial" w:eastAsia="Arial" w:hAnsi="Arial"/>
          <w:sz w:val="18"/>
          <w:szCs w:val="18"/>
          <w:color w:val="auto"/>
        </w:rPr>
        <w:t>Eli Lilly and Company</w:t>
      </w:r>
    </w:p>
    <w:p>
      <w:pPr>
        <w:spacing w:after="0" w:line="32" w:lineRule="exact"/>
        <w:rPr>
          <w:sz w:val="20"/>
          <w:szCs w:val="20"/>
          <w:color w:val="auto"/>
        </w:rPr>
      </w:pPr>
    </w:p>
    <w:p>
      <w:pPr>
        <w:ind w:left="328"/>
        <w:spacing w:after="0"/>
        <w:rPr>
          <w:sz w:val="20"/>
          <w:szCs w:val="20"/>
          <w:color w:val="auto"/>
        </w:rPr>
      </w:pPr>
      <w:r>
        <w:rPr>
          <w:rFonts w:ascii="Arial" w:cs="Arial" w:eastAsia="Arial" w:hAnsi="Arial"/>
          <w:sz w:val="18"/>
          <w:szCs w:val="18"/>
          <w:color w:val="auto"/>
        </w:rPr>
        <w:t>Reconciliation of GAAP Reported to Selected Non-GAAP Adjusted Information (Unaudited)</w:t>
      </w:r>
    </w:p>
    <w:p>
      <w:pPr>
        <w:spacing w:after="0" w:line="23" w:lineRule="exact"/>
        <w:rPr>
          <w:sz w:val="20"/>
          <w:szCs w:val="20"/>
          <w:color w:val="auto"/>
        </w:rPr>
      </w:pPr>
    </w:p>
    <w:p>
      <w:pPr>
        <w:ind w:left="328"/>
        <w:spacing w:after="0"/>
        <w:rPr>
          <w:sz w:val="20"/>
          <w:szCs w:val="20"/>
          <w:color w:val="auto"/>
        </w:rPr>
      </w:pPr>
      <w:r>
        <w:rPr>
          <w:rFonts w:ascii="Arial" w:cs="Arial" w:eastAsia="Arial" w:hAnsi="Arial"/>
          <w:sz w:val="18"/>
          <w:szCs w:val="18"/>
          <w:color w:val="auto"/>
        </w:rPr>
        <w:t>(Dollars in millions, except per share data; numbers may not add due to rounding)</w:t>
      </w:r>
    </w:p>
    <w:p>
      <w:pPr>
        <w:spacing w:after="0" w:line="279" w:lineRule="exact"/>
        <w:rPr>
          <w:sz w:val="20"/>
          <w:szCs w:val="20"/>
          <w:color w:val="auto"/>
        </w:rPr>
      </w:pPr>
    </w:p>
    <w:tbl>
      <w:tblPr>
        <w:tblLayout w:type="fixed"/>
        <w:tblInd w:w="328"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color w:val="auto"/>
              </w:rPr>
              <w:t>Three Months Ended March 31,</w:t>
            </w:r>
          </w:p>
        </w:tc>
        <w:tc>
          <w:tcPr>
            <w:tcW w:w="1440" w:type="dxa"/>
            <w:vAlign w:val="bottom"/>
          </w:tcPr>
          <w:p>
            <w:pPr>
              <w:spacing w:after="0"/>
              <w:rPr>
                <w:sz w:val="16"/>
                <w:szCs w:val="16"/>
                <w:color w:val="auto"/>
              </w:rPr>
            </w:pPr>
          </w:p>
        </w:tc>
      </w:tr>
      <w:tr>
        <w:trPr>
          <w:trHeight w:val="204"/>
        </w:trPr>
        <w:tc>
          <w:tcPr>
            <w:tcW w:w="49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10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993"/>
              <w:spacing w:after="0"/>
              <w:rPr>
                <w:sz w:val="20"/>
                <w:szCs w:val="20"/>
                <w:color w:val="auto"/>
              </w:rPr>
            </w:pPr>
            <w:r>
              <w:rPr>
                <w:rFonts w:ascii="Arial" w:cs="Arial" w:eastAsia="Arial" w:hAnsi="Arial"/>
                <w:sz w:val="14"/>
                <w:szCs w:val="14"/>
                <w:color w:val="auto"/>
              </w:rPr>
              <w:t>2025</w:t>
            </w:r>
          </w:p>
        </w:tc>
      </w:tr>
      <w:tr>
        <w:trPr>
          <w:trHeight w:val="247"/>
        </w:trPr>
        <w:tc>
          <w:tcPr>
            <w:tcW w:w="4980" w:type="dxa"/>
            <w:vAlign w:val="bottom"/>
          </w:tcPr>
          <w:p>
            <w:pPr>
              <w:spacing w:after="0"/>
              <w:rPr>
                <w:sz w:val="20"/>
                <w:szCs w:val="20"/>
                <w:color w:val="auto"/>
              </w:rPr>
            </w:pPr>
            <w:r>
              <w:rPr>
                <w:rFonts w:ascii="Arial" w:cs="Arial" w:eastAsia="Arial" w:hAnsi="Arial"/>
                <w:sz w:val="18"/>
                <w:szCs w:val="18"/>
                <w:b w:val="1"/>
                <w:bCs w:val="1"/>
                <w:color w:val="auto"/>
              </w:rPr>
              <w:t>Gross Margin - As Reported</w:t>
            </w:r>
          </w:p>
        </w:tc>
        <w:tc>
          <w:tcPr>
            <w:tcW w:w="1420" w:type="dxa"/>
            <w:vAlign w:val="bottom"/>
          </w:tcPr>
          <w:p>
            <w:pPr>
              <w:jc w:val="right"/>
              <w:ind w:right="1236"/>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53"/>
              <w:spacing w:after="0"/>
              <w:rPr>
                <w:sz w:val="20"/>
                <w:szCs w:val="20"/>
                <w:color w:val="auto"/>
              </w:rPr>
            </w:pPr>
            <w:r>
              <w:rPr>
                <w:rFonts w:ascii="Arial" w:cs="Arial" w:eastAsia="Arial" w:hAnsi="Arial"/>
                <w:sz w:val="18"/>
                <w:szCs w:val="18"/>
                <w:b w:val="1"/>
                <w:bCs w:val="1"/>
                <w:color w:val="auto"/>
              </w:rPr>
              <w:t>16,222</w:t>
            </w:r>
          </w:p>
        </w:tc>
        <w:tc>
          <w:tcPr>
            <w:tcW w:w="1040" w:type="dxa"/>
            <w:vAlign w:val="bottom"/>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153"/>
              <w:spacing w:after="0"/>
              <w:rPr>
                <w:sz w:val="20"/>
                <w:szCs w:val="20"/>
                <w:color w:val="auto"/>
              </w:rPr>
            </w:pPr>
            <w:r>
              <w:rPr>
                <w:rFonts w:ascii="Arial" w:cs="Arial" w:eastAsia="Arial" w:hAnsi="Arial"/>
                <w:sz w:val="18"/>
                <w:szCs w:val="18"/>
                <w:b w:val="1"/>
                <w:bCs w:val="1"/>
                <w:color w:val="auto"/>
              </w:rPr>
              <w:t>10,504</w:t>
            </w:r>
          </w:p>
        </w:tc>
      </w:tr>
      <w:tr>
        <w:trPr>
          <w:trHeight w:val="299"/>
        </w:trPr>
        <w:tc>
          <w:tcPr>
            <w:tcW w:w="4980" w:type="dxa"/>
            <w:vAlign w:val="bottom"/>
          </w:tcPr>
          <w:p>
            <w:pPr>
              <w:spacing w:after="0"/>
              <w:rPr>
                <w:sz w:val="20"/>
                <w:szCs w:val="20"/>
                <w:color w:val="auto"/>
              </w:rPr>
            </w:pPr>
            <w:r>
              <w:rPr>
                <w:rFonts w:ascii="Arial" w:cs="Arial" w:eastAsia="Arial" w:hAnsi="Arial"/>
                <w:sz w:val="18"/>
                <w:szCs w:val="18"/>
                <w:color w:val="auto"/>
              </w:rPr>
              <w:t>Increase for excluded items:</w:t>
            </w:r>
          </w:p>
        </w:tc>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91"/>
        </w:trPr>
        <w:tc>
          <w:tcPr>
            <w:tcW w:w="4980" w:type="dxa"/>
            <w:vAlign w:val="bottom"/>
          </w:tcPr>
          <w:p>
            <w:pPr>
              <w:ind w:left="160"/>
              <w:spacing w:after="0"/>
              <w:rPr>
                <w:sz w:val="20"/>
                <w:szCs w:val="20"/>
                <w:color w:val="auto"/>
              </w:rPr>
            </w:pPr>
            <w:r>
              <w:rPr>
                <w:rFonts w:ascii="Arial" w:cs="Arial" w:eastAsia="Arial" w:hAnsi="Arial"/>
                <w:sz w:val="18"/>
                <w:szCs w:val="18"/>
                <w:color w:val="auto"/>
              </w:rPr>
              <w:t>Amortization of intangible assets (Cost of sales)</w:t>
            </w:r>
            <w:r>
              <w:rPr>
                <w:rFonts w:ascii="Arial" w:cs="Arial" w:eastAsia="Arial" w:hAnsi="Arial"/>
                <w:sz w:val="23"/>
                <w:szCs w:val="23"/>
                <w:color w:val="auto"/>
                <w:vertAlign w:val="superscript"/>
              </w:rPr>
              <w:t>(1)</w:t>
            </w:r>
          </w:p>
        </w:tc>
        <w:tc>
          <w:tcPr>
            <w:tcW w:w="1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128</w:t>
            </w:r>
          </w:p>
        </w:tc>
        <w:tc>
          <w:tcPr>
            <w:tcW w:w="10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123</w:t>
            </w:r>
          </w:p>
        </w:tc>
      </w:tr>
      <w:tr>
        <w:trPr>
          <w:trHeight w:val="232"/>
        </w:trPr>
        <w:tc>
          <w:tcPr>
            <w:tcW w:w="4980" w:type="dxa"/>
            <w:vAlign w:val="bottom"/>
          </w:tcPr>
          <w:p>
            <w:pPr>
              <w:spacing w:after="0"/>
              <w:rPr>
                <w:sz w:val="20"/>
                <w:szCs w:val="20"/>
                <w:color w:val="auto"/>
              </w:rPr>
            </w:pPr>
            <w:r>
              <w:rPr>
                <w:rFonts w:ascii="Arial" w:cs="Arial" w:eastAsia="Arial" w:hAnsi="Arial"/>
                <w:sz w:val="18"/>
                <w:szCs w:val="18"/>
                <w:color w:val="auto"/>
              </w:rPr>
              <w:t>Gross Margin - Non-GAAP</w:t>
            </w:r>
          </w:p>
        </w:tc>
        <w:tc>
          <w:tcPr>
            <w:tcW w:w="1420" w:type="dxa"/>
            <w:vAlign w:val="bottom"/>
          </w:tcPr>
          <w:p>
            <w:pPr>
              <w:jc w:val="right"/>
              <w:ind w:right="1236"/>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3"/>
              <w:spacing w:after="0"/>
              <w:rPr>
                <w:sz w:val="20"/>
                <w:szCs w:val="20"/>
                <w:color w:val="auto"/>
              </w:rPr>
            </w:pPr>
            <w:r>
              <w:rPr>
                <w:rFonts w:ascii="Arial" w:cs="Arial" w:eastAsia="Arial" w:hAnsi="Arial"/>
                <w:sz w:val="18"/>
                <w:szCs w:val="18"/>
                <w:color w:val="auto"/>
              </w:rPr>
              <w:t>16,350</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3"/>
              <w:spacing w:after="0"/>
              <w:rPr>
                <w:sz w:val="20"/>
                <w:szCs w:val="20"/>
                <w:color w:val="auto"/>
              </w:rPr>
            </w:pPr>
            <w:r>
              <w:rPr>
                <w:rFonts w:ascii="Arial" w:cs="Arial" w:eastAsia="Arial" w:hAnsi="Arial"/>
                <w:sz w:val="18"/>
                <w:szCs w:val="18"/>
                <w:color w:val="auto"/>
              </w:rPr>
              <w:t>10,627</w:t>
            </w:r>
          </w:p>
        </w:tc>
      </w:tr>
      <w:tr>
        <w:trPr>
          <w:trHeight w:val="307"/>
        </w:trPr>
        <w:tc>
          <w:tcPr>
            <w:tcW w:w="4980" w:type="dxa"/>
            <w:vAlign w:val="bottom"/>
          </w:tcPr>
          <w:p>
            <w:pPr>
              <w:spacing w:after="0"/>
              <w:rPr>
                <w:sz w:val="20"/>
                <w:szCs w:val="20"/>
                <w:color w:val="auto"/>
              </w:rPr>
            </w:pPr>
            <w:r>
              <w:rPr>
                <w:rFonts w:ascii="Arial" w:cs="Arial" w:eastAsia="Arial" w:hAnsi="Arial"/>
                <w:sz w:val="18"/>
                <w:szCs w:val="18"/>
                <w:b w:val="1"/>
                <w:bCs w:val="1"/>
                <w:color w:val="auto"/>
              </w:rPr>
              <w:t>Gross Margin as a percent of revenue - As Reported</w:t>
            </w:r>
          </w:p>
        </w:tc>
        <w:tc>
          <w:tcPr>
            <w:tcW w:w="1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81.9 %</w:t>
            </w:r>
          </w:p>
        </w:tc>
        <w:tc>
          <w:tcPr>
            <w:tcW w:w="10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82.5 %</w:t>
            </w:r>
          </w:p>
        </w:tc>
      </w:tr>
      <w:tr>
        <w:trPr>
          <w:trHeight w:val="311"/>
        </w:trPr>
        <w:tc>
          <w:tcPr>
            <w:tcW w:w="4980" w:type="dxa"/>
            <w:vAlign w:val="bottom"/>
          </w:tcPr>
          <w:p>
            <w:pPr>
              <w:spacing w:after="0"/>
              <w:rPr>
                <w:sz w:val="20"/>
                <w:szCs w:val="20"/>
                <w:color w:val="auto"/>
              </w:rPr>
            </w:pPr>
            <w:r>
              <w:rPr>
                <w:rFonts w:ascii="Arial" w:cs="Arial" w:eastAsia="Arial" w:hAnsi="Arial"/>
                <w:sz w:val="18"/>
                <w:szCs w:val="18"/>
                <w:color w:val="auto"/>
              </w:rPr>
              <w:t>Gross Margin as a percent of revenue - Non-GAAP</w:t>
            </w:r>
            <w:r>
              <w:rPr>
                <w:rFonts w:ascii="Arial" w:cs="Arial" w:eastAsia="Arial" w:hAnsi="Arial"/>
                <w:sz w:val="23"/>
                <w:szCs w:val="23"/>
                <w:color w:val="auto"/>
                <w:vertAlign w:val="superscript"/>
              </w:rPr>
              <w:t>(2)</w:t>
            </w:r>
          </w:p>
        </w:tc>
        <w:tc>
          <w:tcPr>
            <w:tcW w:w="14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82.6 %</w:t>
            </w:r>
          </w:p>
        </w:tc>
        <w:tc>
          <w:tcPr>
            <w:tcW w:w="10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83.5 %</w:t>
            </w:r>
          </w:p>
        </w:tc>
      </w:tr>
    </w:tbl>
    <w:p>
      <w:pPr>
        <w:spacing w:after="0" w:line="363" w:lineRule="exact"/>
        <w:rPr>
          <w:sz w:val="20"/>
          <w:szCs w:val="20"/>
          <w:color w:val="auto"/>
        </w:rPr>
      </w:pPr>
    </w:p>
    <w:p>
      <w:pPr>
        <w:ind w:left="328" w:hanging="328"/>
        <w:spacing w:after="0"/>
        <w:tabs>
          <w:tab w:leader="none" w:pos="328"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Excludes amortization of intangibles primarily associated with costs of marketed products acquired or licensed from third parties.</w:t>
      </w:r>
    </w:p>
    <w:p>
      <w:pPr>
        <w:spacing w:after="0" w:line="55" w:lineRule="exact"/>
        <w:rPr>
          <w:rFonts w:ascii="Arial" w:cs="Arial" w:eastAsia="Arial" w:hAnsi="Arial"/>
          <w:sz w:val="14"/>
          <w:szCs w:val="14"/>
          <w:color w:val="auto"/>
        </w:rPr>
      </w:pPr>
    </w:p>
    <w:p>
      <w:pPr>
        <w:ind w:left="168" w:hanging="168"/>
        <w:spacing w:after="0"/>
        <w:tabs>
          <w:tab w:leader="none" w:pos="168"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Non-GAAP gross margin as a percent of revenue reflects the gross margin effects of the adjustments presented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863600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07"/>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68"/>
          </w:cols>
          <w:pgMar w:left="652" w:top="1440" w:right="97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8"/>
        <w:spacing w:after="0"/>
        <w:rPr>
          <w:sz w:val="20"/>
          <w:szCs w:val="20"/>
          <w:color w:val="auto"/>
        </w:rPr>
      </w:pPr>
      <w:r>
        <w:rPr>
          <w:rFonts w:ascii="Arial" w:cs="Arial" w:eastAsia="Arial" w:hAnsi="Arial"/>
          <w:sz w:val="18"/>
          <w:szCs w:val="18"/>
          <w:color w:val="auto"/>
        </w:rPr>
        <w:t>Reconciliation of GAAP Reported to Selected Non-GAAP Adjusted Information (Unaudited)</w:t>
      </w:r>
    </w:p>
    <w:p>
      <w:pPr>
        <w:spacing w:after="0" w:line="32" w:lineRule="exact"/>
        <w:rPr>
          <w:sz w:val="20"/>
          <w:szCs w:val="20"/>
          <w:color w:val="auto"/>
        </w:rPr>
      </w:pPr>
    </w:p>
    <w:p>
      <w:pPr>
        <w:ind w:left="368"/>
        <w:spacing w:after="0"/>
        <w:rPr>
          <w:sz w:val="20"/>
          <w:szCs w:val="20"/>
          <w:color w:val="auto"/>
        </w:rPr>
      </w:pPr>
      <w:r>
        <w:rPr>
          <w:rFonts w:ascii="Arial" w:cs="Arial" w:eastAsia="Arial" w:hAnsi="Arial"/>
          <w:sz w:val="18"/>
          <w:szCs w:val="18"/>
          <w:color w:val="auto"/>
        </w:rPr>
        <w:t>(Dollars in millions, except per share data; numbers may not add due to rounding)</w:t>
      </w:r>
    </w:p>
    <w:p>
      <w:pPr>
        <w:spacing w:after="0" w:line="239" w:lineRule="exact"/>
        <w:rPr>
          <w:sz w:val="20"/>
          <w:szCs w:val="20"/>
          <w:color w:val="auto"/>
        </w:rPr>
      </w:pPr>
    </w:p>
    <w:tbl>
      <w:tblPr>
        <w:tblLayout w:type="fixed"/>
        <w:tblInd w:w="368"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color w:val="auto"/>
              </w:rPr>
              <w:t>Three Months Ended March 31,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80" w:type="dxa"/>
            <w:vAlign w:val="bottom"/>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10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47"/>
        </w:trPr>
        <w:tc>
          <w:tcPr>
            <w:tcW w:w="4980" w:type="dxa"/>
            <w:vAlign w:val="bottom"/>
          </w:tcPr>
          <w:p>
            <w:pPr>
              <w:spacing w:after="0"/>
              <w:rPr>
                <w:sz w:val="20"/>
                <w:szCs w:val="20"/>
                <w:color w:val="auto"/>
              </w:rPr>
            </w:pPr>
            <w:r>
              <w:rPr>
                <w:rFonts w:ascii="Arial" w:cs="Arial" w:eastAsia="Arial" w:hAnsi="Arial"/>
                <w:sz w:val="18"/>
                <w:szCs w:val="18"/>
                <w:b w:val="1"/>
                <w:bCs w:val="1"/>
                <w:color w:val="auto"/>
              </w:rPr>
              <w:t>Net income - Reported</w:t>
            </w:r>
          </w:p>
        </w:tc>
        <w:tc>
          <w:tcPr>
            <w:tcW w:w="1400" w:type="dxa"/>
            <w:vAlign w:val="bottom"/>
          </w:tcPr>
          <w:p>
            <w:pPr>
              <w:jc w:val="right"/>
              <w:ind w:right="1194"/>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52"/>
              <w:spacing w:after="0"/>
              <w:rPr>
                <w:sz w:val="20"/>
                <w:szCs w:val="20"/>
                <w:color w:val="auto"/>
              </w:rPr>
            </w:pPr>
            <w:r>
              <w:rPr>
                <w:rFonts w:ascii="Arial" w:cs="Arial" w:eastAsia="Arial" w:hAnsi="Arial"/>
                <w:sz w:val="18"/>
                <w:szCs w:val="18"/>
                <w:b w:val="1"/>
                <w:bCs w:val="1"/>
                <w:color w:val="auto"/>
              </w:rPr>
              <w:t>7,396</w:t>
            </w:r>
          </w:p>
        </w:tc>
        <w:tc>
          <w:tcPr>
            <w:tcW w:w="1040" w:type="dxa"/>
            <w:vAlign w:val="bottom"/>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2,759</w:t>
            </w:r>
          </w:p>
        </w:tc>
        <w:tc>
          <w:tcPr>
            <w:tcW w:w="0" w:type="dxa"/>
            <w:vAlign w:val="bottom"/>
          </w:tcPr>
          <w:p>
            <w:pPr>
              <w:spacing w:after="0"/>
              <w:rPr>
                <w:sz w:val="1"/>
                <w:szCs w:val="1"/>
                <w:color w:val="auto"/>
              </w:rPr>
            </w:pPr>
          </w:p>
        </w:tc>
      </w:tr>
      <w:tr>
        <w:trPr>
          <w:trHeight w:val="474"/>
        </w:trPr>
        <w:tc>
          <w:tcPr>
            <w:tcW w:w="4980" w:type="dxa"/>
            <w:vAlign w:val="bottom"/>
          </w:tcPr>
          <w:p>
            <w:pPr>
              <w:spacing w:after="0"/>
              <w:rPr>
                <w:sz w:val="20"/>
                <w:szCs w:val="20"/>
                <w:color w:val="auto"/>
              </w:rPr>
            </w:pPr>
            <w:r>
              <w:rPr>
                <w:rFonts w:ascii="Arial" w:cs="Arial" w:eastAsia="Arial" w:hAnsi="Arial"/>
                <w:sz w:val="18"/>
                <w:szCs w:val="18"/>
                <w:color w:val="auto"/>
              </w:rPr>
              <w:t>Increase (decrease) for excluded items:</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980" w:type="dxa"/>
            <w:vAlign w:val="bottom"/>
          </w:tcPr>
          <w:p>
            <w:pPr>
              <w:ind w:left="160"/>
              <w:spacing w:after="0" w:line="232" w:lineRule="exact"/>
              <w:rPr>
                <w:sz w:val="20"/>
                <w:szCs w:val="20"/>
                <w:color w:val="auto"/>
              </w:rPr>
            </w:pPr>
            <w:r>
              <w:rPr>
                <w:rFonts w:ascii="Arial" w:cs="Arial" w:eastAsia="Arial" w:hAnsi="Arial"/>
                <w:sz w:val="18"/>
                <w:szCs w:val="18"/>
                <w:color w:val="auto"/>
              </w:rPr>
              <w:t>Amortization of intangible assets (Cost of sales)</w:t>
            </w:r>
            <w:r>
              <w:rPr>
                <w:rFonts w:ascii="Arial" w:cs="Arial" w:eastAsia="Arial" w:hAnsi="Arial"/>
                <w:sz w:val="23"/>
                <w:szCs w:val="23"/>
                <w:color w:val="auto"/>
                <w:vertAlign w:val="superscript"/>
              </w:rPr>
              <w:t>(1)</w:t>
            </w:r>
          </w:p>
        </w:tc>
        <w:tc>
          <w:tcPr>
            <w:tcW w:w="1400" w:type="dxa"/>
            <w:vAlign w:val="bottom"/>
          </w:tcPr>
          <w:p>
            <w:pPr>
              <w:spacing w:after="0"/>
              <w:rPr>
                <w:sz w:val="20"/>
                <w:szCs w:val="20"/>
                <w:color w:val="auto"/>
              </w:rPr>
            </w:pP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128</w:t>
            </w:r>
          </w:p>
        </w:tc>
        <w:tc>
          <w:tcPr>
            <w:tcW w:w="1040" w:type="dxa"/>
            <w:vAlign w:val="bottom"/>
          </w:tcPr>
          <w:p>
            <w:pPr>
              <w:spacing w:after="0"/>
              <w:rPr>
                <w:sz w:val="20"/>
                <w:szCs w:val="20"/>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1"/>
        </w:trPr>
        <w:tc>
          <w:tcPr>
            <w:tcW w:w="4980" w:type="dxa"/>
            <w:vAlign w:val="bottom"/>
          </w:tcPr>
          <w:p>
            <w:pPr>
              <w:ind w:left="160"/>
              <w:spacing w:after="0" w:line="181" w:lineRule="exact"/>
              <w:rPr>
                <w:sz w:val="20"/>
                <w:szCs w:val="20"/>
                <w:color w:val="auto"/>
              </w:rPr>
            </w:pPr>
            <w:r>
              <w:rPr>
                <w:rFonts w:ascii="Arial" w:cs="Arial" w:eastAsia="Arial" w:hAnsi="Arial"/>
                <w:sz w:val="18"/>
                <w:szCs w:val="18"/>
                <w:color w:val="auto"/>
              </w:rPr>
              <w:t>Asset impairment, restructuring and other special</w:t>
            </w:r>
          </w:p>
        </w:tc>
        <w:tc>
          <w:tcPr>
            <w:tcW w:w="1400" w:type="dxa"/>
            <w:vAlign w:val="bottom"/>
          </w:tcPr>
          <w:p>
            <w:pPr>
              <w:spacing w:after="0"/>
              <w:rPr>
                <w:sz w:val="15"/>
                <w:szCs w:val="15"/>
                <w:color w:val="auto"/>
              </w:rPr>
            </w:pPr>
          </w:p>
        </w:tc>
        <w:tc>
          <w:tcPr>
            <w:tcW w:w="1040" w:type="dxa"/>
            <w:vAlign w:val="bottom"/>
            <w:vMerge w:val="restart"/>
          </w:tcPr>
          <w:p>
            <w:pPr>
              <w:jc w:val="right"/>
              <w:ind w:right="152"/>
              <w:spacing w:after="0"/>
              <w:rPr>
                <w:sz w:val="20"/>
                <w:szCs w:val="20"/>
                <w:color w:val="auto"/>
              </w:rPr>
            </w:pPr>
            <w:r>
              <w:rPr>
                <w:rFonts w:ascii="Arial" w:cs="Arial" w:eastAsia="Arial" w:hAnsi="Arial"/>
                <w:sz w:val="18"/>
                <w:szCs w:val="18"/>
                <w:color w:val="auto"/>
              </w:rPr>
              <w:t>279</w:t>
            </w:r>
          </w:p>
        </w:tc>
        <w:tc>
          <w:tcPr>
            <w:tcW w:w="1040" w:type="dxa"/>
            <w:vAlign w:val="bottom"/>
          </w:tcPr>
          <w:p>
            <w:pPr>
              <w:spacing w:after="0"/>
              <w:rPr>
                <w:sz w:val="15"/>
                <w:szCs w:val="15"/>
                <w:color w:val="auto"/>
              </w:rPr>
            </w:pPr>
          </w:p>
        </w:tc>
        <w:tc>
          <w:tcPr>
            <w:tcW w:w="1400" w:type="dxa"/>
            <w:vAlign w:val="bottom"/>
            <w:vMerge w:val="restart"/>
          </w:tcPr>
          <w:p>
            <w:pPr>
              <w:jc w:val="right"/>
              <w:ind w:right="15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8"/>
        </w:trPr>
        <w:tc>
          <w:tcPr>
            <w:tcW w:w="4980" w:type="dxa"/>
            <w:vAlign w:val="bottom"/>
          </w:tcPr>
          <w:p>
            <w:pPr>
              <w:ind w:left="160"/>
              <w:spacing w:after="0" w:line="237" w:lineRule="exact"/>
              <w:rPr>
                <w:sz w:val="20"/>
                <w:szCs w:val="20"/>
                <w:color w:val="auto"/>
              </w:rPr>
            </w:pPr>
            <w:r>
              <w:rPr>
                <w:rFonts w:ascii="Arial" w:cs="Arial" w:eastAsia="Arial" w:hAnsi="Arial"/>
                <w:sz w:val="18"/>
                <w:szCs w:val="18"/>
                <w:color w:val="auto"/>
              </w:rPr>
              <w:t>charges</w:t>
            </w:r>
            <w:r>
              <w:rPr>
                <w:rFonts w:ascii="Arial" w:cs="Arial" w:eastAsia="Arial" w:hAnsi="Arial"/>
                <w:sz w:val="23"/>
                <w:szCs w:val="23"/>
                <w:color w:val="auto"/>
                <w:vertAlign w:val="superscript"/>
              </w:rPr>
              <w:t>(2)</w:t>
            </w:r>
          </w:p>
        </w:tc>
        <w:tc>
          <w:tcPr>
            <w:tcW w:w="14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980" w:type="dxa"/>
            <w:vAlign w:val="bottom"/>
          </w:tcPr>
          <w:p>
            <w:pPr>
              <w:ind w:left="160"/>
              <w:spacing w:after="0" w:line="181" w:lineRule="exact"/>
              <w:rPr>
                <w:sz w:val="20"/>
                <w:szCs w:val="20"/>
                <w:color w:val="auto"/>
              </w:rPr>
            </w:pPr>
            <w:r>
              <w:rPr>
                <w:rFonts w:ascii="Arial" w:cs="Arial" w:eastAsia="Arial" w:hAnsi="Arial"/>
                <w:sz w:val="18"/>
                <w:szCs w:val="18"/>
                <w:color w:val="auto"/>
              </w:rPr>
              <w:t>Net (gains) losses on investments in equity securities</w:t>
            </w:r>
          </w:p>
        </w:tc>
        <w:tc>
          <w:tcPr>
            <w:tcW w:w="1400" w:type="dxa"/>
            <w:vAlign w:val="bottom"/>
          </w:tcPr>
          <w:p>
            <w:pPr>
              <w:spacing w:after="0"/>
              <w:rPr>
                <w:sz w:val="15"/>
                <w:szCs w:val="15"/>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8"/>
                <w:szCs w:val="18"/>
                <w:color w:val="auto"/>
              </w:rPr>
              <w:t>(79)</w:t>
            </w:r>
          </w:p>
        </w:tc>
        <w:tc>
          <w:tcPr>
            <w:tcW w:w="1040" w:type="dxa"/>
            <w:vAlign w:val="bottom"/>
          </w:tcPr>
          <w:p>
            <w:pPr>
              <w:spacing w:after="0"/>
              <w:rPr>
                <w:sz w:val="15"/>
                <w:szCs w:val="15"/>
                <w:color w:val="auto"/>
              </w:rPr>
            </w:pPr>
          </w:p>
        </w:tc>
        <w:tc>
          <w:tcPr>
            <w:tcW w:w="1400" w:type="dxa"/>
            <w:vAlign w:val="bottom"/>
            <w:vMerge w:val="restart"/>
          </w:tcPr>
          <w:p>
            <w:pPr>
              <w:jc w:val="right"/>
              <w:ind w:right="15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8"/>
        </w:trPr>
        <w:tc>
          <w:tcPr>
            <w:tcW w:w="4980" w:type="dxa"/>
            <w:vAlign w:val="bottom"/>
          </w:tcPr>
          <w:p>
            <w:pPr>
              <w:ind w:left="160"/>
              <w:spacing w:after="0"/>
              <w:rPr>
                <w:sz w:val="20"/>
                <w:szCs w:val="20"/>
                <w:color w:val="auto"/>
              </w:rPr>
            </w:pPr>
            <w:r>
              <w:rPr>
                <w:rFonts w:ascii="Arial" w:cs="Arial" w:eastAsia="Arial" w:hAnsi="Arial"/>
                <w:sz w:val="18"/>
                <w:szCs w:val="18"/>
                <w:color w:val="auto"/>
              </w:rPr>
              <w:t>(Other income/expense)</w:t>
            </w:r>
          </w:p>
        </w:tc>
        <w:tc>
          <w:tcPr>
            <w:tcW w:w="14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160"/>
              <w:spacing w:after="0"/>
              <w:rPr>
                <w:sz w:val="20"/>
                <w:szCs w:val="20"/>
                <w:color w:val="auto"/>
              </w:rPr>
            </w:pPr>
            <w:r>
              <w:rPr>
                <w:rFonts w:ascii="Arial" w:cs="Arial" w:eastAsia="Arial" w:hAnsi="Arial"/>
                <w:sz w:val="18"/>
                <w:szCs w:val="18"/>
                <w:color w:val="auto"/>
              </w:rPr>
              <w:t>Corresponding tax effects (Income taxes)</w:t>
            </w:r>
          </w:p>
        </w:tc>
        <w:tc>
          <w:tcPr>
            <w:tcW w:w="1400" w:type="dxa"/>
            <w:vAlign w:val="bottom"/>
          </w:tcPr>
          <w:p>
            <w:pPr>
              <w:spacing w:after="0"/>
              <w:rPr>
                <w:sz w:val="20"/>
                <w:szCs w:val="20"/>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(61)</w:t>
            </w:r>
          </w:p>
        </w:tc>
        <w:tc>
          <w:tcPr>
            <w:tcW w:w="1040" w:type="dxa"/>
            <w:vAlign w:val="bottom"/>
          </w:tcPr>
          <w:p>
            <w:pPr>
              <w:spacing w:after="0"/>
              <w:rPr>
                <w:sz w:val="20"/>
                <w:szCs w:val="20"/>
                <w:color w:val="auto"/>
              </w:rPr>
            </w:pP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66"/>
        </w:trPr>
        <w:tc>
          <w:tcPr>
            <w:tcW w:w="4980" w:type="dxa"/>
            <w:vAlign w:val="bottom"/>
            <w:vMerge w:val="restart"/>
          </w:tcPr>
          <w:p>
            <w:pPr>
              <w:spacing w:after="0"/>
              <w:rPr>
                <w:sz w:val="20"/>
                <w:szCs w:val="20"/>
                <w:color w:val="auto"/>
              </w:rPr>
            </w:pPr>
            <w:r>
              <w:rPr>
                <w:rFonts w:ascii="Arial" w:cs="Arial" w:eastAsia="Arial" w:hAnsi="Arial"/>
                <w:sz w:val="18"/>
                <w:szCs w:val="18"/>
                <w:color w:val="auto"/>
              </w:rPr>
              <w:t>Net income - Non-GAAP</w:t>
            </w:r>
          </w:p>
        </w:tc>
        <w:tc>
          <w:tcPr>
            <w:tcW w:w="1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4980" w:type="dxa"/>
            <w:vAlign w:val="bottom"/>
            <w:vMerge w:val="continue"/>
          </w:tcPr>
          <w:p>
            <w:pPr>
              <w:spacing w:after="0"/>
              <w:rPr>
                <w:sz w:val="20"/>
                <w:szCs w:val="20"/>
                <w:color w:val="auto"/>
              </w:rPr>
            </w:pPr>
          </w:p>
        </w:tc>
        <w:tc>
          <w:tcPr>
            <w:tcW w:w="1400" w:type="dxa"/>
            <w:vAlign w:val="bottom"/>
          </w:tcPr>
          <w:p>
            <w:pPr>
              <w:jc w:val="right"/>
              <w:ind w:right="119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7,663</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482"/>
        </w:trPr>
        <w:tc>
          <w:tcPr>
            <w:tcW w:w="4980" w:type="dxa"/>
            <w:vAlign w:val="bottom"/>
          </w:tcPr>
          <w:p>
            <w:pPr>
              <w:spacing w:after="0"/>
              <w:rPr>
                <w:sz w:val="20"/>
                <w:szCs w:val="20"/>
                <w:color w:val="auto"/>
              </w:rPr>
            </w:pPr>
            <w:r>
              <w:rPr>
                <w:rFonts w:ascii="Arial" w:cs="Arial" w:eastAsia="Arial" w:hAnsi="Arial"/>
                <w:sz w:val="18"/>
                <w:szCs w:val="18"/>
                <w:b w:val="1"/>
                <w:bCs w:val="1"/>
                <w:color w:val="auto"/>
              </w:rPr>
              <w:t>Effective tax rate - Reported</w:t>
            </w:r>
          </w:p>
        </w:tc>
        <w:tc>
          <w:tcPr>
            <w:tcW w:w="1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16.4 %</w:t>
            </w:r>
          </w:p>
        </w:tc>
        <w:tc>
          <w:tcPr>
            <w:tcW w:w="10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20.2 %</w:t>
            </w:r>
          </w:p>
        </w:tc>
        <w:tc>
          <w:tcPr>
            <w:tcW w:w="0" w:type="dxa"/>
            <w:vAlign w:val="bottom"/>
          </w:tcPr>
          <w:p>
            <w:pPr>
              <w:spacing w:after="0"/>
              <w:rPr>
                <w:sz w:val="1"/>
                <w:szCs w:val="1"/>
                <w:color w:val="auto"/>
              </w:rPr>
            </w:pPr>
          </w:p>
        </w:tc>
      </w:tr>
      <w:tr>
        <w:trPr>
          <w:trHeight w:val="232"/>
        </w:trPr>
        <w:tc>
          <w:tcPr>
            <w:tcW w:w="4980" w:type="dxa"/>
            <w:vAlign w:val="bottom"/>
          </w:tcPr>
          <w:p>
            <w:pPr>
              <w:spacing w:after="0" w:line="232" w:lineRule="exact"/>
              <w:rPr>
                <w:sz w:val="20"/>
                <w:szCs w:val="20"/>
                <w:color w:val="auto"/>
              </w:rPr>
            </w:pPr>
            <w:r>
              <w:rPr>
                <w:rFonts w:ascii="Arial" w:cs="Arial" w:eastAsia="Arial" w:hAnsi="Arial"/>
                <w:sz w:val="18"/>
                <w:szCs w:val="18"/>
                <w:color w:val="auto"/>
              </w:rPr>
              <w:t>Effective tax rate - Non-GAAP</w:t>
            </w:r>
            <w:r>
              <w:rPr>
                <w:rFonts w:ascii="Arial" w:cs="Arial" w:eastAsia="Arial" w:hAnsi="Arial"/>
                <w:sz w:val="23"/>
                <w:szCs w:val="23"/>
                <w:color w:val="auto"/>
                <w:vertAlign w:val="superscript"/>
              </w:rPr>
              <w:t>(3)</w:t>
            </w:r>
          </w:p>
        </w:tc>
        <w:tc>
          <w:tcPr>
            <w:tcW w:w="1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16.5 %</w:t>
            </w:r>
          </w:p>
        </w:tc>
        <w:tc>
          <w:tcPr>
            <w:tcW w:w="10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b w:val="1"/>
                <w:bCs w:val="1"/>
                <w:color w:val="auto"/>
              </w:rPr>
              <w:t>Earnings per share (diluted) - Reported</w:t>
            </w:r>
          </w:p>
        </w:tc>
        <w:tc>
          <w:tcPr>
            <w:tcW w:w="1400" w:type="dxa"/>
            <w:vAlign w:val="bottom"/>
          </w:tcPr>
          <w:p>
            <w:pPr>
              <w:jc w:val="right"/>
              <w:ind w:right="1194"/>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52"/>
              <w:spacing w:after="0"/>
              <w:rPr>
                <w:sz w:val="20"/>
                <w:szCs w:val="20"/>
                <w:color w:val="auto"/>
              </w:rPr>
            </w:pPr>
            <w:r>
              <w:rPr>
                <w:rFonts w:ascii="Arial" w:cs="Arial" w:eastAsia="Arial" w:hAnsi="Arial"/>
                <w:sz w:val="18"/>
                <w:szCs w:val="18"/>
                <w:b w:val="1"/>
                <w:bCs w:val="1"/>
                <w:color w:val="auto"/>
              </w:rPr>
              <w:t>8.26</w:t>
            </w:r>
          </w:p>
        </w:tc>
        <w:tc>
          <w:tcPr>
            <w:tcW w:w="1040" w:type="dxa"/>
            <w:vAlign w:val="bottom"/>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ind w:right="152"/>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39"/>
        </w:trPr>
        <w:tc>
          <w:tcPr>
            <w:tcW w:w="4980" w:type="dxa"/>
            <w:vAlign w:val="bottom"/>
          </w:tcPr>
          <w:p>
            <w:pPr>
              <w:spacing w:after="0"/>
              <w:rPr>
                <w:sz w:val="20"/>
                <w:szCs w:val="20"/>
                <w:color w:val="auto"/>
              </w:rPr>
            </w:pPr>
            <w:r>
              <w:rPr>
                <w:rFonts w:ascii="Arial" w:cs="Arial" w:eastAsia="Arial" w:hAnsi="Arial"/>
                <w:sz w:val="18"/>
                <w:szCs w:val="18"/>
                <w:color w:val="auto"/>
              </w:rPr>
              <w:t>Earnings per share (diluted) - Non-GAAP</w:t>
            </w:r>
          </w:p>
        </w:tc>
        <w:tc>
          <w:tcPr>
            <w:tcW w:w="1400" w:type="dxa"/>
            <w:vAlign w:val="bottom"/>
          </w:tcPr>
          <w:p>
            <w:pPr>
              <w:jc w:val="right"/>
              <w:ind w:right="119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8.55</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328" w:hanging="328"/>
        <w:spacing w:after="0"/>
        <w:tabs>
          <w:tab w:leader="none" w:pos="328"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amortization of intangibles primarily associated with costs of marketed products acquired or licensed from third parties.</w:t>
      </w:r>
    </w:p>
    <w:p>
      <w:pPr>
        <w:spacing w:after="0" w:line="55" w:lineRule="exact"/>
        <w:rPr>
          <w:rFonts w:ascii="Arial" w:cs="Arial" w:eastAsia="Arial" w:hAnsi="Arial"/>
          <w:sz w:val="14"/>
          <w:szCs w:val="14"/>
          <w:color w:val="auto"/>
        </w:rPr>
      </w:pPr>
    </w:p>
    <w:p>
      <w:pPr>
        <w:ind w:left="328" w:hanging="328"/>
        <w:spacing w:after="0" w:line="301" w:lineRule="auto"/>
        <w:tabs>
          <w:tab w:leader="none" w:pos="164"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months ended March 31, 2026, excluded charges primarily related to litigation matters. For the three months ended March 31, 2025, excluded charges related to intangible asset impairments.</w:t>
      </w:r>
    </w:p>
    <w:p>
      <w:pPr>
        <w:spacing w:after="0" w:line="1" w:lineRule="exact"/>
        <w:rPr>
          <w:rFonts w:ascii="Arial" w:cs="Arial" w:eastAsia="Arial" w:hAnsi="Arial"/>
          <w:sz w:val="14"/>
          <w:szCs w:val="14"/>
          <w:color w:val="auto"/>
        </w:rPr>
      </w:pPr>
    </w:p>
    <w:p>
      <w:pPr>
        <w:ind w:left="168" w:hanging="168"/>
        <w:spacing w:after="0"/>
        <w:tabs>
          <w:tab w:leader="none" w:pos="168"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Non-GAAP tax rate reflects the tax effects of the adjustments presented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855345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11</w:t>
      </w:r>
    </w:p>
    <w:sectPr>
      <w:pgSz w:w="11900" w:h="16838" w:orient="portrait"/>
      <w:cols w:equalWidth="0" w:num="1">
        <w:col w:w="10588"/>
      </w:cols>
      <w:pgMar w:left="652"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2026-04-30T06:09:16Z</dcterms:created>
  <dcterms:modified xsi:type="dcterms:W3CDTF">2026-04-30T06:09:16Z</dcterms:modified>
</cp:coreProperties>
</file>