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6314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Eli Lilly and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Friends Fiduciary Corporation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1700 Market Street, Suite 1535, Philadelphia, PA 19103</w:t>
      </w:r>
    </w:p>
    <w:p>
      <w:pPr>
        <w:spacing w:after="0" w:line="203"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Written materials are submitted pursuant to Rule 14a-6(g)(1) promulgated under the Securities Exchange Act of 1934. The soliciting person does not beneficially own more than $5 million of the class of subject securities, and the notice is therefore being provided on a voluntary basis.</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Shareholder Proposal:</w:t>
      </w:r>
    </w:p>
    <w:p>
      <w:pPr>
        <w:spacing w:after="0" w:line="31"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18"/>
          <w:szCs w:val="18"/>
          <w:i w:val="1"/>
          <w:iCs w:val="1"/>
          <w:color w:val="auto"/>
        </w:rPr>
        <w:t>Shareholders request the Board of Directors adopt as policy, and amend the bylaws as necessary, to require 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Shareholder Proposal was filed by Mercy Investment Services and Friends Fiduciary Corporation.</w:t>
      </w:r>
    </w:p>
    <w:p>
      <w:pPr>
        <w:spacing w:after="0" w:line="225"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Eli Lilly and Company (LLY) (“Eli Lilly”) stands at a critical juncture, given the business risks created by the rising prices of the company’s insulin products and allegations of anti-competitive pricing behavior in the insulin market.</w:t>
      </w:r>
      <w:r>
        <w:rPr>
          <w:rFonts w:ascii="Times New Roman" w:cs="Times New Roman" w:eastAsia="Times New Roman" w:hAnsi="Times New Roman"/>
          <w:sz w:val="29"/>
          <w:szCs w:val="29"/>
          <w:color w:val="auto"/>
          <w:vertAlign w:val="superscript"/>
        </w:rPr>
        <w:t>i</w:t>
      </w:r>
      <w:r>
        <w:rPr>
          <w:rFonts w:ascii="Times New Roman" w:cs="Times New Roman" w:eastAsia="Times New Roman" w:hAnsi="Times New Roman"/>
          <w:sz w:val="18"/>
          <w:szCs w:val="18"/>
          <w:color w:val="auto"/>
        </w:rPr>
        <w:t xml:space="preserve"> We urge shareholders to clearly signal to the Eli Lilly board that the long-term financial and reputational risks of its current strategy outweigh any short-term financial benefits, by voting FOR Proposal 6 to require an independent chair.</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LILLY FACES FINANCIAL, LEGAL AND REPUTATIONAL RISKS</w:t>
      </w:r>
    </w:p>
    <w:p>
      <w:pPr>
        <w:spacing w:after="0" w:line="3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one of the three primary insulin makers worldwide, Eli Lilly faces substantial financial, legal and reputational risks stemming from allegations that it has engaged in anti-competitive pricing and related behavior in the insulin and GLP-1 markets. In January of this year, Strive Specialties sued the company and Novo Nordisk claiming the drugmakers entered into exclusive agreements with telehealth providers, which were then barred from working with compounders; interfered with relationships that compounders have with payment processors and social media platforms; and regularly disparaged</w:t>
      </w:r>
    </w:p>
    <w:p>
      <w:pPr>
        <w:spacing w:after="0" w:line="2" w:lineRule="exact"/>
        <w:rPr>
          <w:sz w:val="24"/>
          <w:szCs w:val="24"/>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compounded medicines as illegal or unsafe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There is also ongoing litigation with several states alleging that the Pharmacy Benefit Managers worked in coordination with Eli Lilly, Sanofi, and Novo Nordisk to distort the market for diabetic treatments to their benefit, at the expense of diabetics.</w:t>
      </w:r>
      <w:r>
        <w:rPr>
          <w:rFonts w:ascii="Times New Roman" w:cs="Times New Roman" w:eastAsia="Times New Roman" w:hAnsi="Times New Roman"/>
          <w:sz w:val="29"/>
          <w:szCs w:val="29"/>
          <w:color w:val="auto"/>
          <w:vertAlign w:val="superscript"/>
        </w:rPr>
        <w:t>2</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0" w:lineRule="exact"/>
        <w:rPr>
          <w:sz w:val="24"/>
          <w:szCs w:val="24"/>
          <w:color w:val="auto"/>
        </w:rPr>
      </w:pPr>
    </w:p>
    <w:p>
      <w:pPr>
        <w:ind w:right="1740" w:firstLine="8"/>
        <w:spacing w:after="0" w:line="234" w:lineRule="auto"/>
        <w:tabs>
          <w:tab w:leader="none" w:pos="120" w:val="left"/>
        </w:tabs>
        <w:numPr>
          <w:ilvl w:val="0"/>
          <w:numId w:val="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https://www.statnews.com/pharmalot/2026/01/14/pharmacy-compounder-antitrust-lilly-novo-weight-obesity/#:~:text=During%20the%20shortages%2C%20Lilly%20and,competition%2C%20although%20the%20outcomes%20varied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https://www.mcaginc.com/post/insulin-pricing-under-fire-what-it-means-for-self-funded-plans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7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Additionally, advocacy groups in the United Kingdom (U.K.) have sent a letter to regulators calling out Eli Lilly, AstraZeneca and Merck for allegedly acting in concert with U.K. trade group the Association of the British Pharmaceutical Industry (ABPI) to drive up drug prices in the U.K</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These legal challenges and investigations have generated substantial media attention, which raises concerns about reputational and financial harm to the company and its shareholders.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may disagree about whether an independent board chair is considered the best governance practice at all companies. However, independent board leadership is clearly at a premium when a company is in the midst of the kind of legal scrutiny and pressure facing Eli Lilly. We believe a structure where the CEO runs the business and is accountable to a board led by an independent chair is in the best interests of the company’s shareholders for the following reasons:</w:t>
      </w:r>
    </w:p>
    <w:p>
      <w:pPr>
        <w:spacing w:after="0" w:line="3" w:lineRule="exact"/>
        <w:rPr>
          <w:sz w:val="20"/>
          <w:szCs w:val="20"/>
          <w:color w:val="auto"/>
        </w:rPr>
      </w:pPr>
    </w:p>
    <w:p>
      <w:pPr>
        <w:jc w:val="both"/>
        <w:ind w:left="66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Eliminates Structural Conflicts of Interest in Dual Role</w:t>
      </w:r>
      <w:r>
        <w:rPr>
          <w:rFonts w:ascii="Times New Roman" w:cs="Times New Roman" w:eastAsia="Times New Roman" w:hAnsi="Times New Roman"/>
          <w:sz w:val="18"/>
          <w:szCs w:val="18"/>
          <w:color w:val="auto"/>
        </w:rPr>
        <w:t>. The management of a complex global pharmaceutical company is a full-time job. It is unrealistic – and needlessly complicated – to expect one person to perform well as CEO on top of his or her responsibilities for providing rigorous board oversight. An independent board chair eliminates the structural conflicts of interest caused by the CEO essentially being his or her own boss and clarifies where the authority of the CEO ends and responsibility of the independent board members begins.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Governance Concern Resulting from Board Failure to Oversee Material Risks</w:t>
      </w:r>
      <w:r>
        <w:rPr>
          <w:rFonts w:ascii="Times New Roman" w:cs="Times New Roman" w:eastAsia="Times New Roman" w:hAnsi="Times New Roman"/>
          <w:sz w:val="18"/>
          <w:szCs w:val="18"/>
          <w:color w:val="auto"/>
        </w:rPr>
        <w:t>. In light of potentially material legal, regulatory, financial and reputational risks, as well as controversies and legal challenges facing the company, we are concerned that the board is not providing sufficiently robust oversight of the company’s culture, strategy, and risk management. Adopting best governance practices, including an independent board chair, should ensure that oversight.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Governance Concern Resulting from Large Insider Ownership</w:t>
      </w:r>
      <w:r>
        <w:rPr>
          <w:rFonts w:ascii="Times New Roman" w:cs="Times New Roman" w:eastAsia="Times New Roman" w:hAnsi="Times New Roman"/>
          <w:sz w:val="18"/>
          <w:szCs w:val="18"/>
          <w:color w:val="auto"/>
        </w:rPr>
        <w:t>. An independent board chair would be especially useful at Eli Lilly, as its shareholders already have a diluted voice due to the company’s largest shareholder being the company’s own foundation. This insider ownership makes it extremely difficult for outside shareholders to exercise their rights. Having a board chair who is not independent of the company compounds this issue.</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U.S. boards are increasingly recognizing the value of an independent board chair. As of 2024, approximately 40 percent</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S&amp;P 500 firms had an independent chair. ISS reported in September 2025 that 81 percent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of investors responding to its policy survey indicated that an independent chair is their preferred model. Moreover, pharmaceutical companies headquartered in Europe are required to have separate roles and have not suffered as a result.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https://www.fiercepharma.com/pharma/uk-advocacy-groups-call-investigation-alleged-cartel-scheme-drive-uk-drug-prices-report</w:t>
      </w:r>
    </w:p>
    <w:p>
      <w:pPr>
        <w:spacing w:after="0" w:line="42" w:lineRule="exact"/>
        <w:rPr>
          <w:rFonts w:ascii="Times New Roman" w:cs="Times New Roman" w:eastAsia="Times New Roman" w:hAnsi="Times New Roman"/>
          <w:sz w:val="30"/>
          <w:szCs w:val="30"/>
          <w:color w:val="auto"/>
          <w:vertAlign w:val="superscript"/>
        </w:rPr>
      </w:pPr>
    </w:p>
    <w:p>
      <w:pPr>
        <w:ind w:right="4200"/>
        <w:spacing w:after="0" w:line="21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https://www.conference-board.org/publications/Board-Practices-and-Composition-2024-Edition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https://www.issgovernance.com/file/policy/active/policy-survey-summary-2025.pdf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is not a proxy solicitation, to vote your proxy. 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7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reasons we urge you to VOTE FOR ITEM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is not a proxy solicitation, to vote your proxy. 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7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3"/>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2026-04-29T12:45:33Z</dcterms:created>
  <dcterms:modified xsi:type="dcterms:W3CDTF">2026-04-29T12:45:33Z</dcterms:modified>
</cp:coreProperties>
</file>