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2"/>
        <w:gridCol w:w="1530"/>
        <w:gridCol w:w="3061"/>
        <w:gridCol w:w="2552"/>
      </w:tblGrid>
      <w:tr>
        <w:trPr/>
        <w:tc>
          <w:tcPr>
            <w:tcW w:w="306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ELI LILLY &amp; Co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LILLY CORPORATE CENTER</w:t>
                  </w:r>
                </w:p>
              </w:tc>
            </w:tr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Scribe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1,054,828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After giving effect to closing of the Issuer's initial public offering, the Reporting Person will cease to be a 10% Owner and, accordingly, will have no further Section 16 reporting obligations.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Anderson, Vice President, Leader of Corporate Securities and Assistant Corporate Secretary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059478" TargetMode="External"/><Relationship Id="rId3" Type="http://schemas.openxmlformats.org/officeDocument/2006/relationships/hyperlink" Target="http://www.sec.gov/cgi-bin/browse-edgar?action=getcompany&amp;CIK=000185392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427</Words>
  <Characters>2392</Characters>
  <CharactersWithSpaces>2772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