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right="274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2014</w:t>
      </w:r>
      <w:r>
        <w:rPr>
          <w:rFonts w:ascii="Arial" w:cs="Arial" w:eastAsia="Arial" w:hAnsi="Arial"/>
          <w:sz w:val="18"/>
          <w:szCs w:val="18"/>
          <w:color w:val="auto"/>
        </w:rPr>
        <w:t>.</w:t>
      </w:r>
    </w:p>
    <w:p>
      <w:pPr>
        <w:jc w:val="center"/>
        <w:ind w:right="-2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980" w:right="2440" w:hanging="971"/>
        <w:spacing w:after="0" w:line="290" w:lineRule="auto"/>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15(d) OF THE SECURITIES EXCHANGE ACT OF 1934</w:t>
      </w:r>
      <w:r>
        <w:rPr>
          <w:rFonts w:ascii="Arial" w:cs="Arial" w:eastAsia="Arial" w:hAnsi="Arial"/>
          <w:sz w:val="17"/>
          <w:szCs w:val="17"/>
          <w:color w:val="auto"/>
        </w:rPr>
        <w:t xml:space="preserve"> For the transition period from __________________________to __________________________</w:t>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001-6351</w:t>
      </w:r>
    </w:p>
    <w:p>
      <w:pPr>
        <w:spacing w:after="0" w:line="24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Eli Lilly and Company</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Indianapolis, Indiana 46285</w:t>
      </w:r>
    </w:p>
    <w:p>
      <w:pPr>
        <w:spacing w:after="0" w:line="200" w:lineRule="exact"/>
        <w:rPr>
          <w:sz w:val="24"/>
          <w:szCs w:val="24"/>
          <w:color w:val="auto"/>
        </w:rPr>
      </w:pPr>
    </w:p>
    <w:p>
      <w:pPr>
        <w:spacing w:after="0" w:line="306"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ectPr>
          <w:pgSz w:w="11900" w:h="16838" w:orient="portrait"/>
          <w:cols w:equalWidth="0" w:num="1">
            <w:col w:w="11200"/>
          </w:cols>
          <w:pgMar w:left="240" w:top="828"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 and 2013 and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9640" w:type="dxa"/>
            <w:vAlign w:val="bottom"/>
          </w:tcPr>
          <w:p>
            <w:pPr>
              <w:ind w:left="4660"/>
              <w:spacing w:after="0"/>
              <w:rPr>
                <w:sz w:val="20"/>
                <w:szCs w:val="20"/>
                <w:color w:val="auto"/>
              </w:rPr>
            </w:pPr>
            <w:r>
              <w:rPr>
                <w:rFonts w:ascii="Arial" w:cs="Arial" w:eastAsia="Arial" w:hAnsi="Arial"/>
                <w:sz w:val="25"/>
                <w:szCs w:val="25"/>
                <w:b w:val="1"/>
                <w:bCs w:val="1"/>
                <w:color w:val="auto"/>
              </w:rPr>
              <w:t>Table of Contents</w:t>
            </w:r>
          </w:p>
        </w:tc>
        <w:tc>
          <w:tcPr>
            <w:tcW w:w="1580" w:type="dxa"/>
            <w:vAlign w:val="bottom"/>
          </w:tcPr>
          <w:p>
            <w:pPr>
              <w:spacing w:after="0"/>
              <w:rPr>
                <w:sz w:val="24"/>
                <w:szCs w:val="24"/>
                <w:color w:val="auto"/>
              </w:rPr>
            </w:pPr>
          </w:p>
        </w:tc>
      </w:tr>
      <w:tr>
        <w:trPr>
          <w:trHeight w:val="775"/>
        </w:trPr>
        <w:tc>
          <w:tcPr>
            <w:tcW w:w="96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6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Financial Statements</w:t>
            </w:r>
          </w:p>
        </w:tc>
        <w:tc>
          <w:tcPr>
            <w:tcW w:w="1580" w:type="dxa"/>
            <w:vAlign w:val="bottom"/>
            <w:tcBorders>
              <w:bottom w:val="single" w:sz="8" w:color="DDDDDD"/>
            </w:tcBorders>
            <w:shd w:val="clear" w:color="auto" w:fill="DDDDDD"/>
          </w:tcPr>
          <w:p>
            <w:pPr>
              <w:spacing w:after="0"/>
              <w:rPr>
                <w:sz w:val="21"/>
                <w:szCs w:val="21"/>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- 2014</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- 2013</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96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Supplemental Schedules</w:t>
            </w:r>
          </w:p>
        </w:tc>
        <w:tc>
          <w:tcPr>
            <w:tcW w:w="1580" w:type="dxa"/>
            <w:vAlign w:val="bottom"/>
            <w:tcBorders>
              <w:bottom w:val="single" w:sz="8" w:color="DDDDDD"/>
            </w:tcBorders>
            <w:shd w:val="clear" w:color="auto" w:fill="DDDDDD"/>
          </w:tcPr>
          <w:p>
            <w:pPr>
              <w:spacing w:after="0"/>
              <w:rPr>
                <w:sz w:val="21"/>
                <w:szCs w:val="21"/>
                <w:color w:val="auto"/>
              </w:rPr>
            </w:pP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Schedule H, Line 4i - Schedule of Assets (Held at End of Year) - The Lilly Employee 401(k) Plan</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56"/>
        </w:trPr>
        <w:tc>
          <w:tcPr>
            <w:tcW w:w="9640" w:type="dxa"/>
            <w:vAlign w:val="bottom"/>
          </w:tcPr>
          <w:p>
            <w:pPr>
              <w:ind w:left="20"/>
              <w:spacing w:after="0"/>
              <w:rPr>
                <w:sz w:val="20"/>
                <w:szCs w:val="20"/>
                <w:color w:val="auto"/>
              </w:rPr>
            </w:pPr>
            <w:r>
              <w:rPr>
                <w:rFonts w:ascii="Arial" w:cs="Arial" w:eastAsia="Arial" w:hAnsi="Arial"/>
                <w:sz w:val="18"/>
                <w:szCs w:val="18"/>
                <w:color w:val="auto"/>
              </w:rPr>
              <w:t>Schedule H, Line 4i - Schedule of Assets (Held at End of Year) - The Savings Plan for Lilly Affiliate Employees in</w:t>
            </w:r>
          </w:p>
        </w:tc>
        <w:tc>
          <w:tcPr>
            <w:tcW w:w="1580" w:type="dxa"/>
            <w:vAlign w:val="bottom"/>
          </w:tcPr>
          <w:p>
            <w:pPr>
              <w:spacing w:after="0"/>
              <w:rPr>
                <w:sz w:val="22"/>
                <w:szCs w:val="22"/>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Puerto Rico</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20"/>
          </w:cols>
          <w:pgMar w:left="340" w:top="184" w:right="339"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The Employee Benefits Committee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Eli Lilly and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have audited each of the accompanying statements of net assets available for benefits of The Lilly Employee 401(k) Plan and The Savings Plan for Lilly Affiliate Employees in Puerto Rico (the Plans) as of December 31, 2014 and 2013, and the related statements of changes in net assets available for benefits for the Plans for the year ended December 31, 2014. These financial statements are the responsibility of the Plans’ management. Our responsibility is to express an opinion on these financial statements based on our audits.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assets available for benefits of the Plans at December 31, 2014 and 2013, and the changes in net assets available for benefits for the Plans for the year ended December 31, 2014, in conformity with U.S. generally accepted accounting principles.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accompanying supplemental schedules of assets (held at end of year) as of December 31, 2014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June 23, 2015</w:t>
      </w:r>
    </w:p>
    <w:p>
      <w:pPr>
        <w:sectPr>
          <w:pgSz w:w="11900" w:h="16838" w:orient="portrait"/>
          <w:cols w:equalWidth="0" w:num="1">
            <w:col w:w="11420"/>
          </w:cols>
          <w:pgMar w:left="240" w:top="1440" w:right="239" w:bottom="1440" w:gutter="0" w:footer="0" w:header="0"/>
        </w:sectPr>
      </w:pPr>
    </w:p>
    <w:bookmarkStart w:id="3" w:name="page4"/>
    <w:bookmarkEnd w:id="3"/>
    <w:p>
      <w:pPr>
        <w:jc w:val="center"/>
        <w:ind w:right="-69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2940"/>
        <w:spacing w:after="0"/>
        <w:rPr>
          <w:sz w:val="20"/>
          <w:szCs w:val="20"/>
          <w:color w:val="auto"/>
        </w:rPr>
      </w:pPr>
      <w:r>
        <w:rPr>
          <w:rFonts w:ascii="Arial" w:cs="Arial" w:eastAsia="Arial" w:hAnsi="Arial"/>
          <w:sz w:val="25"/>
          <w:szCs w:val="25"/>
          <w:color w:val="auto"/>
        </w:rPr>
        <w:t>Statements of Net Assets Available for Benefits</w:t>
      </w:r>
    </w:p>
    <w:p>
      <w:pPr>
        <w:spacing w:after="0" w:line="39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The Savings Plan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81"/>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1"/>
              </w:rPr>
              <w:t>The Lilly Employee</w:t>
            </w:r>
          </w:p>
        </w:tc>
        <w:tc>
          <w:tcPr>
            <w:tcW w:w="16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0"/>
              </w:rPr>
              <w:t>401(k) Plan</w:t>
            </w:r>
          </w:p>
        </w:tc>
        <w:tc>
          <w:tcPr>
            <w:tcW w:w="16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2"/>
          </w:tcPr>
          <w:p>
            <w:pPr>
              <w:jc w:val="center"/>
              <w:ind w:right="520"/>
              <w:spacing w:after="0"/>
              <w:rPr>
                <w:sz w:val="20"/>
                <w:szCs w:val="20"/>
                <w:color w:val="auto"/>
              </w:rPr>
            </w:pPr>
            <w:r>
              <w:rPr>
                <w:rFonts w:ascii="Arial" w:cs="Arial" w:eastAsia="Arial" w:hAnsi="Arial"/>
                <w:sz w:val="20"/>
                <w:szCs w:val="20"/>
                <w:b w:val="1"/>
                <w:bCs w:val="1"/>
                <w:color w:val="auto"/>
                <w:w w:val="90"/>
              </w:rPr>
              <w:t>(Plan No. 002)</w:t>
            </w:r>
          </w:p>
        </w:tc>
        <w:tc>
          <w:tcPr>
            <w:tcW w:w="160" w:type="dxa"/>
            <w:vAlign w:val="bottom"/>
          </w:tcPr>
          <w:p>
            <w:pPr>
              <w:spacing w:after="0"/>
              <w:rPr>
                <w:sz w:val="22"/>
                <w:szCs w:val="22"/>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(Plan No. 004)</w:t>
            </w:r>
          </w:p>
        </w:tc>
        <w:tc>
          <w:tcPr>
            <w:tcW w:w="0" w:type="dxa"/>
            <w:vAlign w:val="bottom"/>
          </w:tcPr>
          <w:p>
            <w:pPr>
              <w:spacing w:after="0"/>
              <w:rPr>
                <w:sz w:val="1"/>
                <w:szCs w:val="1"/>
                <w:color w:val="auto"/>
              </w:rPr>
            </w:pPr>
          </w:p>
        </w:tc>
      </w:tr>
      <w:tr>
        <w:trPr>
          <w:trHeight w:val="23"/>
        </w:trPr>
        <w:tc>
          <w:tcPr>
            <w:tcW w:w="514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Investments: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Interest in net assets of The Lilly</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40"/>
              <w:spacing w:after="0"/>
              <w:rPr>
                <w:sz w:val="20"/>
                <w:szCs w:val="20"/>
                <w:color w:val="auto"/>
              </w:rPr>
            </w:pPr>
            <w:r>
              <w:rPr>
                <w:rFonts w:ascii="Arial" w:cs="Arial" w:eastAsia="Arial" w:hAnsi="Arial"/>
                <w:sz w:val="20"/>
                <w:szCs w:val="20"/>
                <w:color w:val="auto"/>
              </w:rPr>
              <w:t>Employee Savings Plan Master Trust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5,462,047,721</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152,807,712</w:t>
            </w:r>
          </w:p>
        </w:tc>
        <w:tc>
          <w:tcPr>
            <w:tcW w:w="0" w:type="dxa"/>
            <w:vAlign w:val="bottom"/>
          </w:tcPr>
          <w:p>
            <w:pPr>
              <w:spacing w:after="0"/>
              <w:rPr>
                <w:sz w:val="1"/>
                <w:szCs w:val="1"/>
                <w:color w:val="auto"/>
              </w:rPr>
            </w:pPr>
          </w:p>
        </w:tc>
      </w:tr>
      <w:tr>
        <w:trPr>
          <w:trHeight w:val="608"/>
        </w:trPr>
        <w:tc>
          <w:tcPr>
            <w:tcW w:w="5140" w:type="dxa"/>
            <w:vAlign w:val="bottom"/>
          </w:tcPr>
          <w:p>
            <w:pPr>
              <w:spacing w:after="0"/>
              <w:rPr>
                <w:sz w:val="20"/>
                <w:szCs w:val="20"/>
                <w:color w:val="auto"/>
              </w:rPr>
            </w:pPr>
            <w:r>
              <w:rPr>
                <w:rFonts w:ascii="Arial" w:cs="Arial" w:eastAsia="Arial" w:hAnsi="Arial"/>
                <w:sz w:val="20"/>
                <w:szCs w:val="20"/>
                <w:color w:val="auto"/>
              </w:rPr>
              <w:t>Receivables: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40"/>
              <w:spacing w:after="0"/>
              <w:rPr>
                <w:sz w:val="20"/>
                <w:szCs w:val="20"/>
                <w:color w:val="auto"/>
              </w:rPr>
            </w:pPr>
            <w:r>
              <w:rPr>
                <w:rFonts w:ascii="Arial" w:cs="Arial" w:eastAsia="Arial" w:hAnsi="Arial"/>
                <w:sz w:val="20"/>
                <w:szCs w:val="20"/>
                <w:color w:val="auto"/>
              </w:rPr>
              <w:t>Employer contribution</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8,298,151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324,662</w:t>
            </w:r>
          </w:p>
        </w:tc>
        <w:tc>
          <w:tcPr>
            <w:tcW w:w="0" w:type="dxa"/>
            <w:vAlign w:val="bottom"/>
          </w:tcPr>
          <w:p>
            <w:pPr>
              <w:spacing w:after="0"/>
              <w:rPr>
                <w:sz w:val="1"/>
                <w:szCs w:val="1"/>
                <w:color w:val="auto"/>
              </w:rPr>
            </w:pPr>
          </w:p>
        </w:tc>
      </w:tr>
      <w:tr>
        <w:trPr>
          <w:trHeight w:val="284"/>
        </w:trPr>
        <w:tc>
          <w:tcPr>
            <w:tcW w:w="5140" w:type="dxa"/>
            <w:vAlign w:val="bottom"/>
          </w:tcPr>
          <w:p>
            <w:pPr>
              <w:ind w:left="140"/>
              <w:spacing w:after="0"/>
              <w:rPr>
                <w:sz w:val="20"/>
                <w:szCs w:val="20"/>
                <w:color w:val="auto"/>
              </w:rPr>
            </w:pPr>
            <w:r>
              <w:rPr>
                <w:rFonts w:ascii="Arial" w:cs="Arial" w:eastAsia="Arial" w:hAnsi="Arial"/>
                <w:sz w:val="20"/>
                <w:szCs w:val="20"/>
                <w:color w:val="auto"/>
              </w:rPr>
              <w:t>Notes receivable from participants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35,407,612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3,065,480</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43,705,763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3,390,142</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5140" w:type="dxa"/>
            <w:vAlign w:val="bottom"/>
          </w:tcPr>
          <w:p>
            <w:pPr>
              <w:spacing w:after="0"/>
              <w:rPr>
                <w:sz w:val="20"/>
                <w:szCs w:val="20"/>
                <w:color w:val="auto"/>
              </w:rPr>
            </w:pPr>
            <w:r>
              <w:rPr>
                <w:rFonts w:ascii="Arial" w:cs="Arial" w:eastAsia="Arial" w:hAnsi="Arial"/>
                <w:sz w:val="20"/>
                <w:szCs w:val="20"/>
                <w:color w:val="auto"/>
              </w:rPr>
              <w:t>Net assets reflecting all investments at fair value</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5,505,753,484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156,197,854</w:t>
            </w:r>
          </w:p>
        </w:tc>
        <w:tc>
          <w:tcPr>
            <w:tcW w:w="0" w:type="dxa"/>
            <w:vAlign w:val="bottom"/>
          </w:tcPr>
          <w:p>
            <w:pPr>
              <w:spacing w:after="0"/>
              <w:rPr>
                <w:sz w:val="1"/>
                <w:szCs w:val="1"/>
                <w:color w:val="auto"/>
              </w:rPr>
            </w:pPr>
          </w:p>
        </w:tc>
      </w:tr>
      <w:tr>
        <w:trPr>
          <w:trHeight w:val="608"/>
        </w:trPr>
        <w:tc>
          <w:tcPr>
            <w:tcW w:w="5140" w:type="dxa"/>
            <w:vAlign w:val="bottom"/>
          </w:tcPr>
          <w:p>
            <w:pPr>
              <w:spacing w:after="0"/>
              <w:rPr>
                <w:sz w:val="20"/>
                <w:szCs w:val="20"/>
                <w:color w:val="auto"/>
              </w:rPr>
            </w:pPr>
            <w:r>
              <w:rPr>
                <w:rFonts w:ascii="Arial" w:cs="Arial" w:eastAsia="Arial" w:hAnsi="Arial"/>
                <w:sz w:val="20"/>
                <w:szCs w:val="20"/>
                <w:color w:val="auto"/>
              </w:rPr>
              <w:t>Adjustment from fair value to contract value for</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40"/>
              <w:spacing w:after="0"/>
              <w:rPr>
                <w:sz w:val="20"/>
                <w:szCs w:val="20"/>
                <w:color w:val="auto"/>
              </w:rPr>
            </w:pPr>
            <w:r>
              <w:rPr>
                <w:rFonts w:ascii="Arial" w:cs="Arial" w:eastAsia="Arial" w:hAnsi="Arial"/>
                <w:sz w:val="20"/>
                <w:szCs w:val="20"/>
                <w:color w:val="auto"/>
              </w:rPr>
              <w:t>fully benefit-responsive investment contracts</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color w:val="auto"/>
              </w:rPr>
              <w:t>(184,457)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(6,699)</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51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5,505,569,027</w:t>
            </w:r>
          </w:p>
        </w:tc>
        <w:tc>
          <w:tcPr>
            <w:tcW w:w="3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156,191,155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0"/>
                <w:szCs w:val="20"/>
                <w:i w:val="1"/>
                <w:iCs w:val="1"/>
                <w:color w:val="auto"/>
              </w:rPr>
              <w:t>See accompanying notes.</w:t>
            </w: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00"/>
          </w:cols>
          <w:pgMar w:left="600" w:top="285" w:right="1299" w:bottom="1440" w:gutter="0" w:footer="0" w:header="0"/>
        </w:sectPr>
      </w:pPr>
    </w:p>
    <w:bookmarkStart w:id="4" w:name="page5"/>
    <w:bookmarkEnd w:id="4"/>
    <w:p>
      <w:pPr>
        <w:jc w:val="center"/>
        <w:ind w:right="-81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8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3020"/>
        <w:spacing w:after="0"/>
        <w:rPr>
          <w:sz w:val="20"/>
          <w:szCs w:val="20"/>
          <w:color w:val="auto"/>
        </w:rPr>
      </w:pPr>
      <w:r>
        <w:rPr>
          <w:rFonts w:ascii="Arial" w:cs="Arial" w:eastAsia="Arial" w:hAnsi="Arial"/>
          <w:sz w:val="25"/>
          <w:szCs w:val="25"/>
          <w:color w:val="auto"/>
        </w:rPr>
        <w:t>Statements of Net Assets Available for Benefits</w:t>
      </w:r>
    </w:p>
    <w:p>
      <w:pPr>
        <w:spacing w:after="0" w:line="39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88"/>
              </w:rPr>
              <w:t>The Savings Plan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Lilly Employee 401(k)</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gridSpan w:val="2"/>
          </w:tcPr>
          <w:p>
            <w:pPr>
              <w:jc w:val="center"/>
              <w:ind w:right="680"/>
              <w:spacing w:after="0"/>
              <w:rPr>
                <w:sz w:val="20"/>
                <w:szCs w:val="20"/>
                <w:color w:val="auto"/>
              </w:rPr>
            </w:pPr>
            <w:r>
              <w:rPr>
                <w:rFonts w:ascii="Arial" w:cs="Arial" w:eastAsia="Arial" w:hAnsi="Arial"/>
                <w:sz w:val="20"/>
                <w:szCs w:val="20"/>
                <w:b w:val="1"/>
                <w:bCs w:val="1"/>
                <w:color w:val="auto"/>
                <w:w w:val="89"/>
              </w:rPr>
              <w:t>Plan</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00" w:type="dxa"/>
            <w:vAlign w:val="bottom"/>
            <w:gridSpan w:val="2"/>
          </w:tcPr>
          <w:p>
            <w:pPr>
              <w:jc w:val="center"/>
              <w:ind w:right="680"/>
              <w:spacing w:after="0"/>
              <w:rPr>
                <w:sz w:val="20"/>
                <w:szCs w:val="20"/>
                <w:color w:val="auto"/>
              </w:rPr>
            </w:pPr>
            <w:r>
              <w:rPr>
                <w:rFonts w:ascii="Arial" w:cs="Arial" w:eastAsia="Arial" w:hAnsi="Arial"/>
                <w:sz w:val="20"/>
                <w:szCs w:val="20"/>
                <w:b w:val="1"/>
                <w:bCs w:val="1"/>
                <w:color w:val="auto"/>
                <w:w w:val="92"/>
              </w:rPr>
              <w:t>(Plan No. 002)</w:t>
            </w:r>
          </w:p>
        </w:tc>
        <w:tc>
          <w:tcPr>
            <w:tcW w:w="200" w:type="dxa"/>
            <w:vAlign w:val="bottom"/>
          </w:tcPr>
          <w:p>
            <w:pPr>
              <w:spacing w:after="0"/>
              <w:rPr>
                <w:sz w:val="22"/>
                <w:szCs w:val="22"/>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(Plan No. 004)</w:t>
            </w:r>
          </w:p>
        </w:tc>
        <w:tc>
          <w:tcPr>
            <w:tcW w:w="0" w:type="dxa"/>
            <w:vAlign w:val="bottom"/>
          </w:tcPr>
          <w:p>
            <w:pPr>
              <w:spacing w:after="0"/>
              <w:rPr>
                <w:sz w:val="1"/>
                <w:szCs w:val="1"/>
                <w:color w:val="auto"/>
              </w:rPr>
            </w:pPr>
          </w:p>
        </w:tc>
      </w:tr>
      <w:tr>
        <w:trPr>
          <w:trHeight w:val="23"/>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980" w:type="dxa"/>
            <w:vAlign w:val="bottom"/>
          </w:tcPr>
          <w:p>
            <w:pPr>
              <w:spacing w:after="0"/>
              <w:rPr>
                <w:sz w:val="20"/>
                <w:szCs w:val="20"/>
                <w:color w:val="auto"/>
              </w:rPr>
            </w:pPr>
            <w:r>
              <w:rPr>
                <w:rFonts w:ascii="Arial" w:cs="Arial" w:eastAsia="Arial" w:hAnsi="Arial"/>
                <w:sz w:val="20"/>
                <w:szCs w:val="20"/>
                <w:color w:val="auto"/>
              </w:rPr>
              <w:t>Investments:</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spacing w:after="0"/>
              <w:rPr>
                <w:sz w:val="20"/>
                <w:szCs w:val="20"/>
                <w:color w:val="auto"/>
              </w:rPr>
            </w:pPr>
            <w:r>
              <w:rPr>
                <w:rFonts w:ascii="Arial" w:cs="Arial" w:eastAsia="Arial" w:hAnsi="Arial"/>
                <w:sz w:val="20"/>
                <w:szCs w:val="20"/>
                <w:color w:val="auto"/>
              </w:rPr>
              <w:t>Interest in net assets of The Lilly</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40"/>
              <w:spacing w:after="0"/>
              <w:rPr>
                <w:sz w:val="20"/>
                <w:szCs w:val="20"/>
                <w:color w:val="auto"/>
              </w:rPr>
            </w:pPr>
            <w:r>
              <w:rPr>
                <w:rFonts w:ascii="Arial" w:cs="Arial" w:eastAsia="Arial" w:hAnsi="Arial"/>
                <w:sz w:val="20"/>
                <w:szCs w:val="20"/>
                <w:color w:val="auto"/>
              </w:rPr>
              <w:t>Employee Savings Plan Master Trust</w:t>
            </w:r>
          </w:p>
        </w:tc>
        <w:tc>
          <w:tcPr>
            <w:tcW w:w="340" w:type="dxa"/>
            <w:vAlign w:val="bottom"/>
          </w:tcPr>
          <w:p>
            <w:pPr>
              <w:ind w:left="20"/>
              <w:spacing w:after="0"/>
              <w:rPr>
                <w:sz w:val="20"/>
                <w:szCs w:val="20"/>
                <w:color w:val="auto"/>
              </w:rPr>
            </w:pPr>
            <w:r>
              <w:rPr>
                <w:rFonts w:ascii="Arial" w:cs="Arial" w:eastAsia="Arial" w:hAnsi="Arial"/>
                <w:sz w:val="20"/>
                <w:szCs w:val="20"/>
                <w:color w:val="auto"/>
              </w:rPr>
              <w:t>$</w:t>
            </w:r>
          </w:p>
        </w:tc>
        <w:tc>
          <w:tcPr>
            <w:tcW w:w="1980" w:type="dxa"/>
            <w:vAlign w:val="bottom"/>
          </w:tcPr>
          <w:p>
            <w:pPr>
              <w:jc w:val="right"/>
              <w:ind w:right="21"/>
              <w:spacing w:after="0"/>
              <w:rPr>
                <w:sz w:val="20"/>
                <w:szCs w:val="20"/>
                <w:color w:val="auto"/>
              </w:rPr>
            </w:pPr>
            <w:r>
              <w:rPr>
                <w:rFonts w:ascii="Arial" w:cs="Arial" w:eastAsia="Arial" w:hAnsi="Arial"/>
                <w:sz w:val="20"/>
                <w:szCs w:val="20"/>
                <w:color w:val="auto"/>
              </w:rPr>
              <w:t>4,991,119,247</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132,677,523</w:t>
            </w:r>
          </w:p>
        </w:tc>
        <w:tc>
          <w:tcPr>
            <w:tcW w:w="0" w:type="dxa"/>
            <w:vAlign w:val="bottom"/>
          </w:tcPr>
          <w:p>
            <w:pPr>
              <w:spacing w:after="0"/>
              <w:rPr>
                <w:sz w:val="1"/>
                <w:szCs w:val="1"/>
                <w:color w:val="auto"/>
              </w:rPr>
            </w:pPr>
          </w:p>
        </w:tc>
      </w:tr>
      <w:tr>
        <w:trPr>
          <w:trHeight w:val="608"/>
        </w:trPr>
        <w:tc>
          <w:tcPr>
            <w:tcW w:w="4980" w:type="dxa"/>
            <w:vAlign w:val="bottom"/>
          </w:tcPr>
          <w:p>
            <w:pPr>
              <w:spacing w:after="0"/>
              <w:rPr>
                <w:sz w:val="20"/>
                <w:szCs w:val="20"/>
                <w:color w:val="auto"/>
              </w:rPr>
            </w:pPr>
            <w:r>
              <w:rPr>
                <w:rFonts w:ascii="Arial" w:cs="Arial" w:eastAsia="Arial" w:hAnsi="Arial"/>
                <w:sz w:val="20"/>
                <w:szCs w:val="20"/>
                <w:color w:val="auto"/>
              </w:rPr>
              <w:t>Receivables:</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40"/>
              <w:spacing w:after="0"/>
              <w:rPr>
                <w:sz w:val="20"/>
                <w:szCs w:val="20"/>
                <w:color w:val="auto"/>
              </w:rPr>
            </w:pPr>
            <w:r>
              <w:rPr>
                <w:rFonts w:ascii="Arial" w:cs="Arial" w:eastAsia="Arial" w:hAnsi="Arial"/>
                <w:sz w:val="20"/>
                <w:szCs w:val="20"/>
                <w:color w:val="auto"/>
              </w:rPr>
              <w:t>Employer contribution</w:t>
            </w:r>
          </w:p>
        </w:tc>
        <w:tc>
          <w:tcPr>
            <w:tcW w:w="340" w:type="dxa"/>
            <w:vAlign w:val="bottom"/>
          </w:tcPr>
          <w:p>
            <w:pPr>
              <w:spacing w:after="0"/>
              <w:rPr>
                <w:sz w:val="24"/>
                <w:szCs w:val="24"/>
                <w:color w:val="auto"/>
              </w:rPr>
            </w:pPr>
          </w:p>
        </w:tc>
        <w:tc>
          <w:tcPr>
            <w:tcW w:w="1980" w:type="dxa"/>
            <w:vAlign w:val="bottom"/>
          </w:tcPr>
          <w:p>
            <w:pPr>
              <w:jc w:val="right"/>
              <w:ind w:right="21"/>
              <w:spacing w:after="0"/>
              <w:rPr>
                <w:sz w:val="20"/>
                <w:szCs w:val="20"/>
                <w:color w:val="auto"/>
              </w:rPr>
            </w:pPr>
            <w:r>
              <w:rPr>
                <w:rFonts w:ascii="Arial" w:cs="Arial" w:eastAsia="Arial" w:hAnsi="Arial"/>
                <w:sz w:val="20"/>
                <w:szCs w:val="20"/>
                <w:color w:val="auto"/>
              </w:rPr>
              <w:t>8,069,219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318,339</w:t>
            </w:r>
          </w:p>
        </w:tc>
        <w:tc>
          <w:tcPr>
            <w:tcW w:w="0" w:type="dxa"/>
            <w:vAlign w:val="bottom"/>
          </w:tcPr>
          <w:p>
            <w:pPr>
              <w:spacing w:after="0"/>
              <w:rPr>
                <w:sz w:val="1"/>
                <w:szCs w:val="1"/>
                <w:color w:val="auto"/>
              </w:rPr>
            </w:pPr>
          </w:p>
        </w:tc>
      </w:tr>
      <w:tr>
        <w:trPr>
          <w:trHeight w:val="284"/>
        </w:trPr>
        <w:tc>
          <w:tcPr>
            <w:tcW w:w="4980" w:type="dxa"/>
            <w:vAlign w:val="bottom"/>
          </w:tcPr>
          <w:p>
            <w:pPr>
              <w:ind w:left="140"/>
              <w:spacing w:after="0"/>
              <w:rPr>
                <w:sz w:val="20"/>
                <w:szCs w:val="20"/>
                <w:color w:val="auto"/>
              </w:rPr>
            </w:pPr>
            <w:r>
              <w:rPr>
                <w:rFonts w:ascii="Arial" w:cs="Arial" w:eastAsia="Arial" w:hAnsi="Arial"/>
                <w:sz w:val="20"/>
                <w:szCs w:val="20"/>
                <w:color w:val="auto"/>
              </w:rPr>
              <w:t>Notes receivable from participants</w:t>
            </w:r>
          </w:p>
        </w:tc>
        <w:tc>
          <w:tcPr>
            <w:tcW w:w="340" w:type="dxa"/>
            <w:vAlign w:val="bottom"/>
          </w:tcPr>
          <w:p>
            <w:pPr>
              <w:spacing w:after="0"/>
              <w:rPr>
                <w:sz w:val="24"/>
                <w:szCs w:val="24"/>
                <w:color w:val="auto"/>
              </w:rPr>
            </w:pPr>
          </w:p>
        </w:tc>
        <w:tc>
          <w:tcPr>
            <w:tcW w:w="1980" w:type="dxa"/>
            <w:vAlign w:val="bottom"/>
          </w:tcPr>
          <w:p>
            <w:pPr>
              <w:jc w:val="right"/>
              <w:ind w:right="21"/>
              <w:spacing w:after="0"/>
              <w:rPr>
                <w:sz w:val="20"/>
                <w:szCs w:val="20"/>
                <w:color w:val="auto"/>
              </w:rPr>
            </w:pPr>
            <w:r>
              <w:rPr>
                <w:rFonts w:ascii="Arial" w:cs="Arial" w:eastAsia="Arial" w:hAnsi="Arial"/>
                <w:sz w:val="20"/>
                <w:szCs w:val="20"/>
                <w:color w:val="auto"/>
              </w:rPr>
              <w:t>33,509,313</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3,082,773</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80" w:type="dxa"/>
            <w:vAlign w:val="bottom"/>
          </w:tcPr>
          <w:p>
            <w:pPr>
              <w:jc w:val="right"/>
              <w:ind w:right="21"/>
              <w:spacing w:after="0"/>
              <w:rPr>
                <w:sz w:val="20"/>
                <w:szCs w:val="20"/>
                <w:color w:val="auto"/>
              </w:rPr>
            </w:pPr>
            <w:r>
              <w:rPr>
                <w:rFonts w:ascii="Arial" w:cs="Arial" w:eastAsia="Arial" w:hAnsi="Arial"/>
                <w:sz w:val="20"/>
                <w:szCs w:val="20"/>
                <w:color w:val="auto"/>
              </w:rPr>
              <w:t>41,578,532</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3,401,112</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4980" w:type="dxa"/>
            <w:vAlign w:val="bottom"/>
          </w:tcPr>
          <w:p>
            <w:pPr>
              <w:spacing w:after="0"/>
              <w:rPr>
                <w:sz w:val="20"/>
                <w:szCs w:val="20"/>
                <w:color w:val="auto"/>
              </w:rPr>
            </w:pPr>
            <w:r>
              <w:rPr>
                <w:rFonts w:ascii="Arial" w:cs="Arial" w:eastAsia="Arial" w:hAnsi="Arial"/>
                <w:sz w:val="20"/>
                <w:szCs w:val="20"/>
                <w:color w:val="auto"/>
              </w:rPr>
              <w:t>Net assets reflecting all investments at fair value</w:t>
            </w:r>
          </w:p>
        </w:tc>
        <w:tc>
          <w:tcPr>
            <w:tcW w:w="340" w:type="dxa"/>
            <w:vAlign w:val="bottom"/>
          </w:tcPr>
          <w:p>
            <w:pPr>
              <w:spacing w:after="0"/>
              <w:rPr>
                <w:sz w:val="24"/>
                <w:szCs w:val="24"/>
                <w:color w:val="auto"/>
              </w:rPr>
            </w:pPr>
          </w:p>
        </w:tc>
        <w:tc>
          <w:tcPr>
            <w:tcW w:w="1980" w:type="dxa"/>
            <w:vAlign w:val="bottom"/>
          </w:tcPr>
          <w:p>
            <w:pPr>
              <w:jc w:val="right"/>
              <w:ind w:right="21"/>
              <w:spacing w:after="0"/>
              <w:rPr>
                <w:sz w:val="20"/>
                <w:szCs w:val="20"/>
                <w:color w:val="auto"/>
              </w:rPr>
            </w:pPr>
            <w:r>
              <w:rPr>
                <w:rFonts w:ascii="Arial" w:cs="Arial" w:eastAsia="Arial" w:hAnsi="Arial"/>
                <w:sz w:val="20"/>
                <w:szCs w:val="20"/>
                <w:color w:val="auto"/>
              </w:rPr>
              <w:t>5,032,697,779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136,078,635</w:t>
            </w:r>
          </w:p>
        </w:tc>
        <w:tc>
          <w:tcPr>
            <w:tcW w:w="0" w:type="dxa"/>
            <w:vAlign w:val="bottom"/>
          </w:tcPr>
          <w:p>
            <w:pPr>
              <w:spacing w:after="0"/>
              <w:rPr>
                <w:sz w:val="1"/>
                <w:szCs w:val="1"/>
                <w:color w:val="auto"/>
              </w:rPr>
            </w:pPr>
          </w:p>
        </w:tc>
      </w:tr>
      <w:tr>
        <w:trPr>
          <w:trHeight w:val="608"/>
        </w:trPr>
        <w:tc>
          <w:tcPr>
            <w:tcW w:w="4980" w:type="dxa"/>
            <w:vAlign w:val="bottom"/>
          </w:tcPr>
          <w:p>
            <w:pPr>
              <w:spacing w:after="0"/>
              <w:rPr>
                <w:sz w:val="20"/>
                <w:szCs w:val="20"/>
                <w:color w:val="auto"/>
              </w:rPr>
            </w:pPr>
            <w:r>
              <w:rPr>
                <w:rFonts w:ascii="Arial" w:cs="Arial" w:eastAsia="Arial" w:hAnsi="Arial"/>
                <w:sz w:val="20"/>
                <w:szCs w:val="20"/>
                <w:color w:val="auto"/>
              </w:rPr>
              <w:t>Adjustment from fair value to contract value for</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40"/>
              <w:spacing w:after="0"/>
              <w:rPr>
                <w:sz w:val="20"/>
                <w:szCs w:val="20"/>
                <w:color w:val="auto"/>
              </w:rPr>
            </w:pPr>
            <w:r>
              <w:rPr>
                <w:rFonts w:ascii="Arial" w:cs="Arial" w:eastAsia="Arial" w:hAnsi="Arial"/>
                <w:sz w:val="20"/>
                <w:szCs w:val="20"/>
                <w:color w:val="auto"/>
              </w:rPr>
              <w:t>fully benefit-responsive investment contracts</w:t>
            </w:r>
          </w:p>
        </w:tc>
        <w:tc>
          <w:tcPr>
            <w:tcW w:w="340" w:type="dxa"/>
            <w:vAlign w:val="bottom"/>
          </w:tcPr>
          <w:p>
            <w:pPr>
              <w:spacing w:after="0"/>
              <w:rPr>
                <w:sz w:val="24"/>
                <w:szCs w:val="24"/>
                <w:color w:val="auto"/>
              </w:rPr>
            </w:pPr>
          </w:p>
        </w:tc>
        <w:tc>
          <w:tcPr>
            <w:tcW w:w="1980" w:type="dxa"/>
            <w:vAlign w:val="bottom"/>
          </w:tcPr>
          <w:p>
            <w:pPr>
              <w:jc w:val="right"/>
              <w:ind w:right="21"/>
              <w:spacing w:after="0"/>
              <w:rPr>
                <w:sz w:val="20"/>
                <w:szCs w:val="20"/>
                <w:color w:val="auto"/>
              </w:rPr>
            </w:pPr>
            <w:r>
              <w:rPr>
                <w:rFonts w:ascii="Arial" w:cs="Arial" w:eastAsia="Arial" w:hAnsi="Arial"/>
                <w:sz w:val="20"/>
                <w:szCs w:val="20"/>
                <w:color w:val="auto"/>
              </w:rPr>
              <w:t>4,581,895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163,539</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498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5,037,279,674</w:t>
            </w:r>
          </w:p>
        </w:tc>
        <w:tc>
          <w:tcPr>
            <w:tcW w:w="3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136,242,174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20"/>
                <w:szCs w:val="20"/>
                <w:i w:val="1"/>
                <w:iCs w:val="1"/>
                <w:color w:val="auto"/>
              </w:rPr>
              <w:t>See accompanying notes.</w:t>
            </w: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520" w:top="285" w:right="1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00" w:type="dxa"/>
            <w:vAlign w:val="bottom"/>
            <w:gridSpan w:val="4"/>
          </w:tcPr>
          <w:p>
            <w:pPr>
              <w:jc w:val="right"/>
              <w:ind w:right="621"/>
              <w:spacing w:after="0"/>
              <w:rPr>
                <w:sz w:val="20"/>
                <w:szCs w:val="20"/>
                <w:color w:val="auto"/>
              </w:rPr>
            </w:pPr>
            <w:r>
              <w:rPr>
                <w:rFonts w:ascii="Arial" w:cs="Arial" w:eastAsia="Arial" w:hAnsi="Arial"/>
                <w:sz w:val="20"/>
                <w:szCs w:val="20"/>
                <w:b w:val="1"/>
                <w:bCs w:val="1"/>
                <w:color w:val="auto"/>
              </w:rPr>
              <w:t>Year Ended December 31, 2014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center"/>
              <w:ind w:right="81"/>
              <w:spacing w:after="0"/>
              <w:rPr>
                <w:sz w:val="20"/>
                <w:szCs w:val="20"/>
                <w:color w:val="auto"/>
              </w:rPr>
            </w:pPr>
            <w:r>
              <w:rPr>
                <w:rFonts w:ascii="Arial" w:cs="Arial" w:eastAsia="Arial" w:hAnsi="Arial"/>
                <w:sz w:val="20"/>
                <w:szCs w:val="20"/>
                <w:b w:val="1"/>
                <w:bCs w:val="1"/>
                <w:color w:val="auto"/>
                <w:w w:val="88"/>
              </w:rPr>
              <w:t>The Savings Plan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center"/>
              <w:ind w:right="81"/>
              <w:spacing w:after="0"/>
              <w:rPr>
                <w:sz w:val="20"/>
                <w:szCs w:val="20"/>
                <w:color w:val="auto"/>
              </w:rPr>
            </w:pPr>
            <w:r>
              <w:rPr>
                <w:rFonts w:ascii="Arial" w:cs="Arial" w:eastAsia="Arial" w:hAnsi="Arial"/>
                <w:sz w:val="20"/>
                <w:szCs w:val="20"/>
                <w:b w:val="1"/>
                <w:bCs w:val="1"/>
                <w:color w:val="auto"/>
                <w:w w:val="96"/>
              </w:rPr>
              <w:t>for Lilly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1"/>
              </w:rPr>
              <w:t>The Lilly Employee</w:t>
            </w:r>
          </w:p>
        </w:tc>
        <w:tc>
          <w:tcPr>
            <w:tcW w:w="180" w:type="dxa"/>
            <w:vAlign w:val="bottom"/>
          </w:tcPr>
          <w:p>
            <w:pPr>
              <w:spacing w:after="0"/>
              <w:rPr>
                <w:sz w:val="19"/>
                <w:szCs w:val="19"/>
                <w:color w:val="auto"/>
              </w:rPr>
            </w:pPr>
          </w:p>
        </w:tc>
        <w:tc>
          <w:tcPr>
            <w:tcW w:w="2120" w:type="dxa"/>
            <w:vAlign w:val="bottom"/>
          </w:tcPr>
          <w:p>
            <w:pPr>
              <w:jc w:val="center"/>
              <w:ind w:right="81"/>
              <w:spacing w:after="0"/>
              <w:rPr>
                <w:sz w:val="20"/>
                <w:szCs w:val="20"/>
                <w:color w:val="auto"/>
              </w:rPr>
            </w:pPr>
            <w:r>
              <w:rPr>
                <w:rFonts w:ascii="Arial" w:cs="Arial" w:eastAsia="Arial" w:hAnsi="Arial"/>
                <w:sz w:val="20"/>
                <w:szCs w:val="20"/>
                <w:b w:val="1"/>
                <w:bCs w:val="1"/>
                <w:color w:val="auto"/>
                <w:w w:val="89"/>
              </w:rPr>
              <w:t>Affiliate Employees in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20"/>
                <w:szCs w:val="20"/>
                <w:b w:val="1"/>
                <w:bCs w:val="1"/>
                <w:color w:val="auto"/>
                <w:w w:val="90"/>
              </w:rPr>
              <w:t>401(k) Plan</w:t>
            </w:r>
          </w:p>
        </w:tc>
        <w:tc>
          <w:tcPr>
            <w:tcW w:w="18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Puerto Rico</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20"/>
                <w:szCs w:val="20"/>
                <w:b w:val="1"/>
                <w:bCs w:val="1"/>
                <w:color w:val="auto"/>
                <w:w w:val="90"/>
              </w:rPr>
              <w:t>(Plan No. 002)</w:t>
            </w:r>
          </w:p>
        </w:tc>
        <w:tc>
          <w:tcPr>
            <w:tcW w:w="180" w:type="dxa"/>
            <w:vAlign w:val="bottom"/>
          </w:tcPr>
          <w:p>
            <w:pPr>
              <w:spacing w:after="0"/>
              <w:rPr>
                <w:sz w:val="22"/>
                <w:szCs w:val="22"/>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(Plan No. 004)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spacing w:after="0"/>
              <w:rPr>
                <w:sz w:val="20"/>
                <w:szCs w:val="20"/>
                <w:color w:val="auto"/>
              </w:rPr>
            </w:pPr>
            <w:r>
              <w:rPr>
                <w:rFonts w:ascii="Arial" w:cs="Arial" w:eastAsia="Arial" w:hAnsi="Arial"/>
                <w:sz w:val="20"/>
                <w:szCs w:val="20"/>
                <w:color w:val="auto"/>
              </w:rPr>
              <w:t>Additions: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Contributions: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Participants</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194,465,861</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6,553,069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Employer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100,964,939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3,996,538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Interest income on notes receivable from participants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1,380,546</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119,523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spacing w:after="0"/>
              <w:rPr>
                <w:sz w:val="20"/>
                <w:szCs w:val="20"/>
                <w:color w:val="auto"/>
              </w:rPr>
            </w:pPr>
            <w:r>
              <w:rPr>
                <w:rFonts w:ascii="Arial" w:cs="Arial" w:eastAsia="Arial" w:hAnsi="Arial"/>
                <w:sz w:val="20"/>
                <w:szCs w:val="20"/>
                <w:color w:val="auto"/>
              </w:rPr>
              <w:t>Interest in The Lilly Employee Savings Plan</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Master Trust investment income, net of</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administrative fees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478,405,970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15,721,286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775,217,316</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26,390,416</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60" w:type="dxa"/>
            <w:vAlign w:val="bottom"/>
          </w:tcPr>
          <w:p>
            <w:pPr>
              <w:spacing w:after="0"/>
              <w:rPr>
                <w:sz w:val="20"/>
                <w:szCs w:val="20"/>
                <w:color w:val="auto"/>
              </w:rPr>
            </w:pPr>
            <w:r>
              <w:rPr>
                <w:rFonts w:ascii="Arial" w:cs="Arial" w:eastAsia="Arial" w:hAnsi="Arial"/>
                <w:sz w:val="20"/>
                <w:szCs w:val="20"/>
                <w:color w:val="auto"/>
              </w:rPr>
              <w:t>Deductions: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Participant withdrawals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304,480,567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6,246,829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Administrative expenses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2,447,396</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194,606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306,927,963</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6,441,435</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60" w:type="dxa"/>
            <w:vAlign w:val="bottom"/>
          </w:tcPr>
          <w:p>
            <w:pPr>
              <w:spacing w:after="0"/>
              <w:rPr>
                <w:sz w:val="20"/>
                <w:szCs w:val="20"/>
                <w:color w:val="auto"/>
              </w:rPr>
            </w:pPr>
            <w:r>
              <w:rPr>
                <w:rFonts w:ascii="Arial" w:cs="Arial" w:eastAsia="Arial" w:hAnsi="Arial"/>
                <w:sz w:val="20"/>
                <w:szCs w:val="20"/>
                <w:color w:val="auto"/>
              </w:rPr>
              <w:t>Net increase</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468,289,353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19,948,981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66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60" w:type="dxa"/>
            <w:vAlign w:val="bottom"/>
          </w:tcPr>
          <w:p>
            <w:pPr>
              <w:ind w:left="140"/>
              <w:spacing w:after="0"/>
              <w:rPr>
                <w:sz w:val="20"/>
                <w:szCs w:val="20"/>
                <w:color w:val="auto"/>
              </w:rPr>
            </w:pPr>
            <w:r>
              <w:rPr>
                <w:rFonts w:ascii="Arial" w:cs="Arial" w:eastAsia="Arial" w:hAnsi="Arial"/>
                <w:sz w:val="20"/>
                <w:szCs w:val="20"/>
                <w:color w:val="auto"/>
              </w:rPr>
              <w:t>at beginning of year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5,037,279,674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136,242,174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5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60" w:type="dxa"/>
            <w:vAlign w:val="bottom"/>
          </w:tcPr>
          <w:p>
            <w:pPr>
              <w:ind w:left="140"/>
              <w:spacing w:after="0"/>
              <w:rPr>
                <w:sz w:val="20"/>
                <w:szCs w:val="20"/>
                <w:color w:val="auto"/>
              </w:rPr>
            </w:pPr>
            <w:r>
              <w:rPr>
                <w:rFonts w:ascii="Arial" w:cs="Arial" w:eastAsia="Arial" w:hAnsi="Arial"/>
                <w:sz w:val="20"/>
                <w:szCs w:val="20"/>
                <w:color w:val="auto"/>
              </w:rPr>
              <w:t>at end of year</w:t>
            </w: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5,505,569,027</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156,191,155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w:t>
      </w:r>
    </w:p>
    <w:p>
      <w:pPr>
        <w:sectPr>
          <w:pgSz w:w="11900" w:h="16838" w:orient="portrait"/>
          <w:cols w:equalWidth="0" w:num="1">
            <w:col w:w="11380"/>
          </w:cols>
          <w:pgMar w:left="280" w:top="60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Description of the Plans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Savings Plan Master Trust (the Master Trust).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Lilly Employee 401(k) Plan (Plan No. 002) (the 401(k) Plan) was established for the benefit of eligible employees of Eli Lilly and Company and participating subsidiary and affiliated companies. The Savings Plan for Lilly Affiliate Employees in Puerto Rico (Plan No. 004) (the Puerto Rico Plan) was established for the benefit of resident eligible employees of, and certain employees within, the Commonwealth of Puerto Rico.</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description of the 401(k) Plan and the Puerto Rico Plan (collectively, the Plans) provides only general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Participants should refer to the applicable plan document and the Plans’ summary plan descriptions for more complete information.</w:t>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Hewitt Associates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designate that their contributions be invested in any of the investment options offered by the Plans. Participants may elect to direct or transfer their contributions to Eli Lilly and Company common stock (the Company Stock Fund). Participants are allowed to take payment of the Company Stock Fund dividends in lieu of having them reinvested in their participant accounts. Further, participants can buy and sell investments of the Company Stock Fund within the Plans and transfer money, vested or nonvested, from any of the investment options into and out of any of the other investment options, including the Company Stock Fund.</w:t>
      </w:r>
    </w:p>
    <w:p>
      <w:pPr>
        <w:sectPr>
          <w:pgSz w:w="11900" w:h="16838" w:orient="portrait"/>
          <w:cols w:equalWidth="0" w:num="1">
            <w:col w:w="11420"/>
          </w:cols>
          <w:pgMar w:left="240" w:top="19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and entitled to receive 100% of the Company’s matching contributions. Forfeitures of approximately $346,000 for the 401(k) Plan were applied to decrease the Company’s contributions during 2014 for the 401(k) Plan. Forfeitures of approximately $37,000 were applied to decrease the Company’s contributions during 2014 for the Puerto Rico Plan.</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Termination</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Plans are subject to and are intended to comply with the provisions of the Employee Retirement Income Security Act of 1974 (ERISA) and applicable IRS or Puerto Rico Treasury requirements. The Company has the right to terminate the Plans subject to the provisions of ERISA and the Plans. In the event the Plans are terminated, each participant’s account shall be nonforfeitable with respect to both the employee’s and the Company’s contributions, and the net assets are to be set aside for payment of withdrawals by participants.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Significant Accounting Policies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Investments held by the Plans are stated at fair value.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21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As described in Accounting Standards Codification (ASC) 962, </w:t>
      </w:r>
      <w:r>
        <w:rPr>
          <w:rFonts w:ascii="Arial" w:cs="Arial" w:eastAsia="Arial" w:hAnsi="Arial"/>
          <w:sz w:val="19"/>
          <w:szCs w:val="19"/>
          <w:i w:val="1"/>
          <w:iCs w:val="1"/>
          <w:color w:val="auto"/>
        </w:rPr>
        <w:t>Defined Contribution Plans</w:t>
      </w:r>
      <w:r>
        <w:rPr>
          <w:rFonts w:ascii="Arial" w:cs="Arial" w:eastAsia="Arial" w:hAnsi="Arial"/>
          <w:sz w:val="19"/>
          <w:szCs w:val="19"/>
          <w:color w:val="auto"/>
        </w:rPr>
        <w:t>, 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Plans invest in synthetic guaranteed investment contracts (synthetic GICs) within the Master Trust. As required by ASC 962, the statements of net assets available for benefits present the fair value of the investment in the Master Trust, as well as the adjustment of the investment in the Master Trust from fair value to contract</w:t>
      </w:r>
    </w:p>
    <w:p>
      <w:pPr>
        <w:sectPr>
          <w:pgSz w:w="11900" w:h="16838" w:orient="portrait"/>
          <w:cols w:equalWidth="0" w:num="1">
            <w:col w:w="11420"/>
          </w:cols>
          <w:pgMar w:left="240" w:top="1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value relating to the synthetic GICs. The statements of changes in net assets available for benefits are prepared on a contract-value basis.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2014 or 2013.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New Accounting Pronouncements</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In May 2015, the Financial Accounting Standards Board (FASB) issued Accounting Standards Update (ASU) 2015-07, </w:t>
      </w:r>
      <w:r>
        <w:rPr>
          <w:rFonts w:ascii="Arial" w:cs="Arial" w:eastAsia="Arial" w:hAnsi="Arial"/>
          <w:sz w:val="21"/>
          <w:szCs w:val="21"/>
          <w:i w:val="1"/>
          <w:iCs w:val="1"/>
          <w:color w:val="auto"/>
        </w:rPr>
        <w:t>Disclosures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for Investments in Certain Entities That Calculate Net Asset Value per Share (or Its Equivalent). </w:t>
      </w:r>
      <w:r>
        <w:rPr>
          <w:rFonts w:ascii="Arial" w:cs="Arial" w:eastAsia="Arial" w:hAnsi="Arial"/>
          <w:sz w:val="21"/>
          <w:szCs w:val="21"/>
          <w:color w:val="auto"/>
        </w:rPr>
        <w:t>This update amends ASC 820,</w:t>
      </w:r>
      <w:r>
        <w:rPr>
          <w:rFonts w:ascii="Arial" w:cs="Arial" w:eastAsia="Arial" w:hAnsi="Arial"/>
          <w:sz w:val="21"/>
          <w:szCs w:val="21"/>
          <w:i w:val="1"/>
          <w:iCs w:val="1"/>
          <w:color w:val="auto"/>
        </w:rPr>
        <w:t xml:space="preserve"> Fair Value Measurement. </w:t>
      </w:r>
      <w:r>
        <w:rPr>
          <w:rFonts w:ascii="Arial" w:cs="Arial" w:eastAsia="Arial" w:hAnsi="Arial"/>
          <w:sz w:val="21"/>
          <w:szCs w:val="21"/>
          <w:color w:val="auto"/>
        </w:rPr>
        <w:t>This update removes the requirement to categorize within the fair value hierarchy all investments for</w:t>
      </w:r>
      <w:r>
        <w:rPr>
          <w:rFonts w:ascii="Arial" w:cs="Arial" w:eastAsia="Arial" w:hAnsi="Arial"/>
          <w:sz w:val="21"/>
          <w:szCs w:val="21"/>
          <w:i w:val="1"/>
          <w:iCs w:val="1"/>
          <w:color w:val="auto"/>
        </w:rPr>
        <w:t xml:space="preserve"> </w:t>
      </w:r>
      <w:r>
        <w:rPr>
          <w:rFonts w:ascii="Arial" w:cs="Arial" w:eastAsia="Arial" w:hAnsi="Arial"/>
          <w:sz w:val="21"/>
          <w:szCs w:val="21"/>
          <w:color w:val="auto"/>
        </w:rPr>
        <w:t>which fair value is measured using the net asset value per share practical expedient</w:t>
      </w:r>
      <w:r>
        <w:rPr>
          <w:rFonts w:ascii="Arial" w:cs="Arial" w:eastAsia="Arial" w:hAnsi="Arial"/>
          <w:sz w:val="21"/>
          <w:szCs w:val="21"/>
          <w:i w:val="1"/>
          <w:iCs w:val="1"/>
          <w:color w:val="auto"/>
        </w:rPr>
        <w:t>.</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disclosure requirements are effective for fiscal years beginning after December 15, 2015 for public entities, and are required to be provided retrospectively for all comparative periods presented. Management does not expect the adoption of this standard to have a significant impact on the Plans’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preparation of financial statements in conformity with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Certain prior year amounts have been reclassified to conform to the current year presentation.</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Master Trust</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Plans provide that both participant contributions and company-matching contributions be held in a trust by an independent trustee for the benefit of participating employees. During 2014 and 2013, Northern Trust Company maintained the accounting of the aggregate value of assets associated with each plan participating in the Master Trust. The respective ownership interest of each plan is determined using a unit-valuation method.</w:t>
      </w:r>
    </w:p>
    <w:p>
      <w:pPr>
        <w:sectPr>
          <w:pgSz w:w="11900" w:h="16838" w:orient="portrait"/>
          <w:cols w:equalWidth="0" w:num="1">
            <w:col w:w="11420"/>
          </w:cols>
          <w:pgMar w:left="240" w:top="1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shares in the net assets of the Master Trust.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owned by the Plans, that invest in average-quality, intermediate- term, fixed-income securities. A synthetic GIC credits the holder’s account with a stated interest rate for a specified period of time. Investment gains and losses are amortized over the expected duration through the calculation of the interest rate applicable to the Plans on a prospective basis. Synthetic GICs provide for a variable crediting rate, which typically resets at least quarterly, and the issuer of the wrap contract provides assurance that future adjustments to the crediting rate cannot result in a crediting rate less than zero.</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most impacted by the change in the annual effective yield-to-maturity of the underlying securities but is also affected by the differential between the contract value and the market value of the covered investments.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Generally, payments will be made pro rata, based on the percentage of investments covered by each issuer. The terms of an investment contract generally provide for settlement of payments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a synthetic GIC terminates due to a decline in the ratings of the issuer, the issuer may be required to pay to the Plans the cost of acquiring a replacement contract (i.e., replacement cost) within the meaning of the contract.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would allow for a gradual asset risk wind-down over the portfolio’s duration and would maintain contract value on the Plans.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Because the synthetic GICs are fully benefit responsive, contract value is the relevant measurement attribute for that portion of the net assets available for benefits attributable to the synthetic GICs. Contract value represents contributions made under the contract, plus earnings, less participant withdrawals and administrative expenses. Participants may ordinarily direct the withdrawal or transfer of all or a portion of their investments at contract value.</w:t>
      </w:r>
    </w:p>
    <w:p>
      <w:pPr>
        <w:sectPr>
          <w:pgSz w:w="11900" w:h="16838" w:orient="portrait"/>
          <w:cols w:equalWidth="0" w:num="1">
            <w:col w:w="11420"/>
          </w:cols>
          <w:pgMar w:left="240" w:top="19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42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20"/>
                <w:szCs w:val="20"/>
                <w:b w:val="1"/>
                <w:bCs w:val="1"/>
                <w:color w:val="auto"/>
                <w:w w:val="85"/>
              </w:rPr>
              <w:t>2014</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20"/>
                <w:szCs w:val="20"/>
                <w:b w:val="1"/>
                <w:bCs w:val="1"/>
                <w:color w:val="auto"/>
                <w:w w:val="89"/>
              </w:rPr>
              <w:t>2013</w:t>
            </w:r>
          </w:p>
        </w:tc>
        <w:tc>
          <w:tcPr>
            <w:tcW w:w="0" w:type="dxa"/>
            <w:vAlign w:val="bottom"/>
          </w:tcPr>
          <w:p>
            <w:pPr>
              <w:spacing w:after="0"/>
              <w:rPr>
                <w:sz w:val="1"/>
                <w:szCs w:val="1"/>
                <w:color w:val="auto"/>
              </w:rPr>
            </w:pPr>
          </w:p>
        </w:tc>
      </w:tr>
      <w:tr>
        <w:trPr>
          <w:trHeight w:val="23"/>
        </w:trPr>
        <w:tc>
          <w:tcPr>
            <w:tcW w:w="6420" w:type="dxa"/>
            <w:vAlign w:val="bottom"/>
            <w:vMerge w:val="restart"/>
          </w:tcPr>
          <w:p>
            <w:pPr>
              <w:spacing w:after="0"/>
              <w:rPr>
                <w:sz w:val="20"/>
                <w:szCs w:val="20"/>
                <w:color w:val="auto"/>
              </w:rPr>
            </w:pPr>
            <w:r>
              <w:rPr>
                <w:rFonts w:ascii="Arial" w:cs="Arial" w:eastAsia="Arial" w:hAnsi="Arial"/>
                <w:sz w:val="20"/>
                <w:szCs w:val="20"/>
                <w:color w:val="auto"/>
              </w:rPr>
              <w:t>Average yields for synthetic GICs:</w:t>
            </w:r>
          </w:p>
        </w:tc>
        <w:tc>
          <w:tcPr>
            <w:tcW w:w="1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4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20"/>
                <w:szCs w:val="20"/>
                <w:color w:val="auto"/>
              </w:rPr>
              <w:t>Based on actual earnings</w:t>
            </w:r>
          </w:p>
        </w:tc>
        <w:tc>
          <w:tcPr>
            <w:tcW w:w="1580" w:type="dxa"/>
            <w:vAlign w:val="bottom"/>
          </w:tcPr>
          <w:p>
            <w:pPr>
              <w:jc w:val="center"/>
              <w:spacing w:after="0"/>
              <w:rPr>
                <w:sz w:val="20"/>
                <w:szCs w:val="20"/>
                <w:color w:val="auto"/>
              </w:rPr>
            </w:pPr>
            <w:r>
              <w:rPr>
                <w:rFonts w:ascii="Arial" w:cs="Arial" w:eastAsia="Arial" w:hAnsi="Arial"/>
                <w:sz w:val="20"/>
                <w:szCs w:val="20"/>
                <w:color w:val="auto"/>
                <w:w w:val="88"/>
              </w:rPr>
              <w:t>1.53%</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1.33%</w:t>
            </w:r>
          </w:p>
        </w:tc>
        <w:tc>
          <w:tcPr>
            <w:tcW w:w="0" w:type="dxa"/>
            <w:vAlign w:val="bottom"/>
          </w:tcPr>
          <w:p>
            <w:pPr>
              <w:spacing w:after="0"/>
              <w:rPr>
                <w:sz w:val="1"/>
                <w:szCs w:val="1"/>
                <w:color w:val="auto"/>
              </w:rPr>
            </w:pPr>
          </w:p>
        </w:tc>
      </w:tr>
      <w:tr>
        <w:trPr>
          <w:trHeight w:val="284"/>
        </w:trPr>
        <w:tc>
          <w:tcPr>
            <w:tcW w:w="6420" w:type="dxa"/>
            <w:vAlign w:val="bottom"/>
          </w:tcPr>
          <w:p>
            <w:pPr>
              <w:spacing w:after="0"/>
              <w:rPr>
                <w:sz w:val="20"/>
                <w:szCs w:val="20"/>
                <w:color w:val="auto"/>
              </w:rPr>
            </w:pPr>
            <w:r>
              <w:rPr>
                <w:rFonts w:ascii="Arial" w:cs="Arial" w:eastAsia="Arial" w:hAnsi="Arial"/>
                <w:sz w:val="20"/>
                <w:szCs w:val="20"/>
                <w:color w:val="auto"/>
              </w:rPr>
              <w:t>Based on interest rate credited to participants</w:t>
            </w:r>
          </w:p>
        </w:tc>
        <w:tc>
          <w:tcPr>
            <w:tcW w:w="1580" w:type="dxa"/>
            <w:vAlign w:val="bottom"/>
          </w:tcPr>
          <w:p>
            <w:pPr>
              <w:jc w:val="center"/>
              <w:spacing w:after="0"/>
              <w:rPr>
                <w:sz w:val="20"/>
                <w:szCs w:val="20"/>
                <w:color w:val="auto"/>
              </w:rPr>
            </w:pPr>
            <w:r>
              <w:rPr>
                <w:rFonts w:ascii="Arial" w:cs="Arial" w:eastAsia="Arial" w:hAnsi="Arial"/>
                <w:sz w:val="20"/>
                <w:szCs w:val="20"/>
                <w:color w:val="auto"/>
                <w:w w:val="88"/>
              </w:rPr>
              <w:t>1.51%</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1.73%</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Certain events, including (1) certain amendments to the plan documents (including complete or partial plan termination or merger with another plan), (2) changes to the Plans’ prohibition on competing investment options or deletion of equity wash provisions, (3) bankruptcy of the plan sponsor or other plan sponsor events that cause a significant withdrawal from the Plans, and (4) the failure of the trust to qualify for exemption from federal income taxes or any required prohibited transaction exemption under ERISA, limit the ability of the Plans to transact at contract value with third-party financial institutions. The plan administrator does not believe that the occurrence of any such value event, which would limit the Plans’ ability to transact at contract value with participants, is probable.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synthetic GICs generally impose conditions on both the Plans and the issuer. If an event of default, as defined, occurs and is not cured, the non-defaulting party may terminate the contract. In the event of default of an issuer, the Plans have pre-negotiated contingency coverage by which the remaining issuers contractually step in and proportionately replace the departing issuer. If this coverage exceeds dollar or time limits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a replacement agreement could render the Plans unable to achieve their objective of maintaining a stable contract value. The plan administrator does not believe the occurrence of any such event has occurred or is probable.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2014 and 2013, each Plan’s respective percentage interest in the Master Trust was as follows:</w:t>
      </w:r>
    </w:p>
    <w:p>
      <w:pPr>
        <w:spacing w:after="0" w:line="394" w:lineRule="exact"/>
        <w:rPr>
          <w:sz w:val="20"/>
          <w:szCs w:val="20"/>
          <w:color w:val="auto"/>
        </w:rPr>
      </w:pPr>
    </w:p>
    <w:tbl>
      <w:tblPr>
        <w:tblLayout w:type="fixed"/>
        <w:tblInd w:w="480" w:type="dxa"/>
        <w:tblCellMar>
          <w:top w:w="0" w:type="dxa"/>
          <w:left w:w="0" w:type="dxa"/>
          <w:bottom w:w="0" w:type="dxa"/>
          <w:right w:w="0" w:type="dxa"/>
        </w:tblCellMar>
      </w:tblPr>
      <w:tr>
        <w:trPr>
          <w:trHeight w:val="256"/>
        </w:trPr>
        <w:tc>
          <w:tcPr>
            <w:tcW w:w="5880" w:type="dxa"/>
            <w:vAlign w:val="bottom"/>
          </w:tcPr>
          <w:p>
            <w:pPr>
              <w:spacing w:after="0"/>
              <w:rPr>
                <w:sz w:val="22"/>
                <w:szCs w:val="22"/>
                <w:color w:val="auto"/>
              </w:rPr>
            </w:pPr>
          </w:p>
        </w:tc>
        <w:tc>
          <w:tcPr>
            <w:tcW w:w="2420" w:type="dxa"/>
            <w:vAlign w:val="bottom"/>
            <w:gridSpan w:val="2"/>
          </w:tcPr>
          <w:p>
            <w:pPr>
              <w:ind w:left="360"/>
              <w:spacing w:after="0"/>
              <w:rPr>
                <w:sz w:val="20"/>
                <w:szCs w:val="20"/>
                <w:color w:val="auto"/>
              </w:rPr>
            </w:pPr>
            <w:r>
              <w:rPr>
                <w:rFonts w:ascii="Arial" w:cs="Arial" w:eastAsia="Arial" w:hAnsi="Arial"/>
                <w:sz w:val="20"/>
                <w:szCs w:val="20"/>
                <w:b w:val="1"/>
                <w:bCs w:val="1"/>
                <w:color w:val="auto"/>
              </w:rPr>
              <w:t>December 31, 2014</w:t>
            </w:r>
          </w:p>
        </w:tc>
        <w:tc>
          <w:tcPr>
            <w:tcW w:w="2200" w:type="dxa"/>
            <w:vAlign w:val="bottom"/>
          </w:tcPr>
          <w:p>
            <w:pPr>
              <w:ind w:left="300"/>
              <w:spacing w:after="0"/>
              <w:rPr>
                <w:sz w:val="20"/>
                <w:szCs w:val="20"/>
                <w:color w:val="auto"/>
              </w:rPr>
            </w:pPr>
            <w:r>
              <w:rPr>
                <w:rFonts w:ascii="Arial" w:cs="Arial" w:eastAsia="Arial" w:hAnsi="Arial"/>
                <w:sz w:val="20"/>
                <w:szCs w:val="20"/>
                <w:b w:val="1"/>
                <w:bCs w:val="1"/>
                <w:color w:val="auto"/>
              </w:rPr>
              <w:t>December 31, 2013</w:t>
            </w:r>
          </w:p>
        </w:tc>
      </w:tr>
      <w:tr>
        <w:trPr>
          <w:trHeight w:val="23"/>
        </w:trPr>
        <w:tc>
          <w:tcPr>
            <w:tcW w:w="58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524"/>
        </w:trPr>
        <w:tc>
          <w:tcPr>
            <w:tcW w:w="5880" w:type="dxa"/>
            <w:vAlign w:val="bottom"/>
          </w:tcPr>
          <w:p>
            <w:pPr>
              <w:spacing w:after="0"/>
              <w:rPr>
                <w:sz w:val="20"/>
                <w:szCs w:val="20"/>
                <w:color w:val="auto"/>
              </w:rPr>
            </w:pPr>
            <w:r>
              <w:rPr>
                <w:rFonts w:ascii="Arial" w:cs="Arial" w:eastAsia="Arial" w:hAnsi="Arial"/>
                <w:sz w:val="20"/>
                <w:szCs w:val="20"/>
                <w:color w:val="auto"/>
              </w:rPr>
              <w:t>401(k) Plan</w:t>
            </w:r>
          </w:p>
        </w:tc>
        <w:tc>
          <w:tcPr>
            <w:tcW w:w="2320" w:type="dxa"/>
            <w:vAlign w:val="bottom"/>
          </w:tcPr>
          <w:p>
            <w:pPr>
              <w:jc w:val="right"/>
              <w:ind w:right="761"/>
              <w:spacing w:after="0"/>
              <w:rPr>
                <w:sz w:val="20"/>
                <w:szCs w:val="20"/>
                <w:color w:val="auto"/>
              </w:rPr>
            </w:pPr>
            <w:r>
              <w:rPr>
                <w:rFonts w:ascii="Arial" w:cs="Arial" w:eastAsia="Arial" w:hAnsi="Arial"/>
                <w:sz w:val="20"/>
                <w:szCs w:val="20"/>
                <w:color w:val="auto"/>
              </w:rPr>
              <w:t>97.28%</w:t>
            </w:r>
          </w:p>
        </w:tc>
        <w:tc>
          <w:tcPr>
            <w:tcW w:w="100" w:type="dxa"/>
            <w:vAlign w:val="bottom"/>
          </w:tcPr>
          <w:p>
            <w:pPr>
              <w:spacing w:after="0"/>
              <w:rPr>
                <w:sz w:val="24"/>
                <w:szCs w:val="24"/>
                <w:color w:val="auto"/>
              </w:rPr>
            </w:pPr>
          </w:p>
        </w:tc>
        <w:tc>
          <w:tcPr>
            <w:tcW w:w="2200" w:type="dxa"/>
            <w:vAlign w:val="bottom"/>
          </w:tcPr>
          <w:p>
            <w:pPr>
              <w:jc w:val="right"/>
              <w:ind w:right="701"/>
              <w:spacing w:after="0"/>
              <w:rPr>
                <w:sz w:val="20"/>
                <w:szCs w:val="20"/>
                <w:color w:val="auto"/>
              </w:rPr>
            </w:pPr>
            <w:r>
              <w:rPr>
                <w:rFonts w:ascii="Arial" w:cs="Arial" w:eastAsia="Arial" w:hAnsi="Arial"/>
                <w:sz w:val="20"/>
                <w:szCs w:val="20"/>
                <w:color w:val="auto"/>
              </w:rPr>
              <w:t>97.41%</w:t>
            </w:r>
          </w:p>
        </w:tc>
      </w:tr>
      <w:tr>
        <w:trPr>
          <w:trHeight w:val="284"/>
        </w:trPr>
        <w:tc>
          <w:tcPr>
            <w:tcW w:w="5880" w:type="dxa"/>
            <w:vAlign w:val="bottom"/>
          </w:tcPr>
          <w:p>
            <w:pPr>
              <w:spacing w:after="0"/>
              <w:rPr>
                <w:sz w:val="20"/>
                <w:szCs w:val="20"/>
                <w:color w:val="auto"/>
              </w:rPr>
            </w:pPr>
            <w:r>
              <w:rPr>
                <w:rFonts w:ascii="Arial" w:cs="Arial" w:eastAsia="Arial" w:hAnsi="Arial"/>
                <w:sz w:val="20"/>
                <w:szCs w:val="20"/>
                <w:color w:val="auto"/>
              </w:rPr>
              <w:t>Puerto Rico Plan</w:t>
            </w:r>
          </w:p>
        </w:tc>
        <w:tc>
          <w:tcPr>
            <w:tcW w:w="2320" w:type="dxa"/>
            <w:vAlign w:val="bottom"/>
          </w:tcPr>
          <w:p>
            <w:pPr>
              <w:jc w:val="right"/>
              <w:ind w:right="821"/>
              <w:spacing w:after="0"/>
              <w:rPr>
                <w:sz w:val="20"/>
                <w:szCs w:val="20"/>
                <w:color w:val="auto"/>
              </w:rPr>
            </w:pPr>
            <w:r>
              <w:rPr>
                <w:rFonts w:ascii="Arial" w:cs="Arial" w:eastAsia="Arial" w:hAnsi="Arial"/>
                <w:sz w:val="20"/>
                <w:szCs w:val="20"/>
                <w:color w:val="auto"/>
              </w:rPr>
              <w:t>2.72%</w:t>
            </w:r>
          </w:p>
        </w:tc>
        <w:tc>
          <w:tcPr>
            <w:tcW w:w="100" w:type="dxa"/>
            <w:vAlign w:val="bottom"/>
          </w:tcPr>
          <w:p>
            <w:pPr>
              <w:spacing w:after="0"/>
              <w:rPr>
                <w:sz w:val="24"/>
                <w:szCs w:val="24"/>
                <w:color w:val="auto"/>
              </w:rPr>
            </w:pPr>
          </w:p>
        </w:tc>
        <w:tc>
          <w:tcPr>
            <w:tcW w:w="2200" w:type="dxa"/>
            <w:vAlign w:val="bottom"/>
          </w:tcPr>
          <w:p>
            <w:pPr>
              <w:jc w:val="right"/>
              <w:ind w:right="741"/>
              <w:spacing w:after="0"/>
              <w:rPr>
                <w:sz w:val="20"/>
                <w:szCs w:val="20"/>
                <w:color w:val="auto"/>
              </w:rPr>
            </w:pPr>
            <w:r>
              <w:rPr>
                <w:rFonts w:ascii="Arial" w:cs="Arial" w:eastAsia="Arial" w:hAnsi="Arial"/>
                <w:sz w:val="20"/>
                <w:szCs w:val="20"/>
                <w:color w:val="auto"/>
              </w:rPr>
              <w:t>2.59%</w:t>
            </w:r>
          </w:p>
        </w:tc>
      </w:tr>
    </w:tbl>
    <w:p>
      <w:pPr>
        <w:sectPr>
          <w:pgSz w:w="11900" w:h="16838" w:orient="portrait"/>
          <w:cols w:equalWidth="0" w:num="1">
            <w:col w:w="11420"/>
          </w:cols>
          <w:pgMar w:left="240" w:top="1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Information relating to the Master Trust’s net assets as of December 31, 2014 and 2013, and investment income for the year ended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2014, are summarized below:</w:t>
      </w:r>
    </w:p>
    <w:p>
      <w:pPr>
        <w:spacing w:after="0" w:line="200" w:lineRule="exact"/>
        <w:rPr>
          <w:sz w:val="20"/>
          <w:szCs w:val="20"/>
          <w:color w:val="auto"/>
        </w:rPr>
      </w:pP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6180" w:type="dxa"/>
            <w:vAlign w:val="bottom"/>
          </w:tcPr>
          <w:p>
            <w:pPr>
              <w:spacing w:after="0"/>
              <w:rPr>
                <w:sz w:val="22"/>
                <w:szCs w:val="22"/>
                <w:color w:val="auto"/>
              </w:rPr>
            </w:pPr>
          </w:p>
        </w:tc>
        <w:tc>
          <w:tcPr>
            <w:tcW w:w="2300" w:type="dxa"/>
            <w:vAlign w:val="bottom"/>
            <w:gridSpan w:val="2"/>
          </w:tcPr>
          <w:p>
            <w:pPr>
              <w:jc w:val="right"/>
              <w:ind w:right="680"/>
              <w:spacing w:after="0"/>
              <w:rPr>
                <w:sz w:val="20"/>
                <w:szCs w:val="20"/>
                <w:color w:val="auto"/>
              </w:rPr>
            </w:pPr>
            <w:r>
              <w:rPr>
                <w:rFonts w:ascii="Arial" w:cs="Arial" w:eastAsia="Arial" w:hAnsi="Arial"/>
                <w:sz w:val="20"/>
                <w:szCs w:val="20"/>
                <w:b w:val="1"/>
                <w:bCs w:val="1"/>
                <w:color w:val="auto"/>
                <w:w w:val="88"/>
              </w:rPr>
              <w:t>December 31, 2014</w:t>
            </w:r>
          </w:p>
        </w:tc>
        <w:tc>
          <w:tcPr>
            <w:tcW w:w="320" w:type="dxa"/>
            <w:vAlign w:val="bottom"/>
          </w:tcPr>
          <w:p>
            <w:pPr>
              <w:spacing w:after="0"/>
              <w:rPr>
                <w:sz w:val="22"/>
                <w:szCs w:val="22"/>
                <w:color w:val="auto"/>
              </w:rPr>
            </w:pPr>
          </w:p>
        </w:tc>
        <w:tc>
          <w:tcPr>
            <w:tcW w:w="204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w w:val="88"/>
              </w:rPr>
              <w:t>December 31, 2013</w:t>
            </w:r>
          </w:p>
        </w:tc>
        <w:tc>
          <w:tcPr>
            <w:tcW w:w="0" w:type="dxa"/>
            <w:vAlign w:val="bottom"/>
          </w:tcPr>
          <w:p>
            <w:pPr>
              <w:spacing w:after="0"/>
              <w:rPr>
                <w:sz w:val="1"/>
                <w:szCs w:val="1"/>
                <w:color w:val="auto"/>
              </w:rPr>
            </w:pPr>
          </w:p>
        </w:tc>
      </w:tr>
      <w:tr>
        <w:trPr>
          <w:trHeight w:val="23"/>
        </w:trPr>
        <w:tc>
          <w:tcPr>
            <w:tcW w:w="6180" w:type="dxa"/>
            <w:vAlign w:val="bottom"/>
            <w:vMerge w:val="restart"/>
          </w:tcPr>
          <w:p>
            <w:pPr>
              <w:spacing w:after="0"/>
              <w:rPr>
                <w:sz w:val="20"/>
                <w:szCs w:val="20"/>
                <w:color w:val="auto"/>
              </w:rPr>
            </w:pPr>
            <w:r>
              <w:rPr>
                <w:rFonts w:ascii="Arial" w:cs="Arial" w:eastAsia="Arial" w:hAnsi="Arial"/>
                <w:sz w:val="20"/>
                <w:szCs w:val="20"/>
                <w:color w:val="auto"/>
              </w:rPr>
              <w:t>Net assets:</w:t>
            </w: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18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00"/>
              <w:spacing w:after="0"/>
              <w:rPr>
                <w:sz w:val="20"/>
                <w:szCs w:val="20"/>
                <w:color w:val="auto"/>
              </w:rPr>
            </w:pPr>
            <w:r>
              <w:rPr>
                <w:rFonts w:ascii="Arial" w:cs="Arial" w:eastAsia="Arial" w:hAnsi="Arial"/>
                <w:sz w:val="20"/>
                <w:szCs w:val="20"/>
                <w:color w:val="auto"/>
              </w:rPr>
              <w:t>Investments at fair value:</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260"/>
              <w:spacing w:after="0"/>
              <w:rPr>
                <w:sz w:val="20"/>
                <w:szCs w:val="20"/>
                <w:color w:val="auto"/>
              </w:rPr>
            </w:pPr>
            <w:r>
              <w:rPr>
                <w:rFonts w:ascii="Arial" w:cs="Arial" w:eastAsia="Arial" w:hAnsi="Arial"/>
                <w:sz w:val="20"/>
                <w:szCs w:val="20"/>
                <w:color w:val="auto"/>
              </w:rPr>
              <w:t>Registered investment companies</w:t>
            </w:r>
          </w:p>
        </w:tc>
        <w:tc>
          <w:tcPr>
            <w:tcW w:w="1380" w:type="dxa"/>
            <w:vAlign w:val="bottom"/>
          </w:tcPr>
          <w:p>
            <w:pPr>
              <w:ind w:left="80"/>
              <w:spacing w:after="0"/>
              <w:rPr>
                <w:sz w:val="20"/>
                <w:szCs w:val="20"/>
                <w:color w:val="auto"/>
              </w:rPr>
            </w:pPr>
            <w:r>
              <w:rPr>
                <w:rFonts w:ascii="Arial" w:cs="Arial" w:eastAsia="Arial" w:hAnsi="Arial"/>
                <w:sz w:val="20"/>
                <w:szCs w:val="20"/>
                <w:color w:val="auto"/>
              </w:rPr>
              <w:t>$ 201,576,416</w:t>
            </w:r>
          </w:p>
        </w:tc>
        <w:tc>
          <w:tcPr>
            <w:tcW w:w="920" w:type="dxa"/>
            <w:vAlign w:val="bottom"/>
          </w:tcPr>
          <w:p>
            <w:pPr>
              <w:spacing w:after="0"/>
              <w:rPr>
                <w:sz w:val="24"/>
                <w:szCs w:val="24"/>
                <w:color w:val="auto"/>
              </w:rPr>
            </w:pPr>
          </w:p>
        </w:tc>
        <w:tc>
          <w:tcPr>
            <w:tcW w:w="2360" w:type="dxa"/>
            <w:vAlign w:val="bottom"/>
            <w:gridSpan w:val="3"/>
          </w:tcPr>
          <w:p>
            <w:pPr>
              <w:ind w:left="400"/>
              <w:spacing w:after="0"/>
              <w:rPr>
                <w:sz w:val="20"/>
                <w:szCs w:val="20"/>
                <w:color w:val="auto"/>
              </w:rPr>
            </w:pPr>
            <w:r>
              <w:rPr>
                <w:rFonts w:ascii="Arial" w:cs="Arial" w:eastAsia="Arial" w:hAnsi="Arial"/>
                <w:sz w:val="20"/>
                <w:szCs w:val="20"/>
                <w:color w:val="auto"/>
              </w:rPr>
              <w:t>$ 185,126,723</w:t>
            </w:r>
          </w:p>
        </w:tc>
        <w:tc>
          <w:tcPr>
            <w:tcW w:w="0" w:type="dxa"/>
            <w:vAlign w:val="bottom"/>
          </w:tcPr>
          <w:p>
            <w:pPr>
              <w:spacing w:after="0"/>
              <w:rPr>
                <w:sz w:val="1"/>
                <w:szCs w:val="1"/>
                <w:color w:val="auto"/>
              </w:rPr>
            </w:pPr>
          </w:p>
        </w:tc>
      </w:tr>
      <w:tr>
        <w:trPr>
          <w:trHeight w:val="284"/>
        </w:trPr>
        <w:tc>
          <w:tcPr>
            <w:tcW w:w="6180" w:type="dxa"/>
            <w:vAlign w:val="bottom"/>
          </w:tcPr>
          <w:p>
            <w:pPr>
              <w:ind w:left="260"/>
              <w:spacing w:after="0"/>
              <w:rPr>
                <w:sz w:val="20"/>
                <w:szCs w:val="20"/>
                <w:color w:val="auto"/>
              </w:rPr>
            </w:pPr>
            <w:r>
              <w:rPr>
                <w:rFonts w:ascii="Arial" w:cs="Arial" w:eastAsia="Arial" w:hAnsi="Arial"/>
                <w:sz w:val="20"/>
                <w:szCs w:val="20"/>
                <w:color w:val="auto"/>
              </w:rPr>
              <w:t>Eli Lilly and Company common stock</w:t>
            </w:r>
          </w:p>
        </w:tc>
        <w:tc>
          <w:tcPr>
            <w:tcW w:w="2300" w:type="dxa"/>
            <w:vAlign w:val="bottom"/>
            <w:gridSpan w:val="2"/>
          </w:tcPr>
          <w:p>
            <w:pPr>
              <w:jc w:val="right"/>
              <w:ind w:right="600"/>
              <w:spacing w:after="0"/>
              <w:rPr>
                <w:sz w:val="20"/>
                <w:szCs w:val="20"/>
                <w:color w:val="auto"/>
              </w:rPr>
            </w:pPr>
            <w:r>
              <w:rPr>
                <w:rFonts w:ascii="Arial" w:cs="Arial" w:eastAsia="Arial" w:hAnsi="Arial"/>
                <w:sz w:val="20"/>
                <w:szCs w:val="20"/>
                <w:color w:val="auto"/>
              </w:rPr>
              <w:t>733,657,735</w:t>
            </w:r>
          </w:p>
        </w:tc>
        <w:tc>
          <w:tcPr>
            <w:tcW w:w="2360" w:type="dxa"/>
            <w:vAlign w:val="bottom"/>
            <w:gridSpan w:val="3"/>
          </w:tcPr>
          <w:p>
            <w:pPr>
              <w:jc w:val="right"/>
              <w:ind w:right="480"/>
              <w:spacing w:after="0"/>
              <w:rPr>
                <w:sz w:val="20"/>
                <w:szCs w:val="20"/>
                <w:color w:val="auto"/>
              </w:rPr>
            </w:pPr>
            <w:r>
              <w:rPr>
                <w:rFonts w:ascii="Arial" w:cs="Arial" w:eastAsia="Arial" w:hAnsi="Arial"/>
                <w:sz w:val="20"/>
                <w:szCs w:val="20"/>
                <w:color w:val="auto"/>
              </w:rPr>
              <w:t>592,786,770</w:t>
            </w:r>
          </w:p>
        </w:tc>
        <w:tc>
          <w:tcPr>
            <w:tcW w:w="0" w:type="dxa"/>
            <w:vAlign w:val="bottom"/>
          </w:tcPr>
          <w:p>
            <w:pPr>
              <w:spacing w:after="0"/>
              <w:rPr>
                <w:sz w:val="1"/>
                <w:szCs w:val="1"/>
                <w:color w:val="auto"/>
              </w:rPr>
            </w:pPr>
          </w:p>
        </w:tc>
      </w:tr>
      <w:tr>
        <w:trPr>
          <w:trHeight w:val="284"/>
        </w:trPr>
        <w:tc>
          <w:tcPr>
            <w:tcW w:w="6180" w:type="dxa"/>
            <w:vAlign w:val="bottom"/>
          </w:tcPr>
          <w:p>
            <w:pPr>
              <w:ind w:left="260"/>
              <w:spacing w:after="0"/>
              <w:rPr>
                <w:sz w:val="20"/>
                <w:szCs w:val="20"/>
                <w:color w:val="auto"/>
              </w:rPr>
            </w:pPr>
            <w:r>
              <w:rPr>
                <w:rFonts w:ascii="Arial" w:cs="Arial" w:eastAsia="Arial" w:hAnsi="Arial"/>
                <w:sz w:val="20"/>
                <w:szCs w:val="20"/>
                <w:color w:val="auto"/>
              </w:rPr>
              <w:t>Interest in common/collective trusts</w:t>
            </w:r>
          </w:p>
        </w:tc>
        <w:tc>
          <w:tcPr>
            <w:tcW w:w="2300" w:type="dxa"/>
            <w:vAlign w:val="bottom"/>
            <w:gridSpan w:val="2"/>
          </w:tcPr>
          <w:p>
            <w:pPr>
              <w:jc w:val="right"/>
              <w:ind w:right="640"/>
              <w:spacing w:after="0"/>
              <w:rPr>
                <w:sz w:val="20"/>
                <w:szCs w:val="20"/>
                <w:color w:val="auto"/>
              </w:rPr>
            </w:pPr>
            <w:r>
              <w:rPr>
                <w:rFonts w:ascii="Arial" w:cs="Arial" w:eastAsia="Arial" w:hAnsi="Arial"/>
                <w:sz w:val="20"/>
                <w:szCs w:val="20"/>
                <w:color w:val="auto"/>
              </w:rPr>
              <w:t>4,679,443,942</w:t>
            </w:r>
          </w:p>
        </w:tc>
        <w:tc>
          <w:tcPr>
            <w:tcW w:w="2360" w:type="dxa"/>
            <w:vAlign w:val="bottom"/>
            <w:gridSpan w:val="3"/>
          </w:tcPr>
          <w:p>
            <w:pPr>
              <w:jc w:val="right"/>
              <w:ind w:right="480"/>
              <w:spacing w:after="0"/>
              <w:rPr>
                <w:sz w:val="20"/>
                <w:szCs w:val="20"/>
                <w:color w:val="auto"/>
              </w:rPr>
            </w:pPr>
            <w:r>
              <w:rPr>
                <w:rFonts w:ascii="Arial" w:cs="Arial" w:eastAsia="Arial" w:hAnsi="Arial"/>
                <w:sz w:val="20"/>
                <w:szCs w:val="20"/>
                <w:color w:val="auto"/>
              </w:rPr>
              <w:t>4,345,675,041</w:t>
            </w:r>
          </w:p>
        </w:tc>
        <w:tc>
          <w:tcPr>
            <w:tcW w:w="0" w:type="dxa"/>
            <w:vAlign w:val="bottom"/>
          </w:tcPr>
          <w:p>
            <w:pPr>
              <w:spacing w:after="0"/>
              <w:rPr>
                <w:sz w:val="1"/>
                <w:szCs w:val="1"/>
                <w:color w:val="auto"/>
              </w:rPr>
            </w:pPr>
          </w:p>
        </w:tc>
      </w:tr>
      <w:tr>
        <w:trPr>
          <w:trHeight w:val="284"/>
        </w:trPr>
        <w:tc>
          <w:tcPr>
            <w:tcW w:w="6180" w:type="dxa"/>
            <w:vAlign w:val="bottom"/>
          </w:tcPr>
          <w:p>
            <w:pPr>
              <w:ind w:left="240"/>
              <w:spacing w:after="0"/>
              <w:rPr>
                <w:sz w:val="20"/>
                <w:szCs w:val="20"/>
                <w:color w:val="auto"/>
              </w:rPr>
            </w:pPr>
            <w:r>
              <w:rPr>
                <w:rFonts w:ascii="Arial" w:cs="Arial" w:eastAsia="Arial" w:hAnsi="Arial"/>
                <w:sz w:val="20"/>
                <w:szCs w:val="20"/>
                <w:color w:val="auto"/>
              </w:rPr>
              <w:t>Wrapper contracts</w:t>
            </w:r>
          </w:p>
        </w:tc>
        <w:tc>
          <w:tcPr>
            <w:tcW w:w="2300" w:type="dxa"/>
            <w:vAlign w:val="bottom"/>
            <w:gridSpan w:val="2"/>
          </w:tcPr>
          <w:p>
            <w:pPr>
              <w:jc w:val="right"/>
              <w:ind w:right="600"/>
              <w:spacing w:after="0"/>
              <w:rPr>
                <w:sz w:val="20"/>
                <w:szCs w:val="20"/>
                <w:color w:val="auto"/>
              </w:rPr>
            </w:pPr>
            <w:r>
              <w:rPr>
                <w:rFonts w:ascii="Arial" w:cs="Arial" w:eastAsia="Arial" w:hAnsi="Arial"/>
                <w:sz w:val="20"/>
                <w:szCs w:val="20"/>
                <w:color w:val="auto"/>
              </w:rPr>
              <w:t>177,340</w:t>
            </w:r>
          </w:p>
        </w:tc>
        <w:tc>
          <w:tcPr>
            <w:tcW w:w="2360" w:type="dxa"/>
            <w:vAlign w:val="bottom"/>
            <w:gridSpan w:val="3"/>
          </w:tcPr>
          <w:p>
            <w:pPr>
              <w:jc w:val="right"/>
              <w:ind w:right="440"/>
              <w:spacing w:after="0"/>
              <w:rPr>
                <w:sz w:val="20"/>
                <w:szCs w:val="20"/>
                <w:color w:val="auto"/>
              </w:rPr>
            </w:pPr>
            <w:r>
              <w:rPr>
                <w:rFonts w:ascii="Arial" w:cs="Arial" w:eastAsia="Arial" w:hAnsi="Arial"/>
                <w:sz w:val="20"/>
                <w:szCs w:val="20"/>
                <w:color w:val="auto"/>
              </w:rPr>
              <w:t>208,236</w:t>
            </w: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6180" w:type="dxa"/>
            <w:vAlign w:val="bottom"/>
          </w:tcPr>
          <w:p>
            <w:pPr>
              <w:spacing w:after="0"/>
              <w:rPr>
                <w:sz w:val="20"/>
                <w:szCs w:val="20"/>
                <w:color w:val="auto"/>
              </w:rPr>
            </w:pPr>
            <w:r>
              <w:rPr>
                <w:rFonts w:ascii="Arial" w:cs="Arial" w:eastAsia="Arial" w:hAnsi="Arial"/>
                <w:sz w:val="20"/>
                <w:szCs w:val="20"/>
                <w:color w:val="auto"/>
              </w:rPr>
              <w:t>Total Master Trust net assets</w:t>
            </w:r>
          </w:p>
        </w:tc>
        <w:tc>
          <w:tcPr>
            <w:tcW w:w="1380" w:type="dxa"/>
            <w:vAlign w:val="bottom"/>
          </w:tcPr>
          <w:p>
            <w:pPr>
              <w:ind w:left="80"/>
              <w:spacing w:after="0"/>
              <w:rPr>
                <w:sz w:val="20"/>
                <w:szCs w:val="20"/>
                <w:color w:val="auto"/>
              </w:rPr>
            </w:pPr>
            <w:r>
              <w:rPr>
                <w:rFonts w:ascii="Arial" w:cs="Arial" w:eastAsia="Arial" w:hAnsi="Arial"/>
                <w:sz w:val="20"/>
                <w:szCs w:val="20"/>
                <w:color w:val="auto"/>
                <w:w w:val="88"/>
              </w:rPr>
              <w:t>$ 5,614,855,433</w:t>
            </w:r>
          </w:p>
        </w:tc>
        <w:tc>
          <w:tcPr>
            <w:tcW w:w="920" w:type="dxa"/>
            <w:vAlign w:val="bottom"/>
          </w:tcPr>
          <w:p>
            <w:pPr>
              <w:spacing w:after="0"/>
              <w:rPr>
                <w:sz w:val="23"/>
                <w:szCs w:val="23"/>
                <w:color w:val="auto"/>
              </w:rPr>
            </w:pPr>
          </w:p>
        </w:tc>
        <w:tc>
          <w:tcPr>
            <w:tcW w:w="2360" w:type="dxa"/>
            <w:vAlign w:val="bottom"/>
            <w:gridSpan w:val="3"/>
          </w:tcPr>
          <w:p>
            <w:pPr>
              <w:ind w:left="400"/>
              <w:spacing w:after="0"/>
              <w:rPr>
                <w:sz w:val="20"/>
                <w:szCs w:val="20"/>
                <w:color w:val="auto"/>
              </w:rPr>
            </w:pPr>
            <w:r>
              <w:rPr>
                <w:rFonts w:ascii="Arial" w:cs="Arial" w:eastAsia="Arial" w:hAnsi="Arial"/>
                <w:sz w:val="20"/>
                <w:szCs w:val="20"/>
                <w:color w:val="auto"/>
              </w:rPr>
              <w:t>$ 5,123,796,770</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1240"/>
              <w:spacing w:after="0"/>
              <w:rPr>
                <w:sz w:val="20"/>
                <w:szCs w:val="20"/>
                <w:color w:val="auto"/>
              </w:rPr>
            </w:pPr>
            <w:r>
              <w:rPr>
                <w:rFonts w:ascii="Arial" w:cs="Arial" w:eastAsia="Arial" w:hAnsi="Arial"/>
                <w:sz w:val="20"/>
                <w:szCs w:val="20"/>
                <w:color w:val="auto"/>
              </w:rPr>
              <w:t>Year ended December 31, 2014, investment income:</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61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340"/>
              <w:spacing w:after="0"/>
              <w:rPr>
                <w:sz w:val="20"/>
                <w:szCs w:val="20"/>
                <w:color w:val="auto"/>
              </w:rPr>
            </w:pPr>
            <w:r>
              <w:rPr>
                <w:rFonts w:ascii="Arial" w:cs="Arial" w:eastAsia="Arial" w:hAnsi="Arial"/>
                <w:sz w:val="20"/>
                <w:szCs w:val="20"/>
                <w:color w:val="auto"/>
              </w:rPr>
              <w:t>Interest income, net of expenses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w w:val="98"/>
              </w:rPr>
              <w:t>$ 8,333,506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340"/>
              <w:spacing w:after="0"/>
              <w:rPr>
                <w:sz w:val="20"/>
                <w:szCs w:val="20"/>
                <w:color w:val="auto"/>
              </w:rPr>
            </w:pPr>
            <w:r>
              <w:rPr>
                <w:rFonts w:ascii="Arial" w:cs="Arial" w:eastAsia="Arial" w:hAnsi="Arial"/>
                <w:sz w:val="20"/>
                <w:szCs w:val="20"/>
                <w:color w:val="auto"/>
              </w:rPr>
              <w:t>Dividend income</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32,727,123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340"/>
              <w:spacing w:after="0"/>
              <w:rPr>
                <w:sz w:val="20"/>
                <w:szCs w:val="20"/>
                <w:color w:val="auto"/>
              </w:rPr>
            </w:pPr>
            <w:r>
              <w:rPr>
                <w:rFonts w:ascii="Arial" w:cs="Arial" w:eastAsia="Arial" w:hAnsi="Arial"/>
                <w:sz w:val="20"/>
                <w:szCs w:val="20"/>
                <w:color w:val="auto"/>
                <w:w w:val="92"/>
              </w:rPr>
              <w:t>Net appreciation (depreciation) in fair value of investments: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480"/>
              <w:spacing w:after="0"/>
              <w:rPr>
                <w:sz w:val="20"/>
                <w:szCs w:val="20"/>
                <w:color w:val="auto"/>
              </w:rPr>
            </w:pPr>
            <w:r>
              <w:rPr>
                <w:rFonts w:ascii="Arial" w:cs="Arial" w:eastAsia="Arial" w:hAnsi="Arial"/>
                <w:sz w:val="20"/>
                <w:szCs w:val="20"/>
                <w:color w:val="auto"/>
              </w:rPr>
              <w:t>Registered investment companies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(1,576,556)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480"/>
              <w:spacing w:after="0"/>
              <w:rPr>
                <w:sz w:val="20"/>
                <w:szCs w:val="20"/>
                <w:color w:val="auto"/>
              </w:rPr>
            </w:pPr>
            <w:r>
              <w:rPr>
                <w:rFonts w:ascii="Arial" w:cs="Arial" w:eastAsia="Arial" w:hAnsi="Arial"/>
                <w:sz w:val="20"/>
                <w:szCs w:val="20"/>
                <w:color w:val="auto"/>
              </w:rPr>
              <w:t>Eli Lilly and Company common stock</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w w:val="93"/>
              </w:rPr>
              <w:t>200,807,811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tcPr>
          <w:p>
            <w:pPr>
              <w:ind w:left="1480"/>
              <w:spacing w:after="0"/>
              <w:rPr>
                <w:sz w:val="20"/>
                <w:szCs w:val="20"/>
                <w:color w:val="auto"/>
              </w:rPr>
            </w:pPr>
            <w:r>
              <w:rPr>
                <w:rFonts w:ascii="Arial" w:cs="Arial" w:eastAsia="Arial" w:hAnsi="Arial"/>
                <w:sz w:val="20"/>
                <w:szCs w:val="20"/>
                <w:color w:val="auto"/>
              </w:rPr>
              <w:t>Interest in common/collective trusts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w w:val="93"/>
              </w:rPr>
              <w:t>253,835,372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180" w:type="dxa"/>
            <w:vAlign w:val="bottom"/>
          </w:tcPr>
          <w:p>
            <w:pPr>
              <w:ind w:left="1240"/>
              <w:spacing w:after="0"/>
              <w:rPr>
                <w:sz w:val="20"/>
                <w:szCs w:val="20"/>
                <w:color w:val="auto"/>
              </w:rPr>
            </w:pPr>
            <w:r>
              <w:rPr>
                <w:rFonts w:ascii="Arial" w:cs="Arial" w:eastAsia="Arial" w:hAnsi="Arial"/>
                <w:sz w:val="20"/>
                <w:szCs w:val="20"/>
                <w:color w:val="auto"/>
              </w:rPr>
              <w:t>Total Master Trust investment income</w:t>
            </w:r>
          </w:p>
        </w:tc>
        <w:tc>
          <w:tcPr>
            <w:tcW w:w="2300" w:type="dxa"/>
            <w:vAlign w:val="bottom"/>
            <w:gridSpan w:val="2"/>
          </w:tcPr>
          <w:p>
            <w:pPr>
              <w:jc w:val="right"/>
              <w:ind w:right="80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w w:val="93"/>
              </w:rPr>
              <w:t>494,127,256</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Measurements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ectPr>
          <w:pgSz w:w="11900" w:h="16838" w:orient="portrait"/>
          <w:cols w:equalWidth="0" w:num="1">
            <w:col w:w="11420"/>
          </w:cols>
          <w:pgMar w:left="240" w:top="19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46"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58"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following is a description of the valuation techniques and inputs used for each major class of assets and liabilities measured at fair value:</w:t>
      </w:r>
    </w:p>
    <w:p>
      <w:pPr>
        <w:spacing w:after="0" w:line="202" w:lineRule="exact"/>
        <w:rPr>
          <w:sz w:val="20"/>
          <w:szCs w:val="20"/>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2"/>
          <w:szCs w:val="22"/>
          <w:color w:val="auto"/>
        </w:rPr>
        <w:t>Registered investment companies (mutual funds) - Valued at the net asset value (NAV) of shares held by the Plans at year end, as quoted in the active market, and are classified within Level 1 of the valuation hierarchy.</w:t>
      </w:r>
    </w:p>
    <w:p>
      <w:pPr>
        <w:spacing w:after="0" w:line="201"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Eli Lilly and Company common stock - Valued at the closing price reported on the New York Stock Exchange and is classified within Level 1 of the valuation hierarchy.</w:t>
      </w:r>
    </w:p>
    <w:p>
      <w:pPr>
        <w:spacing w:after="0" w:line="201" w:lineRule="exact"/>
        <w:rPr>
          <w:rFonts w:ascii="Arial" w:cs="Arial" w:eastAsia="Arial" w:hAnsi="Arial"/>
          <w:sz w:val="22"/>
          <w:szCs w:val="22"/>
          <w:color w:val="auto"/>
        </w:rPr>
      </w:pPr>
    </w:p>
    <w:p>
      <w:pPr>
        <w:jc w:val="both"/>
        <w:ind w:left="660" w:hanging="328"/>
        <w:spacing w:after="0" w:line="289"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Interest in common/collective trusts - Represents interests in pooled investment vehicles designed primarily for collective investment of employee benefit trusts. The fair value of the investment in this category has been estimated using the NAV per unit provided by the fund managers. The unit values are based on the fair value of the underlying assets, which are principally equity and fixed-income securities, short-term investments, and real estate. The investment strategies of the Plans’ common/collective trusts vary based on the investment objectives of the asset classes of which they are part. Such strategies include investments in fixed-income securities and investments in equity securities for growth and value objectives, investment portfolios that replicate equity market indices, and investments in international markets. Redemption restrictions range from 1 to 30 days, and there were no unfunded commitments in this investment category. These investments are classified within Level 2 of the valuation.</w:t>
      </w:r>
    </w:p>
    <w:p>
      <w:pPr>
        <w:spacing w:after="0" w:line="184" w:lineRule="exact"/>
        <w:rPr>
          <w:rFonts w:ascii="Arial" w:cs="Arial" w:eastAsia="Arial" w:hAnsi="Arial"/>
          <w:sz w:val="19"/>
          <w:szCs w:val="19"/>
          <w:color w:val="auto"/>
        </w:rPr>
      </w:pPr>
    </w:p>
    <w:p>
      <w:pPr>
        <w:ind w:left="660" w:hanging="328"/>
        <w:spacing w:after="0" w:line="343"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Synthetic GIC wrapper contracts - Determined using the discounted difference between replacement cost and actual cost, projected for the duration of the associated portfolio, and are classified within Level 3 of the valuation hierarchy.</w:t>
      </w:r>
    </w:p>
    <w:p>
      <w:pPr>
        <w:sectPr>
          <w:pgSz w:w="11900" w:h="16838" w:orient="portrait"/>
          <w:cols w:equalWidth="0" w:num="1">
            <w:col w:w="11420"/>
          </w:cols>
          <w:pgMar w:left="240" w:top="19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2014 and 2013.</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2014:</w:t>
      </w:r>
    </w:p>
    <w:p>
      <w:pPr>
        <w:spacing w:after="0" w:line="200" w:lineRule="exact"/>
        <w:rPr>
          <w:sz w:val="20"/>
          <w:szCs w:val="20"/>
          <w:color w:val="auto"/>
        </w:rPr>
      </w:pP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7"/>
                <w:szCs w:val="17"/>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58"/>
        </w:trPr>
        <w:tc>
          <w:tcPr>
            <w:tcW w:w="348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11,893,009</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 –</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11,893,009</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147,352,360</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147,352,360</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Fixed income</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42,331,047</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42,331,047</w:t>
            </w:r>
          </w:p>
        </w:tc>
      </w:tr>
      <w:tr>
        <w:trPr>
          <w:trHeight w:val="270"/>
        </w:trPr>
        <w:tc>
          <w:tcPr>
            <w:tcW w:w="348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733,657,735</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733,657,735</w:t>
            </w:r>
          </w:p>
        </w:tc>
      </w:tr>
      <w:tr>
        <w:trPr>
          <w:trHeight w:val="270"/>
        </w:trPr>
        <w:tc>
          <w:tcPr>
            <w:tcW w:w="3480" w:type="dxa"/>
            <w:vAlign w:val="bottom"/>
          </w:tcPr>
          <w:p>
            <w:pPr>
              <w:spacing w:after="0"/>
              <w:rPr>
                <w:sz w:val="20"/>
                <w:szCs w:val="20"/>
                <w:color w:val="auto"/>
              </w:rPr>
            </w:pPr>
            <w:r>
              <w:rPr>
                <w:rFonts w:ascii="Arial" w:cs="Arial" w:eastAsia="Arial" w:hAnsi="Arial"/>
                <w:sz w:val="14"/>
                <w:szCs w:val="14"/>
                <w:color w:val="auto"/>
              </w:rPr>
              <w:t>Interest in common/collective trusts:</w:t>
            </w: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U.S. equities</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1,886,986,096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1,886,986,096</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International equities</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958,611,815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958,611,815</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Fixed income</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660,819,317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660,819,317</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Real estate</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133,317,821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133,317,821</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Commodities</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70,586,807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70,586,807</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Short-term investments</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9,244,332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9,244,332</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Short-term investments (stable value fund)</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36,058,329</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36,058,329</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Corporate bonds (stable value fund)</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104,979,060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104,979,060</w:t>
            </w:r>
          </w:p>
        </w:tc>
      </w:tr>
      <w:tr>
        <w:trPr>
          <w:trHeight w:val="270"/>
        </w:trPr>
        <w:tc>
          <w:tcPr>
            <w:tcW w:w="3480" w:type="dxa"/>
            <w:vAlign w:val="bottom"/>
          </w:tcPr>
          <w:p>
            <w:pPr>
              <w:ind w:left="100"/>
              <w:spacing w:after="0"/>
              <w:rPr>
                <w:sz w:val="20"/>
                <w:szCs w:val="20"/>
                <w:color w:val="auto"/>
              </w:rPr>
            </w:pPr>
            <w:r>
              <w:rPr>
                <w:rFonts w:ascii="Arial" w:cs="Arial" w:eastAsia="Arial" w:hAnsi="Arial"/>
                <w:sz w:val="14"/>
                <w:szCs w:val="14"/>
                <w:color w:val="auto"/>
              </w:rPr>
              <w:t>Public bonds (stable value fund)</w:t>
            </w:r>
          </w:p>
        </w:tc>
        <w:tc>
          <w:tcPr>
            <w:tcW w:w="300" w:type="dxa"/>
            <w:vAlign w:val="bottom"/>
          </w:tcPr>
          <w:p>
            <w:pPr>
              <w:spacing w:after="0"/>
              <w:rPr>
                <w:sz w:val="23"/>
                <w:szCs w:val="2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818,840,365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818,840,365</w:t>
            </w:r>
          </w:p>
        </w:tc>
      </w:tr>
      <w:tr>
        <w:trPr>
          <w:trHeight w:val="276"/>
        </w:trPr>
        <w:tc>
          <w:tcPr>
            <w:tcW w:w="3480" w:type="dxa"/>
            <w:vAlign w:val="bottom"/>
          </w:tcPr>
          <w:p>
            <w:pPr>
              <w:spacing w:after="0"/>
              <w:rPr>
                <w:sz w:val="20"/>
                <w:szCs w:val="20"/>
                <w:color w:val="auto"/>
              </w:rPr>
            </w:pPr>
            <w:r>
              <w:rPr>
                <w:rFonts w:ascii="Arial" w:cs="Arial" w:eastAsia="Arial" w:hAnsi="Arial"/>
                <w:sz w:val="14"/>
                <w:szCs w:val="14"/>
                <w:color w:val="auto"/>
              </w:rPr>
              <w:t>Synthetic GIC wrapper contracts</w:t>
            </w:r>
          </w:p>
        </w:tc>
        <w:tc>
          <w:tcPr>
            <w:tcW w:w="30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177,340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177,340</w:t>
            </w: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 Master Trust assets at fair value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935,234,151</w:t>
            </w:r>
          </w:p>
        </w:tc>
        <w:tc>
          <w:tcPr>
            <w:tcW w:w="1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4,679,443,942</w:t>
            </w: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177,340</w:t>
            </w: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5,614,855,433</w:t>
            </w: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9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2013:</w:t>
      </w:r>
    </w:p>
    <w:p>
      <w:pPr>
        <w:spacing w:after="0" w:line="200" w:lineRule="exact"/>
        <w:rPr>
          <w:sz w:val="20"/>
          <w:szCs w:val="20"/>
          <w:color w:val="auto"/>
        </w:rPr>
      </w:pP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7"/>
                <w:szCs w:val="17"/>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58"/>
        </w:trPr>
        <w:tc>
          <w:tcPr>
            <w:tcW w:w="356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11,477,857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11,477,857</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Equity</w:t>
            </w:r>
          </w:p>
        </w:tc>
        <w:tc>
          <w:tcPr>
            <w:tcW w:w="2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134,772,254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134,772,254</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Fixed income</w:t>
            </w:r>
          </w:p>
        </w:tc>
        <w:tc>
          <w:tcPr>
            <w:tcW w:w="2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38,876,612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38,876,612</w:t>
            </w: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2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592,786,770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592,786,770</w:t>
            </w: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Interest in common/collective trusts:</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U.S. equities</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1,694,118,558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1,694,118,558</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International equities</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919,203,253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919,203,253</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Fixed income</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546,103,569</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546,103,569</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Real estate</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109,458,283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109,458,283</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Commodities</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69,671,472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69,671,472</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4,392,326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4,392,326</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Short-term investments (stable value fund)</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8,573,698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8,573,698</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Corporate bonds (stable value fund)</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112,241,035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112,241,035</w:t>
            </w:r>
          </w:p>
        </w:tc>
      </w:tr>
      <w:tr>
        <w:trPr>
          <w:trHeight w:val="270"/>
        </w:trPr>
        <w:tc>
          <w:tcPr>
            <w:tcW w:w="3560" w:type="dxa"/>
            <w:vAlign w:val="bottom"/>
          </w:tcPr>
          <w:p>
            <w:pPr>
              <w:ind w:left="120"/>
              <w:spacing w:after="0"/>
              <w:rPr>
                <w:sz w:val="20"/>
                <w:szCs w:val="20"/>
                <w:color w:val="auto"/>
              </w:rPr>
            </w:pPr>
            <w:r>
              <w:rPr>
                <w:rFonts w:ascii="Arial" w:cs="Arial" w:eastAsia="Arial" w:hAnsi="Arial"/>
                <w:sz w:val="14"/>
                <w:szCs w:val="14"/>
                <w:color w:val="auto"/>
              </w:rPr>
              <w:t>Public bonds (stable value fund)</w:t>
            </w:r>
          </w:p>
        </w:tc>
        <w:tc>
          <w:tcPr>
            <w:tcW w:w="280" w:type="dxa"/>
            <w:vAlign w:val="bottom"/>
          </w:tcPr>
          <w:p>
            <w:pPr>
              <w:spacing w:after="0"/>
              <w:rPr>
                <w:sz w:val="23"/>
                <w:szCs w:val="23"/>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881,912,847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881,912,847</w:t>
            </w: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Synthetic GIC wrapper contracts</w:t>
            </w:r>
          </w:p>
        </w:tc>
        <w:tc>
          <w:tcPr>
            <w:tcW w:w="28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208,236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208,236</w:t>
            </w: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 Master Trust assets at fair value</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777,913,493</w:t>
            </w:r>
          </w:p>
        </w:tc>
        <w:tc>
          <w:tcPr>
            <w:tcW w:w="2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4,345,675,041</w:t>
            </w: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208,236</w:t>
            </w: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5,123,796,770</w:t>
            </w:r>
          </w:p>
        </w:tc>
      </w:tr>
      <w:tr>
        <w:trPr>
          <w:trHeight w:val="20"/>
        </w:trPr>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The table below sets forth a summary of changes in the fair value of the Master Trust Level 3 assets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2014:</w:t>
      </w:r>
    </w:p>
    <w:p>
      <w:pPr>
        <w:spacing w:after="0" w:line="376"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ind w:right="21"/>
              <w:spacing w:after="0"/>
              <w:rPr>
                <w:sz w:val="20"/>
                <w:szCs w:val="20"/>
                <w:color w:val="auto"/>
              </w:rPr>
            </w:pPr>
            <w:r>
              <w:rPr>
                <w:rFonts w:ascii="Arial" w:cs="Arial" w:eastAsia="Arial" w:hAnsi="Arial"/>
                <w:sz w:val="20"/>
                <w:szCs w:val="20"/>
                <w:b w:val="1"/>
                <w:bCs w:val="1"/>
                <w:color w:val="auto"/>
                <w:w w:val="92"/>
              </w:rPr>
              <w:t>Synthetic GIC Wrapper</w:t>
            </w:r>
          </w:p>
        </w:tc>
      </w:tr>
      <w:tr>
        <w:trPr>
          <w:trHeight w:val="256"/>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jc w:val="right"/>
              <w:ind w:right="621"/>
              <w:spacing w:after="0"/>
              <w:rPr>
                <w:sz w:val="20"/>
                <w:szCs w:val="20"/>
                <w:color w:val="auto"/>
              </w:rPr>
            </w:pPr>
            <w:r>
              <w:rPr>
                <w:rFonts w:ascii="Arial" w:cs="Arial" w:eastAsia="Arial" w:hAnsi="Arial"/>
                <w:sz w:val="20"/>
                <w:szCs w:val="20"/>
                <w:b w:val="1"/>
                <w:bCs w:val="1"/>
                <w:color w:val="auto"/>
              </w:rPr>
              <w:t>Contracts</w:t>
            </w:r>
          </w:p>
        </w:tc>
      </w:tr>
      <w:tr>
        <w:trPr>
          <w:trHeight w:val="2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78"/>
        </w:trPr>
        <w:tc>
          <w:tcPr>
            <w:tcW w:w="4000" w:type="dxa"/>
            <w:vAlign w:val="bottom"/>
          </w:tcPr>
          <w:p>
            <w:pPr>
              <w:spacing w:after="0"/>
              <w:rPr>
                <w:sz w:val="20"/>
                <w:szCs w:val="20"/>
                <w:color w:val="auto"/>
              </w:rPr>
            </w:pPr>
            <w:r>
              <w:rPr>
                <w:rFonts w:ascii="Arial" w:cs="Arial" w:eastAsia="Arial" w:hAnsi="Arial"/>
                <w:sz w:val="20"/>
                <w:szCs w:val="20"/>
                <w:color w:val="auto"/>
              </w:rPr>
              <w:t>Fair value at the beginning of the year</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60" w:type="dxa"/>
            <w:vAlign w:val="bottom"/>
          </w:tcPr>
          <w:p>
            <w:pPr>
              <w:jc w:val="right"/>
              <w:spacing w:after="0"/>
              <w:rPr>
                <w:sz w:val="20"/>
                <w:szCs w:val="20"/>
                <w:color w:val="auto"/>
              </w:rPr>
            </w:pPr>
            <w:r>
              <w:rPr>
                <w:rFonts w:ascii="Arial" w:cs="Arial" w:eastAsia="Arial" w:hAnsi="Arial"/>
                <w:sz w:val="20"/>
                <w:szCs w:val="20"/>
                <w:color w:val="auto"/>
              </w:rPr>
              <w:t>208,236</w:t>
            </w:r>
          </w:p>
        </w:tc>
      </w:tr>
      <w:tr>
        <w:trPr>
          <w:trHeight w:val="284"/>
        </w:trPr>
        <w:tc>
          <w:tcPr>
            <w:tcW w:w="4000" w:type="dxa"/>
            <w:vAlign w:val="bottom"/>
          </w:tcPr>
          <w:p>
            <w:pPr>
              <w:spacing w:after="0"/>
              <w:rPr>
                <w:sz w:val="20"/>
                <w:szCs w:val="20"/>
                <w:color w:val="auto"/>
              </w:rPr>
            </w:pPr>
            <w:r>
              <w:rPr>
                <w:rFonts w:ascii="Arial" w:cs="Arial" w:eastAsia="Arial" w:hAnsi="Arial"/>
                <w:sz w:val="20"/>
                <w:szCs w:val="20"/>
                <w:color w:val="auto"/>
              </w:rPr>
              <w:t>Unrealized losses</w:t>
            </w:r>
          </w:p>
        </w:tc>
        <w:tc>
          <w:tcPr>
            <w:tcW w:w="1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(30,896)</w:t>
            </w:r>
          </w:p>
        </w:tc>
      </w:tr>
      <w:tr>
        <w:trPr>
          <w:trHeight w:val="2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72"/>
        </w:trPr>
        <w:tc>
          <w:tcPr>
            <w:tcW w:w="4000" w:type="dxa"/>
            <w:vAlign w:val="bottom"/>
          </w:tcPr>
          <w:p>
            <w:pPr>
              <w:spacing w:after="0"/>
              <w:rPr>
                <w:sz w:val="20"/>
                <w:szCs w:val="20"/>
                <w:color w:val="auto"/>
              </w:rPr>
            </w:pPr>
            <w:r>
              <w:rPr>
                <w:rFonts w:ascii="Arial" w:cs="Arial" w:eastAsia="Arial" w:hAnsi="Arial"/>
                <w:sz w:val="20"/>
                <w:szCs w:val="20"/>
                <w:color w:val="auto"/>
              </w:rPr>
              <w:t>Fair value at the end of the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177,340</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There were no purchases, sales, settlements, or transfers of Level 3 investments during 2014.</w:t>
      </w:r>
    </w:p>
    <w:p>
      <w:pPr>
        <w:spacing w:after="0" w:line="24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Plans also hold other assets not measured at fair value on a recurring basis, including employer contributions receivable. The fair value of these assets approximates the carrying amounts in the accompanying financial statements due to the short maturity of the instruments. Under the fair value hierarchy, these financial instruments are valued primarily using Level 2 inputs.</w:t>
      </w:r>
    </w:p>
    <w:p>
      <w:pPr>
        <w:sectPr>
          <w:pgSz w:w="11900" w:h="16838" w:orient="portrait"/>
          <w:cols w:equalWidth="0" w:num="1">
            <w:col w:w="11420"/>
          </w:cols>
          <w:pgMar w:left="240" w:top="1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Income Tax Status</w:t>
      </w: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401(k) Plan has received a determination letter from the IRS dated July 30, 2014, stating that the 401(k) Plan is qualified under Section 401(a) of the Internal Revenue Code (the Code), and therefore the related trust is exempt from taxation. Subsequent to the issuance of the determination letter, the 401(k) Plan was amended and restated. Once qualified, the 401(k) Plan is required to operate in conformity with the Code to maintain its qualification. The plan administrator believes that the 401(k) Plan, as amended and restated, is being operated in compliance with applicable requirements of the Code and, therefore, believes that the 401(k) Plan is qualified and the related trust is tax exempt</w:t>
      </w:r>
      <w:r>
        <w:rPr>
          <w:rFonts w:ascii="Arial" w:cs="Arial" w:eastAsia="Arial" w:hAnsi="Arial"/>
          <w:sz w:val="21"/>
          <w:szCs w:val="21"/>
          <w:color w:val="FF0000"/>
        </w:rPr>
        <w:t>.</w:t>
      </w:r>
    </w:p>
    <w:p>
      <w:pPr>
        <w:spacing w:after="0" w:line="20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Puerto Rico Plan has applied for but has not yet received a determination letter from the Commonwealth of Puerto Rico’s Department of Treasury stating that the Puerto Rico Plan is qualified under Section 1081.01 of the Internal Revenue Code for a New Puerto Rico (the Puerto Rico Code). On March 24, 2014, and on April 14, 2015, for subsequent amendments, the Puerto Rico Plan applied for a determination letter from the Commonwealth of Puerto Rico’s Department of Treasury to confirm that it is qualified under this applicable section of the Puerto Rico Code. The plan administrator believes that the Puerto Rico Plan has been designed to comply with and is operating in accordance with the applicable requirements of the Puerto Rico Code and therefore, believes the Puerto Rico Plan is qualified and the related trust is tax-exempt.</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U.S. GAAP requires plan management to evaluate uncertain tax positions taken by the Plans. The financial statement effects of a tax position are recognized when the position is more likely than not, based on technical merits, to be sustained upon examination by the IRS. The plan administrator has analyzed the tax positions taken by the Plans and has concluded that as of December 31, 2014,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 The plan administrator believes that the Plans are no longer subject to income tax examinations for years prior to 2011.</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Transactions With Related Parties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2014, the 401(k) Plan received $20,764,208 in cash dividends from the Company on the common stock of the Company owned by the 401(k) Plan. During 2014, the Puerto Rico Plan received $949,867 in cash dividends from the Company on the common stock of the Company owned by the Puerto Rico Plan.</w:t>
      </w:r>
    </w:p>
    <w:p>
      <w:pPr>
        <w:sectPr>
          <w:pgSz w:w="11900" w:h="16838" w:orient="portrait"/>
          <w:cols w:equalWidth="0" w:num="1">
            <w:col w:w="11420"/>
          </w:cols>
          <w:pgMar w:left="240" w:top="19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Reconciliation of the Financial Statements to the Form 5500</w:t>
      </w:r>
    </w:p>
    <w:p>
      <w:pPr>
        <w:spacing w:after="0" w:line="253"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2014 and 2013, and the net increase in net assets available for benefits for the year ended December 31, 2014, with the corresponding amounts in the Form 5500.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2"/>
                <w:szCs w:val="22"/>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Arial" w:cs="Arial" w:eastAsia="Arial" w:hAnsi="Arial"/>
                <w:sz w:val="20"/>
                <w:szCs w:val="20"/>
                <w:b w:val="1"/>
                <w:bCs w:val="1"/>
                <w:color w:val="auto"/>
              </w:rPr>
              <w:t>December 31, 2014</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0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4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5,505,569,027</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156,191,155</w:t>
            </w: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0"/>
                <w:szCs w:val="20"/>
                <w:color w:val="auto"/>
              </w:rPr>
            </w:pPr>
            <w:r>
              <w:rPr>
                <w:rFonts w:ascii="Arial" w:cs="Arial" w:eastAsia="Arial" w:hAnsi="Arial"/>
                <w:sz w:val="20"/>
                <w:szCs w:val="20"/>
                <w:color w:val="auto"/>
              </w:rPr>
              <w:t>Adjustment from contract value to fair value for fully</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40" w:type="dxa"/>
            <w:vAlign w:val="bottom"/>
          </w:tcPr>
          <w:p>
            <w:pPr>
              <w:ind w:left="140"/>
              <w:spacing w:after="0"/>
              <w:rPr>
                <w:sz w:val="20"/>
                <w:szCs w:val="20"/>
                <w:color w:val="auto"/>
              </w:rPr>
            </w:pPr>
            <w:r>
              <w:rPr>
                <w:rFonts w:ascii="Arial" w:cs="Arial" w:eastAsia="Arial" w:hAnsi="Arial"/>
                <w:sz w:val="20"/>
                <w:szCs w:val="20"/>
                <w:color w:val="auto"/>
              </w:rPr>
              <w:t>benefit-responsive investment contracts</w:t>
            </w:r>
          </w:p>
        </w:tc>
        <w:tc>
          <w:tcPr>
            <w:tcW w:w="320" w:type="dxa"/>
            <w:vAlign w:val="bottom"/>
          </w:tcPr>
          <w:p>
            <w:pPr>
              <w:spacing w:after="0"/>
              <w:rPr>
                <w:sz w:val="24"/>
                <w:szCs w:val="24"/>
                <w:color w:val="auto"/>
              </w:rPr>
            </w:pP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184,457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6,699</w:t>
            </w: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(5,796,303)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(128,018)</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40" w:type="dxa"/>
            <w:vAlign w:val="bottom"/>
          </w:tcPr>
          <w:p>
            <w:pPr>
              <w:spacing w:after="0"/>
              <w:rPr>
                <w:sz w:val="20"/>
                <w:szCs w:val="20"/>
                <w:color w:val="auto"/>
              </w:rPr>
            </w:pPr>
            <w:r>
              <w:rPr>
                <w:rFonts w:ascii="Arial" w:cs="Arial" w:eastAsia="Arial" w:hAnsi="Arial"/>
                <w:sz w:val="20"/>
                <w:szCs w:val="20"/>
                <w:color w:val="auto"/>
              </w:rPr>
              <w:t>Net assets available for benefits at year end per Form 5500</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5,499,957,181</w:t>
            </w:r>
          </w:p>
        </w:tc>
        <w:tc>
          <w:tcPr>
            <w:tcW w:w="34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156,069,836</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7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2"/>
                <w:szCs w:val="22"/>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30"/>
        </w:trPr>
        <w:tc>
          <w:tcPr>
            <w:tcW w:w="7040" w:type="dxa"/>
            <w:vAlign w:val="bottom"/>
            <w:vMerge w:val="restart"/>
          </w:tcPr>
          <w:p>
            <w:pPr>
              <w:spacing w:after="0"/>
              <w:rPr>
                <w:sz w:val="20"/>
                <w:szCs w:val="20"/>
                <w:color w:val="auto"/>
              </w:rPr>
            </w:pPr>
            <w:r>
              <w:rPr>
                <w:rFonts w:ascii="Arial" w:cs="Arial" w:eastAsia="Arial" w:hAnsi="Arial"/>
                <w:sz w:val="20"/>
                <w:szCs w:val="20"/>
                <w:b w:val="1"/>
                <w:bCs w:val="1"/>
                <w:color w:val="auto"/>
              </w:rPr>
              <w:t>December 31, 2013</w:t>
            </w: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0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40" w:type="dxa"/>
            <w:vAlign w:val="bottom"/>
          </w:tcPr>
          <w:p>
            <w:pPr>
              <w:ind w:left="140"/>
              <w:spacing w:after="0"/>
              <w:rPr>
                <w:sz w:val="20"/>
                <w:szCs w:val="20"/>
                <w:color w:val="auto"/>
              </w:rPr>
            </w:pPr>
            <w:r>
              <w:rPr>
                <w:rFonts w:ascii="Arial" w:cs="Arial" w:eastAsia="Arial" w:hAnsi="Arial"/>
                <w:sz w:val="20"/>
                <w:szCs w:val="20"/>
                <w:color w:val="auto"/>
              </w:rPr>
              <w:t>accompanying financial statements</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5,037,279,674</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136,242,174</w:t>
            </w: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0"/>
                <w:szCs w:val="20"/>
                <w:color w:val="auto"/>
              </w:rPr>
            </w:pPr>
            <w:r>
              <w:rPr>
                <w:rFonts w:ascii="Arial" w:cs="Arial" w:eastAsia="Arial" w:hAnsi="Arial"/>
                <w:sz w:val="20"/>
                <w:szCs w:val="20"/>
                <w:color w:val="auto"/>
              </w:rPr>
              <w:t>Adjustment from contract value to fair value for fully</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40" w:type="dxa"/>
            <w:vAlign w:val="bottom"/>
          </w:tcPr>
          <w:p>
            <w:pPr>
              <w:ind w:left="140"/>
              <w:spacing w:after="0"/>
              <w:rPr>
                <w:sz w:val="20"/>
                <w:szCs w:val="20"/>
                <w:color w:val="auto"/>
              </w:rPr>
            </w:pPr>
            <w:r>
              <w:rPr>
                <w:rFonts w:ascii="Arial" w:cs="Arial" w:eastAsia="Arial" w:hAnsi="Arial"/>
                <w:sz w:val="20"/>
                <w:szCs w:val="20"/>
                <w:color w:val="auto"/>
              </w:rPr>
              <w:t>benefit-responsive investment contracts</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(4,581,895)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(163,539)</w:t>
            </w: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(2,548,384)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(100,940)</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40" w:type="dxa"/>
            <w:vAlign w:val="bottom"/>
          </w:tcPr>
          <w:p>
            <w:pPr>
              <w:spacing w:after="0"/>
              <w:rPr>
                <w:sz w:val="20"/>
                <w:szCs w:val="20"/>
                <w:color w:val="auto"/>
              </w:rPr>
            </w:pPr>
            <w:r>
              <w:rPr>
                <w:rFonts w:ascii="Arial" w:cs="Arial" w:eastAsia="Arial" w:hAnsi="Arial"/>
                <w:sz w:val="20"/>
                <w:szCs w:val="20"/>
                <w:color w:val="auto"/>
              </w:rPr>
              <w:t>Net assets available for benefits at year end per Form 5500</w:t>
            </w: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7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5,030,149,395</w:t>
            </w:r>
          </w:p>
        </w:tc>
        <w:tc>
          <w:tcPr>
            <w:tcW w:w="34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135,977,695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90"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Reconciliation of the Financial Statements to the Form 5500</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6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gridSpan w:val="2"/>
          </w:tcPr>
          <w:p>
            <w:pPr>
              <w:ind w:left="24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2"/>
                <w:szCs w:val="22"/>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30"/>
        </w:trPr>
        <w:tc>
          <w:tcPr>
            <w:tcW w:w="6920" w:type="dxa"/>
            <w:vAlign w:val="bottom"/>
            <w:vMerge w:val="restart"/>
          </w:tcPr>
          <w:p>
            <w:pPr>
              <w:spacing w:after="0"/>
              <w:rPr>
                <w:sz w:val="20"/>
                <w:szCs w:val="20"/>
                <w:color w:val="auto"/>
              </w:rPr>
            </w:pPr>
            <w:r>
              <w:rPr>
                <w:rFonts w:ascii="Arial" w:cs="Arial" w:eastAsia="Arial" w:hAnsi="Arial"/>
                <w:sz w:val="20"/>
                <w:szCs w:val="20"/>
                <w:b w:val="1"/>
                <w:bCs w:val="1"/>
                <w:color w:val="auto"/>
              </w:rPr>
              <w:t>Year Ended December 31, 2014</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Net increase in net assets available for benefits, as reported in</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tcPr>
          <w:p>
            <w:pPr>
              <w:ind w:left="140"/>
              <w:spacing w:after="0"/>
              <w:rPr>
                <w:sz w:val="20"/>
                <w:szCs w:val="20"/>
                <w:color w:val="auto"/>
              </w:rPr>
            </w:pPr>
            <w:r>
              <w:rPr>
                <w:rFonts w:ascii="Arial" w:cs="Arial" w:eastAsia="Arial" w:hAnsi="Arial"/>
                <w:sz w:val="20"/>
                <w:szCs w:val="20"/>
                <w:color w:val="auto"/>
              </w:rPr>
              <w:t>the accompanying financial statements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468,289,353</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19,948,981</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Adjustment from contract value to fair value for fully</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tcPr>
          <w:p>
            <w:pPr>
              <w:ind w:left="140"/>
              <w:spacing w:after="0"/>
              <w:rPr>
                <w:sz w:val="20"/>
                <w:szCs w:val="20"/>
                <w:color w:val="auto"/>
              </w:rPr>
            </w:pPr>
            <w:r>
              <w:rPr>
                <w:rFonts w:ascii="Arial" w:cs="Arial" w:eastAsia="Arial" w:hAnsi="Arial"/>
                <w:sz w:val="20"/>
                <w:szCs w:val="20"/>
                <w:color w:val="auto"/>
              </w:rPr>
              <w:t>benefit-responsive investment contracts at December 31, 2014</w:t>
            </w:r>
          </w:p>
        </w:tc>
        <w:tc>
          <w:tcPr>
            <w:tcW w:w="360" w:type="dxa"/>
            <w:vAlign w:val="bottom"/>
          </w:tcPr>
          <w:p>
            <w:pPr>
              <w:spacing w:after="0"/>
              <w:rPr>
                <w:sz w:val="24"/>
                <w:szCs w:val="24"/>
                <w:color w:val="auto"/>
              </w:rPr>
            </w:pP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184,457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6,699</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Adjustment from contract value to fair value for fully</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tcPr>
          <w:p>
            <w:pPr>
              <w:ind w:left="140"/>
              <w:spacing w:after="0"/>
              <w:rPr>
                <w:sz w:val="20"/>
                <w:szCs w:val="20"/>
                <w:color w:val="auto"/>
              </w:rPr>
            </w:pPr>
            <w:r>
              <w:rPr>
                <w:rFonts w:ascii="Arial" w:cs="Arial" w:eastAsia="Arial" w:hAnsi="Arial"/>
                <w:sz w:val="20"/>
                <w:szCs w:val="20"/>
                <w:color w:val="auto"/>
              </w:rPr>
              <w:t>benefit-responsive investment contracts at December 31, 2013</w:t>
            </w:r>
          </w:p>
        </w:tc>
        <w:tc>
          <w:tcPr>
            <w:tcW w:w="360" w:type="dxa"/>
            <w:vAlign w:val="bottom"/>
          </w:tcPr>
          <w:p>
            <w:pPr>
              <w:spacing w:after="0"/>
              <w:rPr>
                <w:sz w:val="24"/>
                <w:szCs w:val="24"/>
                <w:color w:val="auto"/>
              </w:rPr>
            </w:pP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4,581,895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163,539</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2014</w:t>
            </w: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(5,796,303)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(128,018)</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2013</w:t>
            </w:r>
          </w:p>
        </w:tc>
        <w:tc>
          <w:tcPr>
            <w:tcW w:w="360" w:type="dxa"/>
            <w:vAlign w:val="bottom"/>
          </w:tcPr>
          <w:p>
            <w:pPr>
              <w:spacing w:after="0"/>
              <w:rPr>
                <w:sz w:val="24"/>
                <w:szCs w:val="24"/>
                <w:color w:val="auto"/>
              </w:rPr>
            </w:pP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2,548,384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100,940</w:t>
            </w:r>
          </w:p>
        </w:tc>
        <w:tc>
          <w:tcPr>
            <w:tcW w:w="0" w:type="dxa"/>
            <w:vAlign w:val="bottom"/>
          </w:tcPr>
          <w:p>
            <w:pPr>
              <w:spacing w:after="0"/>
              <w:rPr>
                <w:sz w:val="1"/>
                <w:szCs w:val="1"/>
                <w:color w:val="auto"/>
              </w:rPr>
            </w:pPr>
          </w:p>
        </w:tc>
      </w:tr>
      <w:tr>
        <w:trPr>
          <w:trHeight w:val="23"/>
        </w:trPr>
        <w:tc>
          <w:tcPr>
            <w:tcW w:w="6920" w:type="dxa"/>
            <w:vAlign w:val="bottom"/>
            <w:vMerge w:val="restart"/>
          </w:tcPr>
          <w:p>
            <w:pPr>
              <w:spacing w:after="0"/>
              <w:rPr>
                <w:sz w:val="20"/>
                <w:szCs w:val="20"/>
                <w:color w:val="auto"/>
              </w:rPr>
            </w:pPr>
            <w:r>
              <w:rPr>
                <w:rFonts w:ascii="Arial" w:cs="Arial" w:eastAsia="Arial" w:hAnsi="Arial"/>
                <w:sz w:val="20"/>
                <w:szCs w:val="20"/>
                <w:color w:val="auto"/>
              </w:rPr>
              <w:t>Net increase in net assets available for benefits, as reported on</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920" w:type="dxa"/>
            <w:vAlign w:val="bottom"/>
            <w:vMerge w:val="continue"/>
          </w:tcPr>
          <w:p>
            <w:pPr>
              <w:spacing w:after="0"/>
              <w:rPr>
                <w:sz w:val="19"/>
                <w:szCs w:val="19"/>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vMerge w:val="restart"/>
          </w:tcPr>
          <w:p>
            <w:pPr>
              <w:jc w:val="right"/>
              <w:ind w:right="21"/>
              <w:spacing w:after="0"/>
              <w:rPr>
                <w:sz w:val="20"/>
                <w:szCs w:val="20"/>
                <w:color w:val="auto"/>
              </w:rPr>
            </w:pPr>
            <w:r>
              <w:rPr>
                <w:rFonts w:ascii="Arial" w:cs="Arial" w:eastAsia="Arial" w:hAnsi="Arial"/>
                <w:sz w:val="20"/>
                <w:szCs w:val="20"/>
                <w:color w:val="auto"/>
              </w:rPr>
              <w:t>469,807,786</w:t>
            </w:r>
          </w:p>
        </w:tc>
        <w:tc>
          <w:tcPr>
            <w:tcW w:w="3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vMerge w:val="restart"/>
          </w:tcPr>
          <w:p>
            <w:pPr>
              <w:jc w:val="right"/>
              <w:ind w:right="1"/>
              <w:spacing w:after="0"/>
              <w:rPr>
                <w:sz w:val="20"/>
                <w:szCs w:val="20"/>
                <w:color w:val="auto"/>
              </w:rPr>
            </w:pPr>
            <w:r>
              <w:rPr>
                <w:rFonts w:ascii="Arial" w:cs="Arial" w:eastAsia="Arial" w:hAnsi="Arial"/>
                <w:sz w:val="20"/>
                <w:szCs w:val="20"/>
                <w:color w:val="auto"/>
              </w:rPr>
              <w:t>20,092,141</w:t>
            </w:r>
          </w:p>
        </w:tc>
        <w:tc>
          <w:tcPr>
            <w:tcW w:w="0" w:type="dxa"/>
            <w:vAlign w:val="bottom"/>
          </w:tcPr>
          <w:p>
            <w:pPr>
              <w:spacing w:after="0"/>
              <w:rPr>
                <w:sz w:val="1"/>
                <w:szCs w:val="1"/>
                <w:color w:val="auto"/>
              </w:rPr>
            </w:pPr>
          </w:p>
        </w:tc>
      </w:tr>
      <w:tr>
        <w:trPr>
          <w:trHeight w:val="260"/>
        </w:trPr>
        <w:tc>
          <w:tcPr>
            <w:tcW w:w="6920" w:type="dxa"/>
            <w:vAlign w:val="bottom"/>
          </w:tcPr>
          <w:p>
            <w:pPr>
              <w:ind w:left="140"/>
              <w:spacing w:after="0"/>
              <w:rPr>
                <w:sz w:val="20"/>
                <w:szCs w:val="20"/>
                <w:color w:val="auto"/>
              </w:rPr>
            </w:pPr>
            <w:r>
              <w:rPr>
                <w:rFonts w:ascii="Arial" w:cs="Arial" w:eastAsia="Arial" w:hAnsi="Arial"/>
                <w:sz w:val="20"/>
                <w:szCs w:val="20"/>
                <w:color w:val="auto"/>
              </w:rPr>
              <w:t>the Form 5500</w:t>
            </w:r>
          </w:p>
        </w:tc>
        <w:tc>
          <w:tcPr>
            <w:tcW w:w="360" w:type="dxa"/>
            <w:vAlign w:val="bottom"/>
            <w:tcBorders>
              <w:bottom w:val="single" w:sz="8" w:color="auto"/>
            </w:tcBorders>
            <w:vMerge w:val="continue"/>
          </w:tcPr>
          <w:p>
            <w:pPr>
              <w:spacing w:after="0"/>
              <w:rPr>
                <w:sz w:val="22"/>
                <w:szCs w:val="22"/>
                <w:color w:val="auto"/>
              </w:rPr>
            </w:pPr>
          </w:p>
        </w:tc>
        <w:tc>
          <w:tcPr>
            <w:tcW w:w="1820" w:type="dxa"/>
            <w:vAlign w:val="bottom"/>
            <w:tcBorders>
              <w:bottom w:val="single" w:sz="8" w:color="auto"/>
            </w:tcBorders>
            <w:vMerge w:val="continue"/>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190" w:right="2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Supplemental Schedules</w:t>
      </w:r>
    </w:p>
    <w:p>
      <w:pPr>
        <w:sectPr>
          <w:pgSz w:w="11900" w:h="16838" w:orient="portrait"/>
          <w:cols w:equalWidth="0" w:num="1">
            <w:col w:w="9019"/>
          </w:cols>
          <w:pgMar w:left="1440" w:top="1440" w:right="1440"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Arial" w:cs="Arial" w:eastAsia="Arial" w:hAnsi="Arial"/>
                <w:sz w:val="20"/>
                <w:szCs w:val="20"/>
                <w:color w:val="auto"/>
              </w:rPr>
              <w:t>December 31, 2014</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4040" w:type="dxa"/>
            <w:vAlign w:val="bottom"/>
          </w:tcPr>
          <w:p>
            <w:pPr>
              <w:spacing w:after="0"/>
              <w:rPr>
                <w:sz w:val="24"/>
                <w:szCs w:val="24"/>
                <w:color w:val="auto"/>
              </w:rPr>
            </w:pP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87"/>
              </w:rPr>
              <w:t>Description of</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89"/>
              </w:rPr>
              <w:t>Investments, Including</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94"/>
              </w:rPr>
              <w:t>Maturity Date, Rate of</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left="1141"/>
              <w:spacing w:after="0"/>
              <w:rPr>
                <w:sz w:val="20"/>
                <w:szCs w:val="20"/>
                <w:color w:val="auto"/>
              </w:rPr>
            </w:pPr>
            <w:r>
              <w:rPr>
                <w:rFonts w:ascii="Arial" w:cs="Arial" w:eastAsia="Arial" w:hAnsi="Arial"/>
                <w:sz w:val="20"/>
                <w:szCs w:val="20"/>
                <w:b w:val="1"/>
                <w:bCs w:val="1"/>
                <w:color w:val="auto"/>
                <w:w w:val="89"/>
              </w:rPr>
              <w:t>Identity of Issue, Borrower,</w:t>
            </w: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91"/>
              </w:rPr>
              <w:t>Interest, Par, or</w:t>
            </w: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94"/>
              </w:rPr>
              <w:t>Current</w:t>
            </w:r>
          </w:p>
        </w:tc>
        <w:tc>
          <w:tcPr>
            <w:tcW w:w="0" w:type="dxa"/>
            <w:vAlign w:val="bottom"/>
          </w:tcPr>
          <w:p>
            <w:pPr>
              <w:spacing w:after="0"/>
              <w:rPr>
                <w:sz w:val="1"/>
                <w:szCs w:val="1"/>
                <w:color w:val="auto"/>
              </w:rPr>
            </w:pPr>
          </w:p>
        </w:tc>
      </w:tr>
      <w:tr>
        <w:trPr>
          <w:trHeight w:val="284"/>
        </w:trPr>
        <w:tc>
          <w:tcPr>
            <w:tcW w:w="4040" w:type="dxa"/>
            <w:vAlign w:val="bottom"/>
          </w:tcPr>
          <w:p>
            <w:pPr>
              <w:jc w:val="center"/>
              <w:ind w:left="1141"/>
              <w:spacing w:after="0"/>
              <w:rPr>
                <w:sz w:val="20"/>
                <w:szCs w:val="20"/>
                <w:color w:val="auto"/>
              </w:rPr>
            </w:pPr>
            <w:r>
              <w:rPr>
                <w:rFonts w:ascii="Arial" w:cs="Arial" w:eastAsia="Arial" w:hAnsi="Arial"/>
                <w:sz w:val="20"/>
                <w:szCs w:val="20"/>
                <w:b w:val="1"/>
                <w:bCs w:val="1"/>
                <w:color w:val="auto"/>
                <w:w w:val="90"/>
              </w:rPr>
              <w:t>Lessor, or Similar Party</w:t>
            </w: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95"/>
              </w:rPr>
              <w:t>Maturity Value</w:t>
            </w: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300" w:type="dxa"/>
            <w:vAlign w:val="bottom"/>
          </w:tcPr>
          <w:p>
            <w:pPr>
              <w:ind w:left="1280"/>
              <w:spacing w:after="0"/>
              <w:rPr>
                <w:sz w:val="20"/>
                <w:szCs w:val="20"/>
                <w:color w:val="auto"/>
              </w:rPr>
            </w:pPr>
            <w:r>
              <w:rPr>
                <w:rFonts w:ascii="Arial" w:cs="Arial" w:eastAsia="Arial" w:hAnsi="Arial"/>
                <w:sz w:val="20"/>
                <w:szCs w:val="20"/>
                <w:color w:val="auto"/>
              </w:rPr>
              <w:t>Interest rates ranging</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4300" w:type="dxa"/>
            <w:vAlign w:val="bottom"/>
          </w:tcPr>
          <w:p>
            <w:pPr>
              <w:ind w:left="1420"/>
              <w:spacing w:after="0"/>
              <w:rPr>
                <w:sz w:val="20"/>
                <w:szCs w:val="20"/>
                <w:color w:val="auto"/>
              </w:rPr>
            </w:pPr>
            <w:r>
              <w:rPr>
                <w:rFonts w:ascii="Arial" w:cs="Arial" w:eastAsia="Arial" w:hAnsi="Arial"/>
                <w:sz w:val="20"/>
                <w:szCs w:val="20"/>
                <w:color w:val="auto"/>
              </w:rPr>
              <w:t>from 4.25% to 10.00%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$ 35,407,612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*Parties in interest.</w:t>
            </w:r>
          </w:p>
        </w:tc>
        <w:tc>
          <w:tcPr>
            <w:tcW w:w="4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4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528" w:right="85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98-0167031 Plan No. 004</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Arial" w:cs="Arial" w:eastAsia="Arial" w:hAnsi="Arial"/>
                <w:sz w:val="20"/>
                <w:szCs w:val="20"/>
                <w:color w:val="auto"/>
              </w:rPr>
              <w:t>December 31, 2014</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4040" w:type="dxa"/>
            <w:vAlign w:val="bottom"/>
          </w:tcPr>
          <w:p>
            <w:pPr>
              <w:spacing w:after="0"/>
              <w:rPr>
                <w:sz w:val="24"/>
                <w:szCs w:val="24"/>
                <w:color w:val="auto"/>
              </w:rPr>
            </w:pP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87"/>
              </w:rPr>
              <w:t>Description of</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89"/>
              </w:rPr>
              <w:t>Investments, Including</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94"/>
              </w:rPr>
              <w:t>Maturity Date, Rate of</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left="1141"/>
              <w:spacing w:after="0"/>
              <w:rPr>
                <w:sz w:val="20"/>
                <w:szCs w:val="20"/>
                <w:color w:val="auto"/>
              </w:rPr>
            </w:pPr>
            <w:r>
              <w:rPr>
                <w:rFonts w:ascii="Arial" w:cs="Arial" w:eastAsia="Arial" w:hAnsi="Arial"/>
                <w:sz w:val="20"/>
                <w:szCs w:val="20"/>
                <w:b w:val="1"/>
                <w:bCs w:val="1"/>
                <w:color w:val="auto"/>
                <w:w w:val="89"/>
              </w:rPr>
              <w:t>Identity of Issue, Borrower,</w:t>
            </w: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91"/>
              </w:rPr>
              <w:t>Interest, Par, or</w:t>
            </w: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94"/>
              </w:rPr>
              <w:t>Current</w:t>
            </w:r>
          </w:p>
        </w:tc>
        <w:tc>
          <w:tcPr>
            <w:tcW w:w="0" w:type="dxa"/>
            <w:vAlign w:val="bottom"/>
          </w:tcPr>
          <w:p>
            <w:pPr>
              <w:spacing w:after="0"/>
              <w:rPr>
                <w:sz w:val="1"/>
                <w:szCs w:val="1"/>
                <w:color w:val="auto"/>
              </w:rPr>
            </w:pPr>
          </w:p>
        </w:tc>
      </w:tr>
      <w:tr>
        <w:trPr>
          <w:trHeight w:val="284"/>
        </w:trPr>
        <w:tc>
          <w:tcPr>
            <w:tcW w:w="4040" w:type="dxa"/>
            <w:vAlign w:val="bottom"/>
          </w:tcPr>
          <w:p>
            <w:pPr>
              <w:jc w:val="center"/>
              <w:ind w:left="1141"/>
              <w:spacing w:after="0"/>
              <w:rPr>
                <w:sz w:val="20"/>
                <w:szCs w:val="20"/>
                <w:color w:val="auto"/>
              </w:rPr>
            </w:pPr>
            <w:r>
              <w:rPr>
                <w:rFonts w:ascii="Arial" w:cs="Arial" w:eastAsia="Arial" w:hAnsi="Arial"/>
                <w:sz w:val="20"/>
                <w:szCs w:val="20"/>
                <w:b w:val="1"/>
                <w:bCs w:val="1"/>
                <w:color w:val="auto"/>
                <w:w w:val="90"/>
              </w:rPr>
              <w:t>Lessor, or Similar Party</w:t>
            </w:r>
          </w:p>
        </w:tc>
        <w:tc>
          <w:tcPr>
            <w:tcW w:w="4300" w:type="dxa"/>
            <w:vAlign w:val="bottom"/>
          </w:tcPr>
          <w:p>
            <w:pPr>
              <w:jc w:val="center"/>
              <w:ind w:left="1141"/>
              <w:spacing w:after="0"/>
              <w:rPr>
                <w:sz w:val="20"/>
                <w:szCs w:val="20"/>
                <w:color w:val="auto"/>
              </w:rPr>
            </w:pPr>
            <w:r>
              <w:rPr>
                <w:rFonts w:ascii="Arial" w:cs="Arial" w:eastAsia="Arial" w:hAnsi="Arial"/>
                <w:sz w:val="20"/>
                <w:szCs w:val="20"/>
                <w:b w:val="1"/>
                <w:bCs w:val="1"/>
                <w:color w:val="auto"/>
                <w:w w:val="95"/>
              </w:rPr>
              <w:t>Maturity Value</w:t>
            </w: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300" w:type="dxa"/>
            <w:vAlign w:val="bottom"/>
          </w:tcPr>
          <w:p>
            <w:pPr>
              <w:ind w:left="1280"/>
              <w:spacing w:after="0"/>
              <w:rPr>
                <w:sz w:val="20"/>
                <w:szCs w:val="20"/>
                <w:color w:val="auto"/>
              </w:rPr>
            </w:pPr>
            <w:r>
              <w:rPr>
                <w:rFonts w:ascii="Arial" w:cs="Arial" w:eastAsia="Arial" w:hAnsi="Arial"/>
                <w:sz w:val="20"/>
                <w:szCs w:val="20"/>
                <w:color w:val="auto"/>
              </w:rPr>
              <w:t>Interest rates ranging</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4300" w:type="dxa"/>
            <w:vAlign w:val="bottom"/>
          </w:tcPr>
          <w:p>
            <w:pPr>
              <w:ind w:left="1420"/>
              <w:spacing w:after="0"/>
              <w:rPr>
                <w:sz w:val="20"/>
                <w:szCs w:val="20"/>
                <w:color w:val="auto"/>
              </w:rPr>
            </w:pPr>
            <w:r>
              <w:rPr>
                <w:rFonts w:ascii="Arial" w:cs="Arial" w:eastAsia="Arial" w:hAnsi="Arial"/>
                <w:sz w:val="20"/>
                <w:szCs w:val="20"/>
                <w:color w:val="auto"/>
              </w:rPr>
              <w:t>from 4.25% to 9.50%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$ 3,065,480</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*Parties in interest.</w:t>
            </w:r>
          </w:p>
        </w:tc>
        <w:tc>
          <w:tcPr>
            <w:tcW w:w="4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4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528" w:right="85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395" w:lineRule="auto"/>
        <w:rPr>
          <w:sz w:val="20"/>
          <w:szCs w:val="20"/>
          <w:color w:val="auto"/>
        </w:rPr>
      </w:pPr>
      <w:r>
        <w:rPr>
          <w:rFonts w:ascii="Arial" w:cs="Arial" w:eastAsia="Arial" w:hAnsi="Arial"/>
          <w:sz w:val="21"/>
          <w:szCs w:val="21"/>
          <w:color w:val="auto"/>
        </w:rPr>
        <w:t>Pursuant to the requirements of the Securities Exchange Act of 1934, the trustees (or other persons who administer the Plans) have duly caused this annual report to be signed on its behalf by the undersigned hereunto duly authorized.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rPr>
              <w:t>The Lilly Employee 401(k) Plan</w:t>
            </w:r>
          </w:p>
        </w:tc>
      </w:tr>
      <w:tr>
        <w:trPr>
          <w:trHeight w:val="625"/>
        </w:trPr>
        <w:tc>
          <w:tcPr>
            <w:tcW w:w="2180" w:type="dxa"/>
            <w:vAlign w:val="bottom"/>
          </w:tcPr>
          <w:p>
            <w:pPr>
              <w:spacing w:after="0"/>
              <w:rPr>
                <w:sz w:val="20"/>
                <w:szCs w:val="20"/>
                <w:color w:val="auto"/>
              </w:rPr>
            </w:pPr>
            <w:r>
              <w:rPr>
                <w:rFonts w:ascii="Arial" w:cs="Arial" w:eastAsia="Arial" w:hAnsi="Arial"/>
                <w:sz w:val="22"/>
                <w:szCs w:val="22"/>
                <w:color w:val="auto"/>
              </w:rPr>
              <w:t>Date: June 23, 2015</w:t>
            </w:r>
          </w:p>
        </w:tc>
        <w:tc>
          <w:tcPr>
            <w:tcW w:w="6460" w:type="dxa"/>
            <w:vAlign w:val="bottom"/>
            <w:gridSpan w:val="3"/>
          </w:tcPr>
          <w:p>
            <w:pPr>
              <w:ind w:left="460"/>
              <w:spacing w:after="0"/>
              <w:rPr>
                <w:sz w:val="20"/>
                <w:szCs w:val="20"/>
                <w:color w:val="auto"/>
              </w:rPr>
            </w:pPr>
            <w:r>
              <w:rPr>
                <w:rFonts w:ascii="Arial" w:cs="Arial" w:eastAsia="Arial" w:hAnsi="Arial"/>
                <w:sz w:val="22"/>
                <w:szCs w:val="22"/>
                <w:color w:val="auto"/>
              </w:rPr>
              <w:t>By:/s/ Stacey M. Roberson</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7"/>
        </w:trPr>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rPr>
              <w:t>Stacey M. Roberson</w:t>
            </w:r>
          </w:p>
        </w:tc>
      </w:tr>
      <w:tr>
        <w:trPr>
          <w:trHeight w:val="275"/>
        </w:trPr>
        <w:tc>
          <w:tcPr>
            <w:tcW w:w="2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rPr>
              <w:t>Employee Benefits Committee</w:t>
            </w:r>
          </w:p>
        </w:tc>
      </w:tr>
      <w:tr>
        <w:trPr>
          <w:trHeight w:val="621"/>
        </w:trPr>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w w:val="92"/>
              </w:rPr>
              <w:t>The Savings Plan for Lilly Affiliate Employees</w:t>
            </w:r>
          </w:p>
        </w:tc>
      </w:tr>
      <w:tr>
        <w:trPr>
          <w:trHeight w:val="365"/>
        </w:trPr>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rPr>
              <w:t>in Puerto Rico</w:t>
            </w:r>
          </w:p>
        </w:tc>
      </w:tr>
      <w:tr>
        <w:trPr>
          <w:trHeight w:val="625"/>
        </w:trPr>
        <w:tc>
          <w:tcPr>
            <w:tcW w:w="2180" w:type="dxa"/>
            <w:vAlign w:val="bottom"/>
          </w:tcPr>
          <w:p>
            <w:pPr>
              <w:spacing w:after="0"/>
              <w:rPr>
                <w:sz w:val="20"/>
                <w:szCs w:val="20"/>
                <w:color w:val="auto"/>
              </w:rPr>
            </w:pPr>
            <w:r>
              <w:rPr>
                <w:rFonts w:ascii="Arial" w:cs="Arial" w:eastAsia="Arial" w:hAnsi="Arial"/>
                <w:sz w:val="22"/>
                <w:szCs w:val="22"/>
                <w:color w:val="auto"/>
              </w:rPr>
              <w:t>Date: June 23, 2015</w:t>
            </w:r>
          </w:p>
        </w:tc>
        <w:tc>
          <w:tcPr>
            <w:tcW w:w="6460" w:type="dxa"/>
            <w:vAlign w:val="bottom"/>
            <w:gridSpan w:val="3"/>
          </w:tcPr>
          <w:p>
            <w:pPr>
              <w:ind w:left="460"/>
              <w:spacing w:after="0"/>
              <w:rPr>
                <w:sz w:val="20"/>
                <w:szCs w:val="20"/>
                <w:color w:val="auto"/>
              </w:rPr>
            </w:pPr>
            <w:r>
              <w:rPr>
                <w:rFonts w:ascii="Arial" w:cs="Arial" w:eastAsia="Arial" w:hAnsi="Arial"/>
                <w:sz w:val="22"/>
                <w:szCs w:val="22"/>
                <w:color w:val="auto"/>
              </w:rPr>
              <w:t>By:/s/ Stacey M. Roberson</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37"/>
        </w:trPr>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rPr>
              <w:t>Stacey M. Roberson</w:t>
            </w:r>
          </w:p>
        </w:tc>
      </w:tr>
      <w:tr>
        <w:trPr>
          <w:trHeight w:val="275"/>
        </w:trPr>
        <w:tc>
          <w:tcPr>
            <w:tcW w:w="2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700" w:type="dxa"/>
            <w:vAlign w:val="bottom"/>
            <w:gridSpan w:val="2"/>
          </w:tcPr>
          <w:p>
            <w:pPr>
              <w:ind w:left="1600"/>
              <w:spacing w:after="0"/>
              <w:rPr>
                <w:sz w:val="20"/>
                <w:szCs w:val="20"/>
                <w:color w:val="auto"/>
              </w:rPr>
            </w:pPr>
            <w:r>
              <w:rPr>
                <w:rFonts w:ascii="Arial" w:cs="Arial" w:eastAsia="Arial" w:hAnsi="Arial"/>
                <w:sz w:val="22"/>
                <w:szCs w:val="22"/>
                <w:color w:val="auto"/>
              </w:rPr>
              <w:t>Employee Benefits Committee</w:t>
            </w:r>
          </w:p>
        </w:tc>
      </w:tr>
    </w:tbl>
    <w:p>
      <w:pPr>
        <w:sectPr>
          <w:pgSz w:w="11900" w:h="16838" w:orient="portrait"/>
          <w:cols w:equalWidth="0" w:num="1">
            <w:col w:w="11300"/>
          </w:cols>
          <w:pgMar w:left="240" w:top="423" w:right="359" w:bottom="1440" w:gutter="0" w:footer="0" w:header="0"/>
        </w:sectPr>
      </w:pPr>
    </w:p>
    <w:bookmarkStart w:id="22" w:name="page23"/>
    <w:bookmarkEnd w:id="22"/>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00" w:lineRule="exact"/>
        <w:rPr>
          <w:sz w:val="20"/>
          <w:szCs w:val="20"/>
          <w:color w:val="auto"/>
        </w:rPr>
      </w:pPr>
    </w:p>
    <w:p>
      <w:pPr>
        <w:spacing w:after="0" w:line="236"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color w:val="auto"/>
        </w:rPr>
        <w:t>Consent of Independent Registered Public Accounting Firm</w:t>
      </w:r>
    </w:p>
    <w:p>
      <w:pPr>
        <w:sectPr>
          <w:pgSz w:w="11900" w:h="16838" w:orient="portrait"/>
          <w:cols w:equalWidth="0" w:num="1">
            <w:col w:w="10219"/>
          </w:cols>
          <w:pgMar w:left="240" w:top="423"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333-172422) pertaining to The Lilly Employee 401(k) Plan and, The Savings Plan for Lilly Affiliate Employees in Puerto Rico of our report dated June 23, 2015, with respect to the financial statements and schedules of The Lilly Employee 401(k) Plan and The Savings Plan for Lilly Affiliate Employees in Puerto Rico included in this Annual Report (Form 11-K) for the year ended December 31, 2014.</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June 23, 2015</w:t>
      </w:r>
    </w:p>
    <w:p>
      <w:pPr>
        <w:sectPr>
          <w:pgSz w:w="11900" w:h="16838" w:orient="portrait"/>
          <w:cols w:equalWidth="0" w:num="1">
            <w:col w:w="11420"/>
          </w:cols>
          <w:pgMar w:left="240" w:top="41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333-172422) pertaining to The Lilly Employee 401(k) Plan and, The Savings Plan for Lilly Affiliate Employees in Puerto Rico of our report dated June 23, 2015, with respect to the financial statements and schedules of The Lilly Employee 401(k) Plan and The Savings Plan for Lilly Affiliate Employees in Puerto Rico included in this Annual Report (Form 11-K) for the year ended December 31, 2014.</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June 23, 2015</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2019-12-05T12:02:47Z</dcterms:created>
  <dcterms:modified xsi:type="dcterms:W3CDTF">2019-12-05T12:02:47Z</dcterms:modified>
</cp:coreProperties>
</file>