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001-6351</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95" w:right="339" w:bottom="1440" w:gutter="0" w:footer="0" w:header="0"/>
        </w:sectPr>
      </w:pPr>
    </w:p>
    <w:p>
      <w:pPr>
        <w:spacing w:after="0" w:line="136" w:lineRule="exact"/>
        <w:rPr>
          <w:sz w:val="24"/>
          <w:szCs w:val="24"/>
          <w:color w:val="auto"/>
        </w:rPr>
      </w:pPr>
    </w:p>
    <w:p>
      <w:pPr>
        <w:ind w:left="2520"/>
        <w:spacing w:after="0"/>
        <w:rPr>
          <w:sz w:val="20"/>
          <w:szCs w:val="20"/>
          <w:color w:val="auto"/>
        </w:rPr>
      </w:pPr>
      <w:r>
        <w:rPr>
          <w:rFonts w:ascii="Arial" w:cs="Arial" w:eastAsia="Arial" w:hAnsi="Arial"/>
          <w:sz w:val="14"/>
          <w:szCs w:val="14"/>
          <w:color w:val="auto"/>
        </w:rPr>
        <w:t>Indiana</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35-0470950</w:t>
      </w:r>
    </w:p>
    <w:p>
      <w:pPr>
        <w:spacing w:after="0" w:line="42" w:lineRule="exact"/>
        <w:rPr>
          <w:sz w:val="24"/>
          <w:szCs w:val="24"/>
          <w:color w:val="auto"/>
        </w:rPr>
      </w:pPr>
    </w:p>
    <w:p>
      <w:pPr>
        <w:sectPr>
          <w:pgSz w:w="11900" w:h="16838" w:orient="portrait"/>
          <w:cols w:equalWidth="0" w:num="2">
            <w:col w:w="7460" w:space="720"/>
            <w:col w:w="3060"/>
          </w:cols>
          <w:pgMar w:left="320" w:top="1195" w:right="339" w:bottom="1440" w:gutter="0" w:footer="0" w:header="0"/>
          <w:type w:val="continuous"/>
        </w:sectPr>
      </w:pPr>
    </w:p>
    <w:p>
      <w:pPr>
        <w:ind w:left="184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42" w:lineRule="exact"/>
        <w:rPr>
          <w:sz w:val="24"/>
          <w:szCs w:val="24"/>
          <w:color w:val="auto"/>
        </w:rPr>
      </w:pPr>
    </w:p>
    <w:p>
      <w:pPr>
        <w:sectPr>
          <w:pgSz w:w="11900" w:h="16838" w:orient="portrait"/>
          <w:cols w:equalWidth="0" w:num="2">
            <w:col w:w="7320" w:space="720"/>
            <w:col w:w="3200"/>
          </w:cols>
          <w:pgMar w:left="320" w:top="1195" w:right="339" w:bottom="1440" w:gutter="0" w:footer="0" w:header="0"/>
          <w:type w:val="continuous"/>
        </w:sectPr>
      </w:pPr>
    </w:p>
    <w:p>
      <w:pPr>
        <w:ind w:left="18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Identification No.)</w:t>
      </w:r>
    </w:p>
    <w:p>
      <w:pPr>
        <w:spacing w:after="0" w:line="190" w:lineRule="exact"/>
        <w:rPr>
          <w:sz w:val="24"/>
          <w:szCs w:val="24"/>
          <w:color w:val="auto"/>
        </w:rPr>
      </w:pPr>
    </w:p>
    <w:p>
      <w:pPr>
        <w:sectPr>
          <w:pgSz w:w="11900" w:h="16838" w:orient="portrait"/>
          <w:cols w:equalWidth="0" w:num="2">
            <w:col w:w="7280" w:space="720"/>
            <w:col w:w="3240"/>
          </w:cols>
          <w:pgMar w:left="320" w:top="1195" w:right="339" w:bottom="1440" w:gutter="0" w:footer="0" w:header="0"/>
          <w:type w:val="continuous"/>
        </w:sectPr>
      </w:pPr>
    </w:p>
    <w:p>
      <w:pPr>
        <w:ind w:left="4000"/>
        <w:spacing w:after="0"/>
        <w:rPr>
          <w:sz w:val="20"/>
          <w:szCs w:val="20"/>
          <w:color w:val="auto"/>
        </w:rPr>
      </w:pPr>
      <w:r>
        <w:rPr>
          <w:rFonts w:ascii="Arial" w:cs="Arial" w:eastAsia="Arial" w:hAnsi="Arial"/>
          <w:sz w:val="14"/>
          <w:szCs w:val="14"/>
          <w:color w:val="auto"/>
        </w:rPr>
        <w:t>Lilly Corporate Center, Indianapolis, Indiana 46285</w:t>
      </w:r>
    </w:p>
    <w:p>
      <w:pPr>
        <w:spacing w:after="0" w:line="15"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(Address and zip code of principal executive offices)</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 (317) 276-2000</w:t>
      </w:r>
    </w:p>
    <w:p>
      <w:pPr>
        <w:sectPr>
          <w:pgSz w:w="11900" w:h="16838" w:orient="portrait"/>
          <w:cols w:equalWidth="0" w:num="1">
            <w:col w:w="11240"/>
          </w:cols>
          <w:pgMar w:left="320" w:top="1195" w:right="3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74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Trading Symbols</w:t>
            </w:r>
          </w:p>
        </w:tc>
        <w:tc>
          <w:tcPr>
            <w:tcW w:w="3780" w:type="dxa"/>
            <w:vAlign w:val="bottom"/>
            <w:gridSpan w:val="2"/>
          </w:tcPr>
          <w:p>
            <w:pPr>
              <w:ind w:left="1000"/>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20"/>
        </w:trPr>
        <w:tc>
          <w:tcPr>
            <w:tcW w:w="11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182"/>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(no par value)</w:t>
            </w:r>
          </w:p>
        </w:tc>
        <w:tc>
          <w:tcPr>
            <w:tcW w:w="2020" w:type="dxa"/>
            <w:vAlign w:val="bottom"/>
            <w:gridSpan w:val="2"/>
          </w:tcPr>
          <w:p>
            <w:pPr>
              <w:spacing w:after="0"/>
              <w:rPr>
                <w:sz w:val="20"/>
                <w:szCs w:val="20"/>
                <w:color w:val="auto"/>
              </w:rPr>
            </w:pPr>
            <w:r>
              <w:rPr>
                <w:rFonts w:ascii="Arial" w:cs="Arial" w:eastAsia="Arial" w:hAnsi="Arial"/>
                <w:sz w:val="13"/>
                <w:szCs w:val="13"/>
                <w:color w:val="auto"/>
              </w:rPr>
              <w:t>LLY</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7 1/8% Notes due 2025</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LLY25</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2026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2.125% Notes due 2030</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LLY30</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0.625% Notes due 2031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6"/>
        </w:trPr>
        <w:tc>
          <w:tcPr>
            <w:tcW w:w="3740" w:type="dxa"/>
            <w:vAlign w:val="bottom"/>
            <w:gridSpan w:val="2"/>
          </w:tcPr>
          <w:p>
            <w:pPr>
              <w:spacing w:after="0"/>
              <w:rPr>
                <w:sz w:val="20"/>
                <w:szCs w:val="20"/>
                <w:color w:val="auto"/>
              </w:rPr>
            </w:pPr>
            <w:r>
              <w:rPr>
                <w:rFonts w:ascii="Arial" w:cs="Arial" w:eastAsia="Arial" w:hAnsi="Arial"/>
                <w:sz w:val="13"/>
                <w:szCs w:val="13"/>
                <w:color w:val="auto"/>
              </w:rPr>
              <w:t>0.500% Notes due 2033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6.77% Notes due 2036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2043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1.700% Notes due 2049</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LLY49A</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1.125% Notes due 2051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LLY51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1.375% Notes due 2061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LLY61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bl>
    <w:p>
      <w:pPr>
        <w:spacing w:after="0" w:line="99" w:lineRule="exact"/>
        <w:rPr>
          <w:sz w:val="24"/>
          <w:szCs w:val="24"/>
          <w:color w:val="auto"/>
        </w:rPr>
      </w:pPr>
    </w:p>
    <w:p>
      <w:pPr>
        <w:ind w:right="6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620"/>
        <w:spacing w:after="0" w:line="26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2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840" w:type="dxa"/>
        <w:tblCellMar>
          <w:top w:w="0" w:type="dxa"/>
          <w:left w:w="0" w:type="dxa"/>
          <w:bottom w:w="0" w:type="dxa"/>
          <w:right w:w="0" w:type="dxa"/>
        </w:tblCellMar>
      </w:tblP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4960" w:type="dxa"/>
            <w:vAlign w:val="bottom"/>
          </w:tcPr>
          <w:p>
            <w:pPr>
              <w:spacing w:after="0"/>
              <w:rPr>
                <w:sz w:val="21"/>
                <w:szCs w:val="21"/>
                <w:color w:val="auto"/>
              </w:rPr>
            </w:pP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Emerging growth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3"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outstanding as of April 28, 2025:</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20" w:type="dxa"/>
            <w:vAlign w:val="bottom"/>
          </w:tcPr>
          <w:p>
            <w:pPr>
              <w:spacing w:after="0"/>
              <w:rPr>
                <w:sz w:val="16"/>
                <w:szCs w:val="16"/>
                <w:color w:val="auto"/>
              </w:rPr>
            </w:pPr>
          </w:p>
        </w:tc>
        <w:tc>
          <w:tcPr>
            <w:tcW w:w="5320" w:type="dxa"/>
            <w:vAlign w:val="bottom"/>
            <w:tcBorders>
              <w:bottom w:val="single" w:sz="8" w:color="auto"/>
            </w:tcBorders>
          </w:tcPr>
          <w:p>
            <w:pPr>
              <w:jc w:val="right"/>
              <w:ind w:right="1588"/>
              <w:spacing w:after="0"/>
              <w:rPr>
                <w:sz w:val="20"/>
                <w:szCs w:val="20"/>
                <w:color w:val="auto"/>
              </w:rPr>
            </w:pPr>
            <w:r>
              <w:rPr>
                <w:rFonts w:ascii="Arial" w:cs="Arial" w:eastAsia="Arial" w:hAnsi="Arial"/>
                <w:sz w:val="14"/>
                <w:szCs w:val="14"/>
                <w:color w:val="auto"/>
              </w:rPr>
              <w:t>Number of Shares Outstanding</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880" w:type="dxa"/>
            <w:vAlign w:val="bottom"/>
            <w:gridSpan w:val="2"/>
          </w:tcPr>
          <w:p>
            <w:pPr>
              <w:jc w:val="center"/>
              <w:ind w:right="420"/>
              <w:spacing w:after="0"/>
              <w:rPr>
                <w:sz w:val="20"/>
                <w:szCs w:val="20"/>
                <w:color w:val="auto"/>
              </w:rPr>
            </w:pPr>
            <w:r>
              <w:rPr>
                <w:rFonts w:ascii="Arial" w:cs="Arial" w:eastAsia="Arial" w:hAnsi="Arial"/>
                <w:sz w:val="14"/>
                <w:szCs w:val="14"/>
                <w:color w:val="auto"/>
              </w:rPr>
              <w:t>Common</w:t>
            </w:r>
          </w:p>
        </w:tc>
        <w:tc>
          <w:tcPr>
            <w:tcW w:w="5320" w:type="dxa"/>
            <w:vAlign w:val="bottom"/>
          </w:tcPr>
          <w:p>
            <w:pPr>
              <w:jc w:val="right"/>
              <w:ind w:right="8"/>
              <w:spacing w:after="0"/>
              <w:rPr>
                <w:sz w:val="20"/>
                <w:szCs w:val="20"/>
                <w:color w:val="auto"/>
              </w:rPr>
            </w:pPr>
            <w:r>
              <w:rPr>
                <w:rFonts w:ascii="Arial" w:cs="Arial" w:eastAsia="Arial" w:hAnsi="Arial"/>
                <w:sz w:val="14"/>
                <w:szCs w:val="14"/>
                <w:color w:val="auto"/>
              </w:rPr>
              <w:t>947,735,651</w:t>
            </w:r>
          </w:p>
        </w:tc>
        <w:tc>
          <w:tcPr>
            <w:tcW w:w="20" w:type="dxa"/>
            <w:vAlign w:val="bottom"/>
          </w:tcPr>
          <w:p>
            <w:pPr>
              <w:spacing w:after="0"/>
              <w:rPr>
                <w:sz w:val="16"/>
                <w:szCs w:val="16"/>
                <w:color w:val="auto"/>
              </w:rPr>
            </w:pPr>
          </w:p>
        </w:tc>
      </w:tr>
      <w:tr>
        <w:trPr>
          <w:trHeight w:val="116"/>
        </w:trPr>
        <w:tc>
          <w:tcPr>
            <w:tcW w:w="20" w:type="dxa"/>
            <w:vAlign w:val="bottom"/>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8"/>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4"/>
          </w:tcPr>
          <w:p>
            <w:pPr>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Arial" w:cs="Arial" w:eastAsia="Arial" w:hAnsi="Arial"/>
                <w:sz w:val="18"/>
                <w:szCs w:val="18"/>
                <w:color w:val="0000FF"/>
                <w:w w:val="98"/>
              </w:rPr>
              <w:t>PART I. Financial Information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0000FF"/>
                <w:w w:val="99"/>
              </w:rPr>
              <w:t>5</w:t>
            </w:r>
          </w:p>
        </w:tc>
        <w:tc>
          <w:tcPr>
            <w:tcW w:w="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78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gridSpan w:val="21"/>
          </w:tcPr>
          <w:p>
            <w:pPr>
              <w:spacing w:after="0"/>
              <w:rPr>
                <w:sz w:val="20"/>
                <w:szCs w:val="20"/>
                <w:color w:val="auto"/>
              </w:rPr>
            </w:pPr>
            <w:r>
              <w:rPr>
                <w:rFonts w:ascii="Arial" w:cs="Arial" w:eastAsia="Arial" w:hAnsi="Arial"/>
                <w:sz w:val="18"/>
                <w:szCs w:val="18"/>
                <w:color w:val="0000FF"/>
              </w:rPr>
              <w:t>Financial Statements</w:t>
            </w:r>
          </w:p>
        </w:tc>
        <w:tc>
          <w:tcPr>
            <w:tcW w:w="16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0000FF"/>
                <w:w w:val="99"/>
              </w:rPr>
              <w:t>Consolidated Condensed Statements of Operations</w:t>
            </w:r>
          </w:p>
        </w:tc>
        <w:tc>
          <w:tcPr>
            <w:tcW w:w="3200" w:type="dxa"/>
            <w:vAlign w:val="bottom"/>
            <w:gridSpan w:val="8"/>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40" w:type="dxa"/>
            <w:vAlign w:val="bottom"/>
            <w:gridSpan w:val="18"/>
          </w:tcPr>
          <w:p>
            <w:pPr>
              <w:spacing w:after="0"/>
              <w:rPr>
                <w:sz w:val="20"/>
                <w:szCs w:val="20"/>
                <w:color w:val="auto"/>
              </w:rPr>
            </w:pPr>
            <w:r>
              <w:rPr>
                <w:rFonts w:ascii="Arial" w:cs="Arial" w:eastAsia="Arial" w:hAnsi="Arial"/>
                <w:sz w:val="18"/>
                <w:szCs w:val="18"/>
                <w:color w:val="0000FF"/>
                <w:w w:val="99"/>
              </w:rPr>
              <w:t>Consolidated Condensed Statements of Comprehensive Income</w:t>
            </w:r>
          </w:p>
        </w:tc>
        <w:tc>
          <w:tcPr>
            <w:tcW w:w="2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color w:val="0000FF"/>
                <w:w w:val="99"/>
              </w:rPr>
              <w:t>Consolidated Condensed Balance Sheets</w:t>
            </w:r>
          </w:p>
        </w:tc>
        <w:tc>
          <w:tcPr>
            <w:tcW w:w="1800" w:type="dxa"/>
            <w:vAlign w:val="bottom"/>
            <w:gridSpan w:val="7"/>
          </w:tcPr>
          <w:p>
            <w:pPr>
              <w:spacing w:after="0"/>
              <w:rPr>
                <w:sz w:val="18"/>
                <w:szCs w:val="18"/>
                <w:color w:val="auto"/>
              </w:rPr>
            </w:pPr>
          </w:p>
        </w:tc>
        <w:tc>
          <w:tcPr>
            <w:tcW w:w="2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00" w:type="dxa"/>
            <w:vAlign w:val="bottom"/>
            <w:gridSpan w:val="17"/>
          </w:tcPr>
          <w:p>
            <w:pPr>
              <w:spacing w:after="0"/>
              <w:rPr>
                <w:sz w:val="20"/>
                <w:szCs w:val="20"/>
                <w:color w:val="auto"/>
              </w:rPr>
            </w:pPr>
            <w:r>
              <w:rPr>
                <w:rFonts w:ascii="Arial" w:cs="Arial" w:eastAsia="Arial" w:hAnsi="Arial"/>
                <w:sz w:val="18"/>
                <w:szCs w:val="18"/>
                <w:color w:val="0000FF"/>
                <w:w w:val="99"/>
              </w:rPr>
              <w:t>Consolidated Condensed Statements of Shareholders' Equity</w:t>
            </w:r>
          </w:p>
        </w:tc>
        <w:tc>
          <w:tcPr>
            <w:tcW w:w="24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0000FF"/>
                <w:w w:val="99"/>
              </w:rPr>
              <w:t>Consolidated Condensed Statements of Cash Flows</w:t>
            </w:r>
          </w:p>
        </w:tc>
        <w:tc>
          <w:tcPr>
            <w:tcW w:w="720" w:type="dxa"/>
            <w:vAlign w:val="bottom"/>
            <w:gridSpan w:val="4"/>
          </w:tcPr>
          <w:p>
            <w:pPr>
              <w:spacing w:after="0"/>
              <w:rPr>
                <w:sz w:val="18"/>
                <w:szCs w:val="18"/>
                <w:color w:val="auto"/>
              </w:rPr>
            </w:pPr>
          </w:p>
        </w:tc>
        <w:tc>
          <w:tcPr>
            <w:tcW w:w="24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0000FF"/>
                <w:w w:val="99"/>
              </w:rPr>
              <w:t>Notes to Consolidated Condensed Financial Statements</w:t>
            </w:r>
          </w:p>
        </w:tc>
        <w:tc>
          <w:tcPr>
            <w:tcW w:w="3040" w:type="dxa"/>
            <w:vAlign w:val="bottom"/>
            <w:gridSpan w:val="6"/>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10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2560" w:type="dxa"/>
            <w:vAlign w:val="bottom"/>
            <w:gridSpan w:val="5"/>
          </w:tcPr>
          <w:p>
            <w:pPr>
              <w:spacing w:after="0"/>
              <w:rPr>
                <w:sz w:val="18"/>
                <w:szCs w:val="18"/>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w w:val="99"/>
              </w:rPr>
              <w:t>Management's Discussion and Analysis of Results of Operations and Financial Condition</w:t>
            </w:r>
          </w:p>
        </w:tc>
        <w:tc>
          <w:tcPr>
            <w:tcW w:w="440" w:type="dxa"/>
            <w:vAlign w:val="bottom"/>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80" w:type="dxa"/>
            <w:vAlign w:val="bottom"/>
            <w:gridSpan w:val="19"/>
          </w:tcPr>
          <w:p>
            <w:pPr>
              <w:spacing w:after="0"/>
              <w:rPr>
                <w:sz w:val="20"/>
                <w:szCs w:val="20"/>
                <w:color w:val="auto"/>
              </w:rPr>
            </w:pPr>
            <w:r>
              <w:rPr>
                <w:rFonts w:ascii="Arial" w:cs="Arial" w:eastAsia="Arial" w:hAnsi="Arial"/>
                <w:sz w:val="18"/>
                <w:szCs w:val="18"/>
                <w:color w:val="0000FF"/>
              </w:rPr>
              <w:t>Executive Overview</w:t>
            </w:r>
          </w:p>
        </w:tc>
        <w:tc>
          <w:tcPr>
            <w:tcW w:w="440" w:type="dxa"/>
            <w:vAlign w:val="bottom"/>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7"/>
          </w:tcPr>
          <w:p>
            <w:pPr>
              <w:spacing w:after="0"/>
              <w:rPr>
                <w:sz w:val="20"/>
                <w:szCs w:val="20"/>
                <w:color w:val="auto"/>
              </w:rPr>
            </w:pPr>
            <w:r>
              <w:rPr>
                <w:rFonts w:ascii="Arial" w:cs="Arial" w:eastAsia="Arial" w:hAnsi="Arial"/>
                <w:sz w:val="18"/>
                <w:szCs w:val="18"/>
                <w:color w:val="0000FF"/>
                <w:w w:val="98"/>
              </w:rPr>
              <w:t>Results of Operations</w:t>
            </w:r>
          </w:p>
        </w:tc>
        <w:tc>
          <w:tcPr>
            <w:tcW w:w="5580" w:type="dxa"/>
            <w:vAlign w:val="bottom"/>
            <w:gridSpan w:val="13"/>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9"/>
          </w:tcPr>
          <w:p>
            <w:pPr>
              <w:spacing w:after="0"/>
              <w:rPr>
                <w:sz w:val="20"/>
                <w:szCs w:val="20"/>
                <w:color w:val="auto"/>
              </w:rPr>
            </w:pPr>
            <w:r>
              <w:rPr>
                <w:rFonts w:ascii="Arial" w:cs="Arial" w:eastAsia="Arial" w:hAnsi="Arial"/>
                <w:sz w:val="18"/>
                <w:szCs w:val="18"/>
                <w:color w:val="0000FF"/>
                <w:w w:val="99"/>
              </w:rPr>
              <w:t>Financial Condition and Liquidity</w:t>
            </w:r>
          </w:p>
        </w:tc>
        <w:tc>
          <w:tcPr>
            <w:tcW w:w="4720" w:type="dxa"/>
            <w:vAlign w:val="bottom"/>
            <w:gridSpan w:val="11"/>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36</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8"/>
          </w:tcPr>
          <w:p>
            <w:pPr>
              <w:spacing w:after="0"/>
              <w:rPr>
                <w:sz w:val="20"/>
                <w:szCs w:val="20"/>
                <w:color w:val="auto"/>
              </w:rPr>
            </w:pPr>
            <w:r>
              <w:rPr>
                <w:rFonts w:ascii="Arial" w:cs="Arial" w:eastAsia="Arial" w:hAnsi="Arial"/>
                <w:sz w:val="18"/>
                <w:szCs w:val="18"/>
                <w:color w:val="0000FF"/>
                <w:w w:val="99"/>
              </w:rPr>
              <w:t>Critical Accounting Estimates</w:t>
            </w:r>
          </w:p>
        </w:tc>
        <w:tc>
          <w:tcPr>
            <w:tcW w:w="260" w:type="dxa"/>
            <w:vAlign w:val="bottom"/>
          </w:tcPr>
          <w:p>
            <w:pPr>
              <w:spacing w:after="0"/>
              <w:rPr>
                <w:sz w:val="18"/>
                <w:szCs w:val="18"/>
                <w:color w:val="auto"/>
              </w:rPr>
            </w:pPr>
          </w:p>
        </w:tc>
        <w:tc>
          <w:tcPr>
            <w:tcW w:w="4720" w:type="dxa"/>
            <w:vAlign w:val="bottom"/>
            <w:gridSpan w:val="11"/>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37</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20" w:type="dxa"/>
            <w:vAlign w:val="bottom"/>
            <w:gridSpan w:val="20"/>
          </w:tcPr>
          <w:p>
            <w:pPr>
              <w:spacing w:after="0"/>
              <w:rPr>
                <w:sz w:val="20"/>
                <w:szCs w:val="20"/>
                <w:color w:val="auto"/>
              </w:rPr>
            </w:pPr>
            <w:r>
              <w:rPr>
                <w:rFonts w:ascii="Arial" w:cs="Arial" w:eastAsia="Arial" w:hAnsi="Arial"/>
                <w:sz w:val="18"/>
                <w:szCs w:val="18"/>
                <w:color w:val="0000FF"/>
              </w:rPr>
              <w:t>Available Information on our Website</w:t>
            </w: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37</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3"/>
            <w:shd w:val="clear" w:color="auto" w:fill="0000FF"/>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2560" w:type="dxa"/>
            <w:vAlign w:val="bottom"/>
            <w:gridSpan w:val="5"/>
          </w:tcPr>
          <w:p>
            <w:pPr>
              <w:spacing w:after="0"/>
              <w:rPr>
                <w:sz w:val="18"/>
                <w:szCs w:val="18"/>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800" w:type="dxa"/>
            <w:vAlign w:val="bottom"/>
            <w:gridSpan w:val="5"/>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38</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78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2560" w:type="dxa"/>
            <w:vAlign w:val="bottom"/>
            <w:gridSpan w:val="5"/>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8"/>
          </w:tcPr>
          <w:p>
            <w:pPr>
              <w:spacing w:after="0"/>
              <w:rPr>
                <w:sz w:val="18"/>
                <w:szCs w:val="18"/>
                <w:color w:val="auto"/>
              </w:rPr>
            </w:pPr>
          </w:p>
        </w:tc>
        <w:tc>
          <w:tcPr>
            <w:tcW w:w="2800" w:type="dxa"/>
            <w:vAlign w:val="bottom"/>
            <w:gridSpan w:val="5"/>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38</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20" w:type="dxa"/>
            <w:vAlign w:val="bottom"/>
            <w:gridSpan w:val="4"/>
          </w:tcPr>
          <w:p>
            <w:pPr>
              <w:spacing w:after="0"/>
              <w:rPr>
                <w:sz w:val="20"/>
                <w:szCs w:val="20"/>
                <w:color w:val="auto"/>
              </w:rPr>
            </w:pPr>
            <w:r>
              <w:rPr>
                <w:rFonts w:ascii="Arial" w:cs="Arial" w:eastAsia="Arial" w:hAnsi="Arial"/>
                <w:sz w:val="18"/>
                <w:szCs w:val="18"/>
                <w:color w:val="0000FF"/>
                <w:w w:val="98"/>
              </w:rPr>
              <w:t>PART II. Other Information</w:t>
            </w:r>
          </w:p>
        </w:tc>
        <w:tc>
          <w:tcPr>
            <w:tcW w:w="10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39</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560" w:type="dxa"/>
            <w:vAlign w:val="bottom"/>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1500" w:type="dxa"/>
            <w:vAlign w:val="bottom"/>
            <w:gridSpan w:val="5"/>
          </w:tcPr>
          <w:p>
            <w:pPr>
              <w:spacing w:after="0"/>
              <w:rPr>
                <w:sz w:val="20"/>
                <w:szCs w:val="20"/>
                <w:color w:val="auto"/>
              </w:rPr>
            </w:pPr>
            <w:r>
              <w:rPr>
                <w:rFonts w:ascii="Arial" w:cs="Arial" w:eastAsia="Arial" w:hAnsi="Arial"/>
                <w:sz w:val="18"/>
                <w:szCs w:val="18"/>
                <w:color w:val="0000FF"/>
                <w:w w:val="99"/>
              </w:rPr>
              <w:t>Legal Proceedings</w:t>
            </w:r>
          </w:p>
        </w:tc>
        <w:tc>
          <w:tcPr>
            <w:tcW w:w="6020" w:type="dxa"/>
            <w:vAlign w:val="bottom"/>
            <w:gridSpan w:val="16"/>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39</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2440" w:type="dxa"/>
            <w:vAlign w:val="bottom"/>
            <w:gridSpan w:val="4"/>
          </w:tcPr>
          <w:p>
            <w:pPr>
              <w:spacing w:after="0"/>
              <w:rPr>
                <w:sz w:val="18"/>
                <w:szCs w:val="18"/>
                <w:color w:val="auto"/>
              </w:rPr>
            </w:pPr>
          </w:p>
        </w:tc>
        <w:tc>
          <w:tcPr>
            <w:tcW w:w="752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39</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120" w:type="dxa"/>
            <w:vAlign w:val="bottom"/>
          </w:tcPr>
          <w:p>
            <w:pPr>
              <w:spacing w:after="0"/>
              <w:rPr>
                <w:sz w:val="18"/>
                <w:szCs w:val="18"/>
                <w:color w:val="auto"/>
              </w:rPr>
            </w:pPr>
          </w:p>
        </w:tc>
        <w:tc>
          <w:tcPr>
            <w:tcW w:w="2440" w:type="dxa"/>
            <w:vAlign w:val="bottom"/>
            <w:gridSpan w:val="4"/>
          </w:tcPr>
          <w:p>
            <w:pPr>
              <w:spacing w:after="0"/>
              <w:rPr>
                <w:sz w:val="18"/>
                <w:szCs w:val="18"/>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660" w:type="dxa"/>
            <w:vAlign w:val="bottom"/>
            <w:gridSpan w:val="4"/>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39</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460" w:type="dxa"/>
            <w:vAlign w:val="bottom"/>
            <w:gridSpan w:val="13"/>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5.</w:t>
            </w:r>
          </w:p>
        </w:tc>
        <w:tc>
          <w:tcPr>
            <w:tcW w:w="2560" w:type="dxa"/>
            <w:vAlign w:val="bottom"/>
            <w:gridSpan w:val="5"/>
          </w:tcPr>
          <w:p>
            <w:pPr>
              <w:spacing w:after="0"/>
              <w:rPr>
                <w:sz w:val="18"/>
                <w:szCs w:val="18"/>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2660" w:type="dxa"/>
            <w:vAlign w:val="bottom"/>
            <w:gridSpan w:val="4"/>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39</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120" w:type="dxa"/>
            <w:vAlign w:val="bottom"/>
            <w:gridSpan w:val="17"/>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2560" w:type="dxa"/>
            <w:vAlign w:val="bottom"/>
            <w:gridSpan w:val="5"/>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2"/>
          </w:tcPr>
          <w:p>
            <w:pPr>
              <w:spacing w:after="0"/>
              <w:rPr>
                <w:sz w:val="18"/>
                <w:szCs w:val="18"/>
                <w:color w:val="auto"/>
              </w:rPr>
            </w:pPr>
          </w:p>
        </w:tc>
        <w:tc>
          <w:tcPr>
            <w:tcW w:w="6120" w:type="dxa"/>
            <w:vAlign w:val="bottom"/>
            <w:gridSpan w:val="17"/>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0000FF"/>
                <w:w w:val="99"/>
              </w:rPr>
              <w:t>40</w:t>
            </w:r>
          </w:p>
        </w:tc>
        <w:tc>
          <w:tcPr>
            <w:tcW w:w="140" w:type="dxa"/>
            <w:vAlign w:val="bottom"/>
          </w:tcPr>
          <w:p>
            <w:pPr>
              <w:spacing w:after="0"/>
              <w:rPr>
                <w:sz w:val="24"/>
                <w:szCs w:val="24"/>
                <w:color w:val="auto"/>
              </w:rPr>
            </w:pPr>
          </w:p>
        </w:tc>
      </w:tr>
      <w:tr>
        <w:trPr>
          <w:trHeight w:val="88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gridSpan w:val="9"/>
          </w:tcPr>
          <w:p>
            <w:pPr>
              <w:ind w:left="2440"/>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1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 xml:space="preserve">This Quarterly Report on Form 10-Q </w:t>
      </w:r>
      <w:r>
        <w:rPr>
          <w:rFonts w:ascii="Arial" w:cs="Arial" w:eastAsia="Arial" w:hAnsi="Arial"/>
          <w:sz w:val="17"/>
          <w:szCs w:val="17"/>
          <w:color w:val="auto"/>
        </w:rPr>
        <w:t>and our other publicly available documents include forward-looking statements within the meaning of</w:t>
      </w:r>
      <w:r>
        <w:rPr>
          <w:rFonts w:ascii="Arial" w:cs="Arial" w:eastAsia="Arial" w:hAnsi="Arial"/>
          <w:sz w:val="18"/>
          <w:szCs w:val="18"/>
          <w:color w:val="auto"/>
        </w:rPr>
        <w:t xml:space="preserve"> </w:t>
      </w:r>
      <w:r>
        <w:rPr>
          <w:rFonts w:ascii="Arial" w:cs="Arial" w:eastAsia="Arial" w:hAnsi="Arial"/>
          <w:sz w:val="17"/>
          <w:szCs w:val="17"/>
          <w:color w:val="auto"/>
        </w:rPr>
        <w:t>Section 27A of the Securities Act of 1933 and Section 21E of the Securities Exchange Act of 1934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w:t>
      </w:r>
    </w:p>
    <w:p>
      <w:pPr>
        <w:spacing w:after="0" w:line="2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from those anticipated:</w:t>
      </w:r>
    </w:p>
    <w:p>
      <w:pPr>
        <w:spacing w:after="0" w:line="17" w:lineRule="exact"/>
        <w:rPr>
          <w:sz w:val="20"/>
          <w:szCs w:val="20"/>
          <w:color w:val="auto"/>
        </w:rPr>
      </w:pPr>
    </w:p>
    <w:p>
      <w:pPr>
        <w:ind w:left="340" w:right="1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uncertain outcome of acquisitions and business development transactions and related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intense competition affecting our products, pipeline, or industry;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launched products and indications;</w:t>
      </w:r>
    </w:p>
    <w:p>
      <w:pPr>
        <w:spacing w:after="0" w:line="63" w:lineRule="exact"/>
        <w:rPr>
          <w:rFonts w:ascii="Arial" w:cs="Arial" w:eastAsia="Arial" w:hAnsi="Arial"/>
          <w:sz w:val="18"/>
          <w:szCs w:val="18"/>
          <w:color w:val="auto"/>
        </w:rPr>
      </w:pPr>
    </w:p>
    <w:p>
      <w:pPr>
        <w:ind w:left="340" w:right="34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payers affecting pricing of, reimbursement for, and patient access to pharmaceuticals, or reporting obligations related thereto;</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safety or efficacy concerns associated with our or competitive products;</w:t>
      </w:r>
    </w:p>
    <w:p>
      <w:pPr>
        <w:spacing w:after="0" w:line="63" w:lineRule="exact"/>
        <w:rPr>
          <w:rFonts w:ascii="Arial" w:cs="Arial" w:eastAsia="Arial" w:hAnsi="Arial"/>
          <w:sz w:val="18"/>
          <w:szCs w:val="18"/>
          <w:color w:val="auto"/>
        </w:rPr>
      </w:pPr>
    </w:p>
    <w:p>
      <w:pPr>
        <w:ind w:left="340" w:right="4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dependence on relatively few products or product classes for a significant percentage of our total revenue and a consolidated supply chain;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 biosimilar products;</w:t>
      </w:r>
    </w:p>
    <w:p>
      <w:pPr>
        <w:spacing w:after="0" w:line="63" w:lineRule="exact"/>
        <w:rPr>
          <w:rFonts w:ascii="Arial" w:cs="Arial" w:eastAsia="Arial" w:hAnsi="Arial"/>
          <w:sz w:val="18"/>
          <w:szCs w:val="18"/>
          <w:color w:val="auto"/>
        </w:rPr>
      </w:pPr>
    </w:p>
    <w:p>
      <w:pPr>
        <w:ind w:left="340" w:right="6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 and changes in patent law or regulations related to data package exclusivity;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inadequate controls or procedures, security breaches, or operating failures;</w:t>
      </w:r>
    </w:p>
    <w:p>
      <w:pPr>
        <w:spacing w:after="0" w:line="63"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spacing w:after="0" w:line="8" w:lineRule="exact"/>
        <w:rPr>
          <w:rFonts w:ascii="Arial" w:cs="Arial" w:eastAsia="Arial" w:hAnsi="Arial"/>
          <w:sz w:val="18"/>
          <w:szCs w:val="18"/>
          <w:color w:val="auto"/>
        </w:rPr>
      </w:pPr>
    </w:p>
    <w:p>
      <w:pPr>
        <w:ind w:left="340" w:right="16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and regulatory approvals stemming from manufacturing difficulties, disruptions, or shortages, including as a result of unpredictability and variability in demand, labor shortages, third-party performance, quality, cyber-attacks, or regulatory actions related to our and third-party facilities;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340" w:right="34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artificial intelligence or other emerging technologies in various facets of our operations, which may exacerbate competitive, regulatory, litigation, cybersecurity, and other risks;</w:t>
      </w:r>
    </w:p>
    <w:p>
      <w:pPr>
        <w:spacing w:after="0" w:line="1" w:lineRule="exact"/>
        <w:rPr>
          <w:rFonts w:ascii="Arial" w:cs="Arial" w:eastAsia="Arial" w:hAnsi="Arial"/>
          <w:sz w:val="18"/>
          <w:szCs w:val="18"/>
          <w:color w:val="auto"/>
        </w:rPr>
      </w:pPr>
    </w:p>
    <w:p>
      <w:pPr>
        <w:ind w:left="340" w:right="16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 including uneven economic growth or downturns or uncertainty, trade and other global disputes and interruptions, including related to tariffs, trade protection measures, and similar restrictions, international tension, conflicts, regional dependencies, or other costs, uncertainties, and risks related to engaging in business globally;</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foreign currency exchange rates, changes in interest rates, and inflation or deflation;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and sudden declines or volatility in the trading price of our common stock and market capitalization;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activities;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and regulation, tax rates, or events that differ from our assumptions related to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and developments;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oversight and actions regarding our operations and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from the proliferation of counterfeit, misbranded, adulterated, or illegally compounded products;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 w:name="page4"/>
    <w:bookmarkEnd w:id="3"/>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perceived deviation from environmental-, social-, or governance-related requirements or expectations;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 impairments and restructuring charges;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and reporting standards.</w:t>
      </w:r>
    </w:p>
    <w:p>
      <w:pPr>
        <w:spacing w:after="0" w:line="121" w:lineRule="exact"/>
        <w:rPr>
          <w:sz w:val="20"/>
          <w:szCs w:val="20"/>
          <w:color w:val="auto"/>
        </w:rPr>
      </w:pPr>
    </w:p>
    <w:p>
      <w:pPr>
        <w:spacing w:after="0" w:line="258" w:lineRule="auto"/>
        <w:rPr>
          <w:rFonts w:ascii="Arial" w:cs="Arial" w:eastAsia="Arial" w:hAnsi="Arial"/>
          <w:sz w:val="17"/>
          <w:szCs w:val="17"/>
          <w:color w:val="0000FF"/>
        </w:rPr>
      </w:pPr>
      <w:r>
        <w:rPr>
          <w:rFonts w:ascii="Arial" w:cs="Arial" w:eastAsia="Arial" w:hAnsi="Arial"/>
          <w:sz w:val="18"/>
          <w:szCs w:val="18"/>
          <w:color w:val="auto"/>
        </w:rPr>
        <w:t xml:space="preserve">More information on factors that could cause our actual results to differ from those expressed in forward-looking statements is included from time to time in our reports filed with the Securities and Exchange Commission, including in our Annual Report on </w:t>
      </w:r>
      <w:hyperlink r:id="rId15">
        <w:r>
          <w:rPr>
            <w:rFonts w:ascii="Arial" w:cs="Arial" w:eastAsia="Arial" w:hAnsi="Arial"/>
            <w:sz w:val="17"/>
            <w:szCs w:val="17"/>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2024, particularly under Part I, Item 1A, "Risk Factors." Investors should understand that it is not possible to predict or identify </w:t>
      </w:r>
      <w:hyperlink r:id="rId15">
        <w:r>
          <w:rPr>
            <w:rFonts w:ascii="Arial" w:cs="Arial" w:eastAsia="Arial" w:hAnsi="Arial"/>
            <w:sz w:val="18"/>
            <w:szCs w:val="18"/>
            <w:color w:val="auto"/>
          </w:rPr>
          <w:t xml:space="preserve">all such factors and should not consider the risks described above and under Part I, Item 1A, "Risk Factors" of our Annual Report on </w:t>
        </w:r>
        <w:r>
          <w:rPr>
            <w:rFonts w:ascii="Arial" w:cs="Arial" w:eastAsia="Arial" w:hAnsi="Arial"/>
            <w:sz w:val="17"/>
            <w:szCs w:val="17"/>
            <w:u w:val="single" w:color="auto"/>
            <w:color w:val="0000FF"/>
          </w:rPr>
          <w:t>Form 10-</w:t>
        </w:r>
      </w:hyperlink>
      <w:hyperlink r:id="rId15">
        <w:r>
          <w:rPr>
            <w:rFonts w:ascii="Arial" w:cs="Arial" w:eastAsia="Arial" w:hAnsi="Arial"/>
            <w:sz w:val="17"/>
            <w:szCs w:val="17"/>
            <w:u w:val="single" w:color="auto"/>
            <w:color w:val="0000FF"/>
          </w:rPr>
          <w:t>K</w:t>
        </w:r>
        <w:r>
          <w:rPr>
            <w:rFonts w:ascii="Arial" w:cs="Arial" w:eastAsia="Arial" w:hAnsi="Arial"/>
            <w:sz w:val="17"/>
            <w:szCs w:val="17"/>
            <w:color w:val="0000FF"/>
          </w:rPr>
          <w:t xml:space="preserve"> </w:t>
        </w:r>
        <w:r>
          <w:rPr>
            <w:rFonts w:ascii="Arial" w:cs="Arial" w:eastAsia="Arial" w:hAnsi="Arial"/>
            <w:sz w:val="17"/>
            <w:szCs w:val="17"/>
            <w:color w:val="000000"/>
          </w:rPr>
          <w:t>to be a complete statement of all potential risks and uncertainties.</w:t>
        </w:r>
      </w:hyperlink>
    </w:p>
    <w:p>
      <w:pPr>
        <w:spacing w:after="0" w:line="75" w:lineRule="exact"/>
        <w:rPr>
          <w:rFonts w:ascii="Arial" w:cs="Arial" w:eastAsia="Arial" w:hAnsi="Arial"/>
          <w:sz w:val="18"/>
          <w:szCs w:val="18"/>
          <w:color w:val="auto"/>
        </w:rPr>
      </w:pPr>
    </w:p>
    <w:p>
      <w:pPr>
        <w:ind w:right="140"/>
        <w:spacing w:after="0" w:line="255" w:lineRule="auto"/>
        <w:rPr>
          <w:sz w:val="20"/>
          <w:szCs w:val="20"/>
          <w:color w:val="auto"/>
        </w:rPr>
      </w:pPr>
      <w:r>
        <w:rPr>
          <w:rFonts w:ascii="Arial" w:cs="Arial" w:eastAsia="Arial" w:hAnsi="Arial"/>
          <w:sz w:val="18"/>
          <w:szCs w:val="18"/>
          <w:color w:val="auto"/>
        </w:rPr>
        <w:t>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17" w:lineRule="exact"/>
        <w:rPr>
          <w:rFonts w:ascii="Arial" w:cs="Arial" w:eastAsia="Arial" w:hAnsi="Arial"/>
          <w:sz w:val="18"/>
          <w:szCs w:val="18"/>
          <w:color w:val="auto"/>
        </w:rPr>
      </w:pPr>
    </w:p>
    <w:p>
      <w:pPr>
        <w:ind w:right="80"/>
        <w:spacing w:after="0" w:line="256" w:lineRule="auto"/>
        <w:rPr>
          <w:sz w:val="20"/>
          <w:szCs w:val="20"/>
          <w:color w:val="auto"/>
        </w:rPr>
      </w:pPr>
      <w:r>
        <w:rPr>
          <w:rFonts w:ascii="Arial" w:cs="Arial" w:eastAsia="Arial" w:hAnsi="Arial"/>
          <w:sz w:val="18"/>
          <w:szCs w:val="18"/>
          <w:color w:val="auto"/>
        </w:rPr>
        <w:t>All trademarks or trade names referred to in this Quarterly Report on Form 10-Q are the property of the company, or, to the extent trademarks or trade names belonging to other companies are referenced in this Quarterly Report on Form 10-Q, the property of their respective owners. Solely for convenience, the trademarks and trade names in this Quarterly Report on Form 10-Q are referred to without the ® and ™ symbols, but such references should not be construed as any indicator that the company or, to the extent applicable, their respective owners will not assert, to the fullest extent under applicable law, the company’s or their rights thereto. We do not intend the use or display of other companies’ trademarks and trade names to imply a relationship with, or endorsement or sponsorship of us by, any other companies.</w:t>
      </w:r>
    </w:p>
    <w:p>
      <w:pPr>
        <w:spacing w:after="0" w:line="200" w:lineRule="exact"/>
        <w:rPr>
          <w:rFonts w:ascii="Arial" w:cs="Arial" w:eastAsia="Arial" w:hAnsi="Arial"/>
          <w:sz w:val="18"/>
          <w:szCs w:val="18"/>
          <w:color w:val="auto"/>
        </w:rPr>
      </w:pPr>
    </w:p>
    <w:p>
      <w:pPr>
        <w:spacing w:after="0" w:line="32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4" w:name="page5"/>
    <w:bookmarkEnd w:id="4"/>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3"/>
          </w:tcPr>
          <w:p>
            <w:pPr>
              <w:jc w:val="right"/>
              <w:ind w:right="95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0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2024</w:t>
            </w: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 2)</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12,728.5</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2,224.2</w:t>
            </w:r>
          </w:p>
        </w:tc>
        <w:tc>
          <w:tcPr>
            <w:tcW w:w="5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1,673.5</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9"/>
                <w:szCs w:val="19"/>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b w:val="1"/>
                <w:bCs w:val="1"/>
                <w:color w:val="auto"/>
              </w:rPr>
              <w:t>2,733.7</w:t>
            </w:r>
          </w:p>
        </w:tc>
        <w:tc>
          <w:tcPr>
            <w:tcW w:w="5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2,522.8</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selling, and administrative</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2,468.8</w:t>
            </w:r>
          </w:p>
        </w:tc>
        <w:tc>
          <w:tcPr>
            <w:tcW w:w="5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1,952.2</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 (Note 3)</w:t>
            </w:r>
          </w:p>
        </w:tc>
        <w:tc>
          <w:tcPr>
            <w:tcW w:w="500" w:type="dxa"/>
            <w:vAlign w:val="bottom"/>
          </w:tcPr>
          <w:p>
            <w:pPr>
              <w:spacing w:after="0"/>
              <w:rPr>
                <w:sz w:val="19"/>
                <w:szCs w:val="19"/>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b w:val="1"/>
                <w:bCs w:val="1"/>
                <w:color w:val="auto"/>
              </w:rPr>
              <w:t>1,571.7</w:t>
            </w:r>
          </w:p>
        </w:tc>
        <w:tc>
          <w:tcPr>
            <w:tcW w:w="5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restructuring, and other special charges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35.0</w:t>
            </w:r>
          </w:p>
        </w:tc>
        <w:tc>
          <w:tcPr>
            <w:tcW w:w="5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Other–net, (income) expense (Note 11)</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239.0</w:t>
            </w:r>
          </w:p>
        </w:tc>
        <w:tc>
          <w:tcPr>
            <w:tcW w:w="5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r>
      <w:tr>
        <w:trPr>
          <w:trHeight w:val="223"/>
        </w:trPr>
        <w:tc>
          <w:tcPr>
            <w:tcW w:w="70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9,272.4</w:t>
            </w:r>
          </w:p>
        </w:tc>
        <w:tc>
          <w:tcPr>
            <w:tcW w:w="5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6,231.9</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spacing w:after="0"/>
              <w:rPr>
                <w:sz w:val="19"/>
                <w:szCs w:val="19"/>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b w:val="1"/>
                <w:bCs w:val="1"/>
                <w:color w:val="auto"/>
              </w:rPr>
              <w:t>3,456.1</w:t>
            </w:r>
          </w:p>
        </w:tc>
        <w:tc>
          <w:tcPr>
            <w:tcW w:w="5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2,536.1</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(Note 7)</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696.8</w:t>
            </w:r>
          </w:p>
        </w:tc>
        <w:tc>
          <w:tcPr>
            <w:tcW w:w="5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r>
      <w:tr>
        <w:trPr>
          <w:trHeight w:val="217"/>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2,759.3</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2,242.9</w:t>
            </w:r>
          </w:p>
        </w:tc>
      </w:tr>
      <w:tr>
        <w:trPr>
          <w:trHeight w:val="256"/>
        </w:trPr>
        <w:tc>
          <w:tcPr>
            <w:tcW w:w="70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6"/>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3.07</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10"/>
        </w:trPr>
        <w:tc>
          <w:tcPr>
            <w:tcW w:w="7020" w:type="dxa"/>
            <w:vAlign w:val="bottom"/>
            <w:tcBorders>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Diluted</w:t>
            </w: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ind w:right="72"/>
              <w:spacing w:after="0" w:line="203" w:lineRule="exact"/>
              <w:rPr>
                <w:sz w:val="20"/>
                <w:szCs w:val="20"/>
                <w:color w:val="auto"/>
              </w:rPr>
            </w:pPr>
            <w:r>
              <w:rPr>
                <w:rFonts w:ascii="Arial" w:cs="Arial" w:eastAsia="Arial" w:hAnsi="Arial"/>
                <w:sz w:val="18"/>
                <w:szCs w:val="18"/>
                <w:b w:val="1"/>
                <w:bCs w:val="1"/>
                <w:color w:val="auto"/>
              </w:rPr>
              <w:t>3.06</w:t>
            </w:r>
          </w:p>
        </w:tc>
        <w:tc>
          <w:tcPr>
            <w:tcW w:w="5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w:t>
            </w:r>
          </w:p>
        </w:tc>
      </w:tr>
      <w:tr>
        <w:trPr>
          <w:trHeight w:val="256"/>
        </w:trPr>
        <w:tc>
          <w:tcPr>
            <w:tcW w:w="70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898.7</w:t>
            </w:r>
          </w:p>
        </w:tc>
        <w:tc>
          <w:tcPr>
            <w:tcW w:w="5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r>
      <w:tr>
        <w:trPr>
          <w:trHeight w:val="247"/>
        </w:trPr>
        <w:tc>
          <w:tcPr>
            <w:tcW w:w="7020" w:type="dxa"/>
            <w:vAlign w:val="bottom"/>
          </w:tcPr>
          <w:p>
            <w:pPr>
              <w:ind w:left="14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b w:val="1"/>
                <w:bCs w:val="1"/>
                <w:color w:val="auto"/>
              </w:rPr>
              <w:t>900.6</w:t>
            </w:r>
          </w:p>
        </w:tc>
        <w:tc>
          <w:tcPr>
            <w:tcW w:w="5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903.8</w:t>
            </w: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346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7"/>
                <w:szCs w:val="17"/>
                <w:color w:val="auto"/>
              </w:rPr>
            </w:pPr>
          </w:p>
        </w:tc>
      </w:tr>
      <w:tr>
        <w:trPr>
          <w:trHeight w:val="196"/>
        </w:trPr>
        <w:tc>
          <w:tcPr>
            <w:tcW w:w="70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7"/>
                <w:szCs w:val="17"/>
                <w:color w:val="auto"/>
              </w:rPr>
            </w:pP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2,759.3</w:t>
            </w:r>
          </w:p>
        </w:tc>
        <w:tc>
          <w:tcPr>
            <w:tcW w:w="13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 (Note 10)</w:t>
            </w:r>
          </w:p>
        </w:tc>
        <w:tc>
          <w:tcPr>
            <w:tcW w:w="1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547.3</w:t>
            </w:r>
          </w:p>
        </w:tc>
        <w:tc>
          <w:tcPr>
            <w:tcW w:w="1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28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3,306.6</w:t>
            </w:r>
          </w:p>
        </w:tc>
        <w:tc>
          <w:tcPr>
            <w:tcW w:w="138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2,270.4</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ELI LILLY AND COMPANY</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(Dollars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March 31, 2025</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December 31, 2024</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39"/>
              <w:spacing w:after="0"/>
              <w:rPr>
                <w:sz w:val="20"/>
                <w:szCs w:val="20"/>
                <w:color w:val="auto"/>
              </w:rPr>
            </w:pPr>
            <w:r>
              <w:rPr>
                <w:rFonts w:ascii="Arial" w:cs="Arial" w:eastAsia="Arial" w:hAnsi="Arial"/>
                <w:sz w:val="14"/>
                <w:szCs w:val="14"/>
                <w:b w:val="1"/>
                <w:bCs w:val="1"/>
                <w:color w:val="auto"/>
              </w:rPr>
              <w:t>(Unaudited)</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i w:val="1"/>
                <w:iCs w:val="1"/>
                <w:color w:val="auto"/>
              </w:rPr>
              <w:t>Current Assets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 (Note 6)</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3,093.3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3,268.4</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Short-term investments (Note 6)</w:t>
            </w:r>
          </w:p>
        </w:tc>
        <w:tc>
          <w:tcPr>
            <w:tcW w:w="24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127.4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154.8</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Accounts receivable, net of allowances of </w:t>
            </w:r>
            <w:r>
              <w:rPr>
                <w:rFonts w:ascii="Arial" w:cs="Arial" w:eastAsia="Arial" w:hAnsi="Arial"/>
                <w:sz w:val="16"/>
                <w:szCs w:val="16"/>
                <w:b w:val="1"/>
                <w:bCs w:val="1"/>
                <w:color w:val="auto"/>
              </w:rPr>
              <w:t>$15.5 (2025)</w:t>
            </w:r>
            <w:r>
              <w:rPr>
                <w:rFonts w:ascii="Arial" w:cs="Arial" w:eastAsia="Arial" w:hAnsi="Arial"/>
                <w:sz w:val="16"/>
                <w:szCs w:val="16"/>
                <w:color w:val="auto"/>
              </w:rPr>
              <w:t xml:space="preserve"> and $14.9 (2024)</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12,036.6</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11,005.7</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Other receivables</w:t>
            </w:r>
          </w:p>
        </w:tc>
        <w:tc>
          <w:tcPr>
            <w:tcW w:w="24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1,966.6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2,269.7</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(Note 5)</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9,311.0</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7,589.2</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24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14,653.9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8,340.5</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72.4</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r>
      <w:tr>
        <w:trPr>
          <w:trHeight w:val="209"/>
        </w:trPr>
        <w:tc>
          <w:tcPr>
            <w:tcW w:w="75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41,261.2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32,739.7</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(Note 6)</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3,222.7</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3,215.9</w:t>
            </w:r>
          </w:p>
        </w:tc>
      </w:tr>
      <w:tr>
        <w:trPr>
          <w:trHeight w:val="216"/>
        </w:trPr>
        <w:tc>
          <w:tcPr>
            <w:tcW w:w="75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5,770.5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5,770.3</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intangibles, net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6,012.2</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6,166.3</w:t>
            </w:r>
          </w:p>
        </w:tc>
      </w:tr>
      <w:tr>
        <w:trPr>
          <w:trHeight w:val="216"/>
        </w:trPr>
        <w:tc>
          <w:tcPr>
            <w:tcW w:w="75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8,573.2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8,000.6</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Property and equipment, net of accumulated depreciation of </w:t>
            </w:r>
            <w:r>
              <w:rPr>
                <w:rFonts w:ascii="Arial" w:cs="Arial" w:eastAsia="Arial" w:hAnsi="Arial"/>
                <w:sz w:val="16"/>
                <w:szCs w:val="16"/>
                <w:b w:val="1"/>
                <w:bCs w:val="1"/>
                <w:color w:val="auto"/>
              </w:rPr>
              <w:t>$12,146.9 (2025)</w:t>
            </w:r>
            <w:r>
              <w:rPr>
                <w:rFonts w:ascii="Arial" w:cs="Arial" w:eastAsia="Arial" w:hAnsi="Arial"/>
                <w:sz w:val="16"/>
                <w:szCs w:val="16"/>
                <w:color w:val="auto"/>
              </w:rPr>
              <w:t xml:space="preserve"> and $11,789.0 (2024)</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18,474.1</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17,102.4</w:t>
            </w:r>
          </w:p>
        </w:tc>
      </w:tr>
      <w:tr>
        <w:trPr>
          <w:trHeight w:val="216"/>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6,074.9</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5,719.7</w:t>
            </w:r>
          </w:p>
        </w:tc>
      </w:tr>
      <w:tr>
        <w:trPr>
          <w:trHeight w:val="229"/>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89,388.8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78,714.9</w:t>
            </w:r>
          </w:p>
        </w:tc>
      </w:tr>
      <w:tr>
        <w:trPr>
          <w:trHeight w:val="190"/>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Short-term borrowings and current maturities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4,016.4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5,117.1</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3,442.0</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3,228.6</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Employee compensation</w:t>
            </w:r>
          </w:p>
        </w:tc>
        <w:tc>
          <w:tcPr>
            <w:tcW w:w="24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1,113.9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2,093.9</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rebates and discounts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11,550.3</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11,539.3</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Dividends payable</w:t>
            </w:r>
          </w:p>
        </w:tc>
        <w:tc>
          <w:tcPr>
            <w:tcW w:w="24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1,346.3</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income taxes payable</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6,175.7</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1,116.4</w:t>
            </w:r>
          </w:p>
        </w:tc>
      </w:tr>
      <w:tr>
        <w:trPr>
          <w:trHeight w:val="216"/>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3,769.8</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3,935.0</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30,068.1</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28,376.6</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i w:val="1"/>
                <w:iCs w:val="1"/>
                <w:color w:val="auto"/>
              </w:rPr>
              <w:t>Noncurrent Liabilities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34,499.5</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28,527.1</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Accrued retirement benefits (Note 8)</w:t>
            </w:r>
          </w:p>
        </w:tc>
        <w:tc>
          <w:tcPr>
            <w:tcW w:w="24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1,315.5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1,300.5</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income taxes payable</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5,370.5</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4,060.9</w:t>
            </w:r>
          </w:p>
        </w:tc>
      </w:tr>
      <w:tr>
        <w:trPr>
          <w:trHeight w:val="216"/>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2,288.4</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2,178.2</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noncurrent liabilities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43,473.9</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36,066.7</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i w:val="1"/>
                <w:iCs w:val="1"/>
                <w:color w:val="auto"/>
              </w:rPr>
              <w:t>Commitments and Contingencies (Note 9)</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Eli Lilly and Company Shareholders' Equity</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592.6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592.4</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6,910.0</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7,439.3</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15,099.5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13,545.0</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benefit trust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(3,013.2)</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(3,013.2)</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Accumulated other comprehensive loss (Note 10)</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(3,774.6)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(4,321.9)</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common stock in treasury</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(49.5)</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r>
      <w:tr>
        <w:trPr>
          <w:trHeight w:val="209"/>
        </w:trPr>
        <w:tc>
          <w:tcPr>
            <w:tcW w:w="7520" w:type="dxa"/>
            <w:vAlign w:val="bottom"/>
          </w:tcPr>
          <w:p>
            <w:pPr>
              <w:ind w:left="20"/>
              <w:spacing w:after="0"/>
              <w:rPr>
                <w:sz w:val="20"/>
                <w:szCs w:val="20"/>
                <w:color w:val="auto"/>
              </w:rPr>
            </w:pPr>
            <w:r>
              <w:rPr>
                <w:rFonts w:ascii="Arial" w:cs="Arial" w:eastAsia="Arial" w:hAnsi="Arial"/>
                <w:sz w:val="16"/>
                <w:szCs w:val="16"/>
                <w:color w:val="auto"/>
              </w:rPr>
              <w:t>Total Eli Lilly and Company shareholders' equity</w:t>
            </w:r>
          </w:p>
        </w:tc>
        <w:tc>
          <w:tcPr>
            <w:tcW w:w="24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15,764.8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14,192.1</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82.0</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1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15,846.8</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14,271.6</w:t>
            </w:r>
          </w:p>
        </w:tc>
      </w:tr>
      <w:tr>
        <w:trPr>
          <w:trHeight w:val="21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89,388.8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78,714.9</w:t>
            </w:r>
          </w:p>
        </w:tc>
      </w:tr>
    </w:tbl>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0" w:right="35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t>Consolidated Condensed Statements of Shareholders' Equity</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ELI LILLY AND COMPANY</w:t>
      </w:r>
    </w:p>
    <w:p>
      <w:pPr>
        <w:spacing w:after="0" w:line="37" w:lineRule="exact"/>
        <w:rPr>
          <w:sz w:val="20"/>
          <w:szCs w:val="20"/>
          <w:color w:val="auto"/>
        </w:rPr>
      </w:pPr>
    </w:p>
    <w:tbl>
      <w:tblPr>
        <w:tblLayout w:type="fixed"/>
        <w:tblInd w:w="12" w:type="dxa"/>
        <w:tblCellMar>
          <w:top w:w="0" w:type="dxa"/>
          <w:left w:w="0" w:type="dxa"/>
          <w:bottom w:w="0" w:type="dxa"/>
          <w:right w:w="0" w:type="dxa"/>
        </w:tblCellMar>
      </w:tblPr>
      <w:tr>
        <w:trPr>
          <w:trHeight w:val="155"/>
        </w:trPr>
        <w:tc>
          <w:tcPr>
            <w:tcW w:w="27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6"/>
          </w:tcPr>
          <w:p>
            <w:pPr>
              <w:jc w:val="right"/>
              <w:ind w:right="782"/>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700" w:type="dxa"/>
            <w:vAlign w:val="bottom"/>
          </w:tcPr>
          <w:p>
            <w:pPr>
              <w:spacing w:after="0"/>
              <w:rPr>
                <w:sz w:val="22"/>
                <w:szCs w:val="22"/>
                <w:color w:val="auto"/>
              </w:rPr>
            </w:pPr>
          </w:p>
        </w:tc>
        <w:tc>
          <w:tcPr>
            <w:tcW w:w="1640" w:type="dxa"/>
            <w:vAlign w:val="bottom"/>
            <w:gridSpan w:val="3"/>
          </w:tcPr>
          <w:p>
            <w:pPr>
              <w:jc w:val="right"/>
              <w:ind w:right="359"/>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22"/>
                <w:szCs w:val="22"/>
                <w:color w:val="auto"/>
              </w:rPr>
            </w:pPr>
          </w:p>
        </w:tc>
        <w:tc>
          <w:tcPr>
            <w:tcW w:w="640" w:type="dxa"/>
            <w:vAlign w:val="bottom"/>
          </w:tcPr>
          <w:p>
            <w:pPr>
              <w:jc w:val="right"/>
              <w:ind w:right="22"/>
              <w:spacing w:after="0"/>
              <w:rPr>
                <w:sz w:val="20"/>
                <w:szCs w:val="20"/>
                <w:color w:val="auto"/>
              </w:rPr>
            </w:pPr>
            <w:r>
              <w:rPr>
                <w:rFonts w:ascii="Arial" w:cs="Arial" w:eastAsia="Arial" w:hAnsi="Arial"/>
                <w:sz w:val="11"/>
                <w:szCs w:val="11"/>
                <w:b w:val="1"/>
                <w:bCs w:val="1"/>
                <w:color w:val="auto"/>
              </w:rPr>
              <w:t>Additional</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60" w:type="dxa"/>
            <w:vAlign w:val="bottom"/>
            <w:gridSpan w:val="2"/>
          </w:tcPr>
          <w:p>
            <w:pPr>
              <w:jc w:val="center"/>
              <w:ind w:right="2"/>
              <w:spacing w:after="0"/>
              <w:rPr>
                <w:sz w:val="20"/>
                <w:szCs w:val="20"/>
                <w:color w:val="auto"/>
              </w:rPr>
            </w:pPr>
            <w:r>
              <w:rPr>
                <w:rFonts w:ascii="Arial" w:cs="Arial" w:eastAsia="Arial" w:hAnsi="Arial"/>
                <w:sz w:val="11"/>
                <w:szCs w:val="11"/>
                <w:b w:val="1"/>
                <w:bCs w:val="1"/>
                <w:color w:val="auto"/>
                <w:w w:val="98"/>
              </w:rPr>
              <w:t>Accumulated Other</w:t>
            </w:r>
          </w:p>
        </w:tc>
        <w:tc>
          <w:tcPr>
            <w:tcW w:w="1660" w:type="dxa"/>
            <w:vAlign w:val="bottom"/>
            <w:gridSpan w:val="3"/>
          </w:tcPr>
          <w:p>
            <w:pPr>
              <w:jc w:val="right"/>
              <w:ind w:right="19"/>
              <w:spacing w:after="0"/>
              <w:rPr>
                <w:sz w:val="20"/>
                <w:szCs w:val="20"/>
                <w:color w:val="auto"/>
              </w:rPr>
            </w:pPr>
            <w:r>
              <w:rPr>
                <w:rFonts w:ascii="Arial" w:cs="Arial" w:eastAsia="Arial" w:hAnsi="Arial"/>
                <w:sz w:val="11"/>
                <w:szCs w:val="11"/>
                <w:b w:val="1"/>
                <w:bCs w:val="1"/>
                <w:color w:val="auto"/>
                <w:w w:val="99"/>
              </w:rPr>
              <w:t>Common Stock in Treasury</w:t>
            </w:r>
            <w:r>
              <w:rPr>
                <w:rFonts w:ascii="Arial" w:cs="Arial" w:eastAsia="Arial" w:hAnsi="Arial"/>
                <w:sz w:val="16"/>
                <w:szCs w:val="16"/>
                <w:b w:val="1"/>
                <w:bCs w:val="1"/>
                <w:color w:val="auto"/>
                <w:w w:val="99"/>
                <w:vertAlign w:val="superscript"/>
              </w:rPr>
              <w:t>(1)</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700" w:type="dxa"/>
            <w:vAlign w:val="bottom"/>
            <w:vMerge w:val="restart"/>
          </w:tcPr>
          <w:p>
            <w:pPr>
              <w:ind w:left="20"/>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restart"/>
          </w:tcPr>
          <w:p>
            <w:pPr>
              <w:jc w:val="right"/>
              <w:ind w:right="122"/>
              <w:spacing w:after="0" w:line="95" w:lineRule="exact"/>
              <w:rPr>
                <w:sz w:val="20"/>
                <w:szCs w:val="20"/>
                <w:color w:val="auto"/>
              </w:rPr>
            </w:pPr>
            <w:r>
              <w:rPr>
                <w:rFonts w:ascii="Arial" w:cs="Arial" w:eastAsia="Arial" w:hAnsi="Arial"/>
                <w:sz w:val="10"/>
                <w:szCs w:val="10"/>
                <w:b w:val="1"/>
                <w:bCs w:val="1"/>
                <w:color w:val="auto"/>
              </w:rPr>
              <w:t>Paid-in</w:t>
            </w:r>
          </w:p>
        </w:tc>
        <w:tc>
          <w:tcPr>
            <w:tcW w:w="280" w:type="dxa"/>
            <w:vAlign w:val="bottom"/>
          </w:tcPr>
          <w:p>
            <w:pPr>
              <w:spacing w:after="0"/>
              <w:rPr>
                <w:sz w:val="4"/>
                <w:szCs w:val="4"/>
                <w:color w:val="auto"/>
              </w:rPr>
            </w:pPr>
          </w:p>
        </w:tc>
        <w:tc>
          <w:tcPr>
            <w:tcW w:w="720" w:type="dxa"/>
            <w:vAlign w:val="bottom"/>
            <w:vMerge w:val="restart"/>
          </w:tcPr>
          <w:p>
            <w:pPr>
              <w:jc w:val="right"/>
              <w:ind w:right="161"/>
              <w:spacing w:after="0" w:line="95" w:lineRule="exact"/>
              <w:rPr>
                <w:sz w:val="20"/>
                <w:szCs w:val="20"/>
                <w:color w:val="auto"/>
              </w:rPr>
            </w:pPr>
            <w:r>
              <w:rPr>
                <w:rFonts w:ascii="Arial" w:cs="Arial" w:eastAsia="Arial" w:hAnsi="Arial"/>
                <w:sz w:val="10"/>
                <w:szCs w:val="10"/>
                <w:b w:val="1"/>
                <w:bCs w:val="1"/>
                <w:color w:val="auto"/>
              </w:rPr>
              <w:t>Retained</w:t>
            </w:r>
          </w:p>
        </w:tc>
        <w:tc>
          <w:tcPr>
            <w:tcW w:w="180" w:type="dxa"/>
            <w:vAlign w:val="bottom"/>
          </w:tcPr>
          <w:p>
            <w:pPr>
              <w:spacing w:after="0"/>
              <w:rPr>
                <w:sz w:val="4"/>
                <w:szCs w:val="4"/>
                <w:color w:val="auto"/>
              </w:rPr>
            </w:pPr>
          </w:p>
        </w:tc>
        <w:tc>
          <w:tcPr>
            <w:tcW w:w="740" w:type="dxa"/>
            <w:vAlign w:val="bottom"/>
            <w:vMerge w:val="restart"/>
          </w:tcPr>
          <w:p>
            <w:pPr>
              <w:jc w:val="right"/>
              <w:ind w:right="142"/>
              <w:spacing w:after="0" w:line="95" w:lineRule="exact"/>
              <w:rPr>
                <w:sz w:val="20"/>
                <w:szCs w:val="20"/>
                <w:color w:val="auto"/>
              </w:rPr>
            </w:pPr>
            <w:r>
              <w:rPr>
                <w:rFonts w:ascii="Arial" w:cs="Arial" w:eastAsia="Arial" w:hAnsi="Arial"/>
                <w:sz w:val="10"/>
                <w:szCs w:val="10"/>
                <w:b w:val="1"/>
                <w:bCs w:val="1"/>
                <w:color w:val="auto"/>
              </w:rPr>
              <w:t>Employee</w:t>
            </w:r>
          </w:p>
        </w:tc>
        <w:tc>
          <w:tcPr>
            <w:tcW w:w="160" w:type="dxa"/>
            <w:vAlign w:val="bottom"/>
          </w:tcPr>
          <w:p>
            <w:pPr>
              <w:spacing w:after="0"/>
              <w:rPr>
                <w:sz w:val="4"/>
                <w:szCs w:val="4"/>
                <w:color w:val="auto"/>
              </w:rPr>
            </w:pPr>
          </w:p>
        </w:tc>
        <w:tc>
          <w:tcPr>
            <w:tcW w:w="1100" w:type="dxa"/>
            <w:vAlign w:val="bottom"/>
            <w:vMerge w:val="restart"/>
          </w:tcPr>
          <w:p>
            <w:pPr>
              <w:jc w:val="center"/>
              <w:ind w:right="162"/>
              <w:spacing w:after="0" w:line="95" w:lineRule="exact"/>
              <w:rPr>
                <w:sz w:val="20"/>
                <w:szCs w:val="20"/>
                <w:color w:val="auto"/>
              </w:rPr>
            </w:pPr>
            <w:r>
              <w:rPr>
                <w:rFonts w:ascii="Arial" w:cs="Arial" w:eastAsia="Arial" w:hAnsi="Arial"/>
                <w:sz w:val="10"/>
                <w:szCs w:val="10"/>
                <w:b w:val="1"/>
                <w:bCs w:val="1"/>
                <w:color w:val="auto"/>
              </w:rPr>
              <w:t>Comprehensive</w:t>
            </w: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restart"/>
          </w:tcPr>
          <w:p>
            <w:pPr>
              <w:jc w:val="right"/>
              <w:ind w:right="81"/>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1"/>
        </w:trPr>
        <w:tc>
          <w:tcPr>
            <w:tcW w:w="2700" w:type="dxa"/>
            <w:vAlign w:val="bottom"/>
            <w:vMerge w:val="continue"/>
          </w:tcPr>
          <w:p>
            <w:pPr>
              <w:spacing w:after="0" w:line="20" w:lineRule="exact"/>
              <w:rPr>
                <w:sz w:val="1"/>
                <w:szCs w:val="1"/>
                <w:color w:val="auto"/>
              </w:rPr>
            </w:pPr>
          </w:p>
        </w:tc>
        <w:tc>
          <w:tcPr>
            <w:tcW w:w="820" w:type="dxa"/>
            <w:vAlign w:val="bottom"/>
            <w:vMerge w:val="restart"/>
          </w:tcPr>
          <w:p>
            <w:pPr>
              <w:jc w:val="right"/>
              <w:ind w:right="181"/>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line="20" w:lineRule="exact"/>
              <w:rPr>
                <w:sz w:val="1"/>
                <w:szCs w:val="1"/>
                <w:color w:val="auto"/>
              </w:rPr>
            </w:pPr>
          </w:p>
        </w:tc>
        <w:tc>
          <w:tcPr>
            <w:tcW w:w="620" w:type="dxa"/>
            <w:vAlign w:val="bottom"/>
            <w:vMerge w:val="restart"/>
          </w:tcPr>
          <w:p>
            <w:pPr>
              <w:jc w:val="right"/>
              <w:ind w:right="99"/>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840" w:type="dxa"/>
            <w:vAlign w:val="bottom"/>
            <w:vMerge w:val="restart"/>
          </w:tcPr>
          <w:p>
            <w:pPr>
              <w:jc w:val="right"/>
              <w:ind w:right="201"/>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line="20" w:lineRule="exact"/>
              <w:rPr>
                <w:sz w:val="1"/>
                <w:szCs w:val="1"/>
                <w:color w:val="auto"/>
              </w:rPr>
            </w:pPr>
          </w:p>
        </w:tc>
        <w:tc>
          <w:tcPr>
            <w:tcW w:w="620" w:type="dxa"/>
            <w:vAlign w:val="bottom"/>
            <w:vMerge w:val="restart"/>
          </w:tcPr>
          <w:p>
            <w:pPr>
              <w:jc w:val="right"/>
              <w:ind w:right="119"/>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8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22"/>
              <w:spacing w:after="0"/>
              <w:rPr>
                <w:sz w:val="20"/>
                <w:szCs w:val="20"/>
                <w:color w:val="auto"/>
              </w:rPr>
            </w:pPr>
            <w:r>
              <w:rPr>
                <w:rFonts w:ascii="Arial" w:cs="Arial" w:eastAsia="Arial" w:hAnsi="Arial"/>
                <w:sz w:val="11"/>
                <w:szCs w:val="11"/>
                <w:b w:val="1"/>
                <w:bCs w:val="1"/>
                <w:color w:val="auto"/>
              </w:rPr>
              <w:t>Capital</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Earnings</w:t>
            </w:r>
          </w:p>
        </w:tc>
        <w:tc>
          <w:tcPr>
            <w:tcW w:w="92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1"/>
                <w:szCs w:val="11"/>
                <w:b w:val="1"/>
                <w:bCs w:val="1"/>
                <w:color w:val="auto"/>
              </w:rPr>
              <w:t>Benefit Trust</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1"/>
                <w:szCs w:val="11"/>
                <w:b w:val="1"/>
                <w:bCs w:val="1"/>
                <w:color w:val="auto"/>
                <w:w w:val="93"/>
              </w:rPr>
              <w:t>Loss</w:t>
            </w:r>
          </w:p>
        </w:tc>
        <w:tc>
          <w:tcPr>
            <w:tcW w:w="8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2024</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949,781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7,250.4</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10,312.3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auto"/>
              </w:rPr>
              <w:t>(3,013.2)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(4,327.0)</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402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91.8</w:t>
            </w:r>
          </w:p>
        </w:tc>
        <w:tc>
          <w:tcPr>
            <w:tcW w:w="0" w:type="dxa"/>
            <w:vAlign w:val="bottom"/>
          </w:tcPr>
          <w:p>
            <w:pPr>
              <w:spacing w:after="0"/>
              <w:rPr>
                <w:sz w:val="1"/>
                <w:szCs w:val="1"/>
                <w:color w:val="auto"/>
              </w:rPr>
            </w:pPr>
          </w:p>
        </w:tc>
      </w:tr>
      <w:tr>
        <w:trPr>
          <w:trHeight w:val="171"/>
        </w:trPr>
        <w:tc>
          <w:tcPr>
            <w:tcW w:w="27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41"/>
              <w:spacing w:after="0"/>
              <w:rPr>
                <w:sz w:val="20"/>
                <w:szCs w:val="20"/>
                <w:color w:val="auto"/>
              </w:rPr>
            </w:pPr>
            <w:r>
              <w:rPr>
                <w:rFonts w:ascii="Arial" w:cs="Arial" w:eastAsia="Arial" w:hAnsi="Arial"/>
                <w:sz w:val="13"/>
                <w:szCs w:val="13"/>
                <w:color w:val="auto"/>
              </w:rPr>
              <w:t>2,242.9</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3"/>
                <w:szCs w:val="13"/>
                <w:color w:val="auto"/>
              </w:rPr>
              <w:t>27.5</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3"/>
                <w:szCs w:val="13"/>
                <w:color w:val="auto"/>
                <w:w w:val="98"/>
              </w:rPr>
              <w:t>Issuance of stock under employee stock plans,</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20"/>
              <w:spacing w:after="0"/>
              <w:rPr>
                <w:sz w:val="20"/>
                <w:szCs w:val="20"/>
                <w:color w:val="auto"/>
              </w:rPr>
            </w:pPr>
            <w:r>
              <w:rPr>
                <w:rFonts w:ascii="Arial" w:cs="Arial" w:eastAsia="Arial" w:hAnsi="Arial"/>
                <w:sz w:val="13"/>
                <w:szCs w:val="13"/>
                <w:color w:val="auto"/>
              </w:rPr>
              <w:t>net</w:t>
            </w:r>
          </w:p>
        </w:tc>
        <w:tc>
          <w:tcPr>
            <w:tcW w:w="820" w:type="dxa"/>
            <w:vAlign w:val="bottom"/>
          </w:tcPr>
          <w:p>
            <w:pPr>
              <w:jc w:val="right"/>
              <w:ind w:right="41"/>
              <w:spacing w:after="0"/>
              <w:rPr>
                <w:sz w:val="20"/>
                <w:szCs w:val="20"/>
                <w:color w:val="auto"/>
              </w:rPr>
            </w:pPr>
            <w:r>
              <w:rPr>
                <w:rFonts w:ascii="Arial" w:cs="Arial" w:eastAsia="Arial" w:hAnsi="Arial"/>
                <w:sz w:val="13"/>
                <w:szCs w:val="13"/>
                <w:color w:val="auto"/>
              </w:rPr>
              <w:t>987</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0.6</w:t>
            </w:r>
          </w:p>
        </w:tc>
        <w:tc>
          <w:tcPr>
            <w:tcW w:w="2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(400.3)</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Arial" w:cs="Arial" w:eastAsia="Arial" w:hAnsi="Arial"/>
                <w:sz w:val="13"/>
                <w:szCs w:val="13"/>
                <w:color w:val="auto"/>
              </w:rPr>
              <w:t>(37)</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11.5</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(1.3)</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81"/>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March 31, 2024</w:t>
            </w: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rPr>
              <w:t>950,768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594.2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7,009.5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rPr>
              <w:t>12,553.9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3"/>
                <w:szCs w:val="13"/>
                <w:color w:val="auto"/>
              </w:rPr>
              <w:t>(3,013.2)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3"/>
                <w:szCs w:val="13"/>
                <w:color w:val="auto"/>
              </w:rPr>
              <w:t>(4,299.5)</w:t>
            </w: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365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85.2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12"/>
          </w:cols>
          <w:pgMar w:left="328" w:top="890" w:right="359" w:bottom="1440" w:gutter="0" w:footer="0" w:header="0"/>
        </w:sectPr>
      </w:pPr>
    </w:p>
    <w:p>
      <w:pPr>
        <w:ind w:left="32" w:right="1080"/>
        <w:spacing w:after="0" w:line="281" w:lineRule="auto"/>
        <w:rPr>
          <w:sz w:val="20"/>
          <w:szCs w:val="20"/>
          <w:color w:val="auto"/>
        </w:rPr>
      </w:pPr>
      <w:r>
        <w:rPr>
          <w:rFonts w:ascii="Arial" w:cs="Arial" w:eastAsia="Arial" w:hAnsi="Arial"/>
          <w:sz w:val="13"/>
          <w:szCs w:val="13"/>
          <w:color w:val="auto"/>
        </w:rPr>
        <w:t>Balance at January 1, 2025 Net income</w:t>
      </w:r>
    </w:p>
    <w:p>
      <w:pPr>
        <w:spacing w:after="0" w:line="1" w:lineRule="exact"/>
        <w:rPr>
          <w:sz w:val="20"/>
          <w:szCs w:val="20"/>
          <w:color w:val="auto"/>
        </w:rPr>
      </w:pPr>
    </w:p>
    <w:p>
      <w:pPr>
        <w:ind w:left="32"/>
        <w:spacing w:after="0"/>
        <w:rPr>
          <w:sz w:val="20"/>
          <w:szCs w:val="20"/>
          <w:color w:val="auto"/>
        </w:rPr>
      </w:pPr>
      <w:r>
        <w:rPr>
          <w:rFonts w:ascii="Arial" w:cs="Arial" w:eastAsia="Arial" w:hAnsi="Arial"/>
          <w:sz w:val="13"/>
          <w:szCs w:val="13"/>
          <w:color w:val="auto"/>
        </w:rPr>
        <w:t>Other comprehensive income, net of tax</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Retirement of treasury shares</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Purchase of treasury shares</w:t>
      </w:r>
    </w:p>
    <w:p>
      <w:pPr>
        <w:spacing w:after="0" w:line="26" w:lineRule="exact"/>
        <w:rPr>
          <w:sz w:val="20"/>
          <w:szCs w:val="20"/>
          <w:color w:val="auto"/>
        </w:rPr>
      </w:pPr>
    </w:p>
    <w:p>
      <w:pPr>
        <w:ind w:left="32"/>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24" w:lineRule="exact"/>
        <w:rPr>
          <w:sz w:val="20"/>
          <w:szCs w:val="20"/>
          <w:color w:val="auto"/>
        </w:rPr>
      </w:pPr>
    </w:p>
    <w:p>
      <w:pPr>
        <w:ind w:left="32" w:right="1100"/>
        <w:spacing w:after="0" w:line="303" w:lineRule="auto"/>
        <w:rPr>
          <w:sz w:val="20"/>
          <w:szCs w:val="20"/>
          <w:color w:val="auto"/>
        </w:rPr>
      </w:pPr>
      <w:r>
        <w:rPr>
          <w:rFonts w:ascii="Arial" w:cs="Arial" w:eastAsia="Arial" w:hAnsi="Arial"/>
          <w:sz w:val="13"/>
          <w:szCs w:val="13"/>
          <w:color w:val="auto"/>
        </w:rPr>
        <w:t>Stock-based compensation Other</w:t>
      </w:r>
    </w:p>
    <w:p>
      <w:pPr>
        <w:spacing w:after="0" w:line="1" w:lineRule="exact"/>
        <w:rPr>
          <w:sz w:val="20"/>
          <w:szCs w:val="20"/>
          <w:color w:val="auto"/>
        </w:rPr>
      </w:pPr>
    </w:p>
    <w:p>
      <w:pPr>
        <w:ind w:left="32"/>
        <w:spacing w:after="0"/>
        <w:rPr>
          <w:sz w:val="20"/>
          <w:szCs w:val="20"/>
          <w:color w:val="auto"/>
        </w:rPr>
      </w:pPr>
      <w:r>
        <w:rPr>
          <w:rFonts w:ascii="Arial" w:cs="Arial" w:eastAsia="Arial" w:hAnsi="Arial"/>
          <w:sz w:val="13"/>
          <w:szCs w:val="13"/>
          <w:color w:val="auto"/>
        </w:rPr>
        <w:t>Balance at March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rPr>
              <w:t>947,903</w:t>
            </w:r>
          </w:p>
        </w:tc>
        <w:tc>
          <w:tcPr>
            <w:tcW w:w="28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592.4</w:t>
            </w:r>
          </w:p>
        </w:tc>
        <w:tc>
          <w:tcPr>
            <w:tcW w:w="26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b w:val="1"/>
                <w:bCs w:val="1"/>
                <w:color w:val="auto"/>
              </w:rPr>
              <w:t>7,439.3</w:t>
            </w:r>
          </w:p>
        </w:tc>
        <w:tc>
          <w:tcPr>
            <w:tcW w:w="24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13,545.0</w:t>
            </w:r>
          </w:p>
        </w:tc>
        <w:tc>
          <w:tcPr>
            <w:tcW w:w="24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38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ind w:right="177"/>
              <w:spacing w:after="0"/>
              <w:rPr>
                <w:sz w:val="20"/>
                <w:szCs w:val="20"/>
                <w:color w:val="auto"/>
              </w:rPr>
            </w:pPr>
            <w:r>
              <w:rPr>
                <w:rFonts w:ascii="Arial" w:cs="Arial" w:eastAsia="Arial" w:hAnsi="Arial"/>
                <w:sz w:val="13"/>
                <w:szCs w:val="13"/>
                <w:b w:val="1"/>
                <w:bCs w:val="1"/>
                <w:color w:val="auto"/>
              </w:rPr>
              <w:t>(4,321.9)</w:t>
            </w: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365</w:t>
            </w:r>
          </w:p>
        </w:tc>
        <w:tc>
          <w:tcPr>
            <w:tcW w:w="22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rPr>
              <w:t>(49.5)</w:t>
            </w:r>
          </w:p>
        </w:tc>
        <w:tc>
          <w:tcPr>
            <w:tcW w:w="48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79.5</w:t>
            </w:r>
          </w:p>
        </w:tc>
      </w:tr>
      <w:tr>
        <w:trPr>
          <w:trHeight w:val="175"/>
        </w:trPr>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2,759.3</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7.0</w:t>
            </w:r>
          </w:p>
        </w:tc>
      </w:tr>
      <w:tr>
        <w:trPr>
          <w:trHeight w:val="176"/>
        </w:trPr>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217"/>
              <w:spacing w:after="0"/>
              <w:rPr>
                <w:sz w:val="20"/>
                <w:szCs w:val="20"/>
                <w:color w:val="auto"/>
              </w:rPr>
            </w:pPr>
            <w:r>
              <w:rPr>
                <w:rFonts w:ascii="Arial" w:cs="Arial" w:eastAsia="Arial" w:hAnsi="Arial"/>
                <w:sz w:val="13"/>
                <w:szCs w:val="13"/>
                <w:b w:val="1"/>
                <w:bCs w:val="1"/>
                <w:color w:val="auto"/>
              </w:rPr>
              <w:t>547.3</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5"/>
        </w:trPr>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(1,359)</w:t>
            </w:r>
          </w:p>
        </w:tc>
        <w:tc>
          <w:tcPr>
            <w:tcW w:w="28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b w:val="1"/>
                <w:bCs w:val="1"/>
                <w:color w:val="auto"/>
              </w:rPr>
              <w:t>(0.8)</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(1,199.2)</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auto"/>
              </w:rPr>
              <w:t>(1,359)</w:t>
            </w:r>
          </w:p>
        </w:tc>
        <w:tc>
          <w:tcPr>
            <w:tcW w:w="2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auto"/>
              </w:rPr>
              <w:t>1,200.0</w:t>
            </w: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1,359</w:t>
            </w:r>
          </w:p>
        </w:tc>
        <w:tc>
          <w:tcPr>
            <w:tcW w:w="22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rPr>
              <w:t>(1,200.0)</w:t>
            </w: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10"/>
        </w:trPr>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rPr>
              <w:t>1,551</w:t>
            </w:r>
          </w:p>
        </w:tc>
        <w:tc>
          <w:tcPr>
            <w:tcW w:w="28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1.0</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(683.0)</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6"/>
        </w:trPr>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b w:val="1"/>
                <w:bCs w:val="1"/>
                <w:color w:val="auto"/>
              </w:rPr>
              <w:t>153.7</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9"/>
        </w:trPr>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(5.6)</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w:t>
            </w:r>
          </w:p>
        </w:tc>
      </w:tr>
      <w:tr>
        <w:trPr>
          <w:trHeight w:val="180"/>
        </w:trPr>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948,095</w:t>
            </w:r>
          </w:p>
        </w:tc>
        <w:tc>
          <w:tcPr>
            <w:tcW w:w="2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592.6</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6,910.0</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15,099.5</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(3,774.6)</w:t>
            </w: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365</w:t>
            </w: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(49.5)</w:t>
            </w:r>
          </w:p>
        </w:tc>
        <w:tc>
          <w:tcPr>
            <w:tcW w:w="4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-1113790</wp:posOffset>
            </wp:positionV>
            <wp:extent cx="7115175" cy="111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15175" cy="111125"/>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-890905</wp:posOffset>
            </wp:positionV>
            <wp:extent cx="7115175" cy="111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-668020</wp:posOffset>
            </wp:positionV>
            <wp:extent cx="7115175"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-359410</wp:posOffset>
            </wp:positionV>
            <wp:extent cx="7115175"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-136525</wp:posOffset>
            </wp:positionV>
            <wp:extent cx="711517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2652" w:space="60"/>
            <w:col w:w="8500"/>
          </w:cols>
          <w:pgMar w:left="328" w:top="890" w:right="359" w:bottom="1440" w:gutter="0" w:footer="0" w:header="0"/>
          <w:type w:val="continuous"/>
        </w:sectPr>
      </w:pPr>
    </w:p>
    <w:p>
      <w:pPr>
        <w:ind w:left="132" w:hanging="132"/>
        <w:spacing w:after="0"/>
        <w:tabs>
          <w:tab w:leader="none" w:pos="132" w:val="left"/>
        </w:tabs>
        <w:numPr>
          <w:ilvl w:val="0"/>
          <w:numId w:val="3"/>
        </w:numPr>
        <w:rPr>
          <w:rFonts w:ascii="Arial" w:cs="Arial" w:eastAsia="Arial" w:hAnsi="Arial"/>
          <w:sz w:val="15"/>
          <w:szCs w:val="15"/>
          <w:color w:val="auto"/>
          <w:vertAlign w:val="superscript"/>
        </w:rPr>
      </w:pPr>
      <w:r>
        <w:rPr>
          <w:rFonts w:ascii="Arial" w:cs="Arial" w:eastAsia="Arial" w:hAnsi="Arial"/>
          <w:sz w:val="12"/>
          <w:szCs w:val="12"/>
          <w:color w:val="auto"/>
        </w:rPr>
        <w:t>As of March 31, 2025, there was $13.80 billion remaining under our $15.00 billion share repurchase program authorized in December 2024.</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90" w:right="3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2024</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2,759.3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2,242.9</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462.8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400.6</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(391.6)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153.7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159.4</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(gains) losses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149.1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1,571.7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(3,364.2)</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(1,751.2)</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324.8</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1,665.6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(1,509.5)</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Proceeds from sales of and distributions from noncurrent investments</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71.6</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noncurrent investments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(196.7)</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Purchases of in-process research and development</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(1,757.0)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(96.5)</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39.3</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(3,352.3)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(1,177.6)</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(1,346.3)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(1,169.2)</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short-term borrowings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(1,848.7)</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(5,204.8)</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6,461.0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6,452.5</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common stock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(1,200.0)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(686.3)</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(389.8)</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1,379.7</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131.9</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January 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3,268.4</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2,818.6</w:t>
            </w: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March 31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3,093.3</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2,460.2</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0"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(Tables present dollars in millions, except per-share data, and numbers may not add due to rounding)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Implementation of New Financial Accounting Standards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75" w:lineRule="exact"/>
        <w:rPr>
          <w:sz w:val="20"/>
          <w:szCs w:val="20"/>
          <w:color w:val="auto"/>
        </w:rPr>
      </w:pPr>
    </w:p>
    <w:p>
      <w:pPr>
        <w:ind w:right="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 We issued our financial statements by filing them with the Securities and Exchange Commission and have evaluated subsequent events up to the time of the filing of this Quarterly Report on Form 10-Q.</w:t>
      </w:r>
    </w:p>
    <w:p>
      <w:pPr>
        <w:spacing w:after="0" w:line="6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common shares outstanding plus the effect of incremental shares from our stock-based compensation programs, if dilutive.</w:t>
      </w:r>
    </w:p>
    <w:p>
      <w:pPr>
        <w:spacing w:after="0" w:line="4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See Note 12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Accounting Standards Update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establishes incremental disaggregation of income tax disclosures pertaining to the effective tax rate reconciliation and income taxes paid. This standard is effective for fiscal years beginning after December 15, 2024, and requires prospective application with the option to apply it retrospectively. We intend to adopt this standard in our Annual Report on Form 10-K for the year ending December 31, 2025. We are currently evaluating the potential impact of adopting this standard on our disclosures.</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ASU 2024-03, </w:t>
      </w:r>
      <w:r>
        <w:rPr>
          <w:rFonts w:ascii="Arial" w:cs="Arial" w:eastAsia="Arial" w:hAnsi="Arial"/>
          <w:sz w:val="18"/>
          <w:szCs w:val="18"/>
          <w:i w:val="1"/>
          <w:iCs w:val="1"/>
          <w:color w:val="auto"/>
        </w:rPr>
        <w:t>Income Statement—Reporting Comprehensive Income—Expense Disaggregation Disclosures (Subtopic 220-40):</w:t>
      </w:r>
      <w:r>
        <w:rPr>
          <w:rFonts w:ascii="Arial" w:cs="Arial" w:eastAsia="Arial" w:hAnsi="Arial"/>
          <w:sz w:val="18"/>
          <w:szCs w:val="18"/>
          <w:color w:val="auto"/>
        </w:rPr>
        <w:t xml:space="preserve"> </w:t>
      </w: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requires disaggregation of specific expense categories in the notes to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a qualitative description of the remaining expense amounts not separately disaggregated. This standard is effective for annual reporting periods beginning after December 15, 2026, and requires prospective application with the option to apply it retrospectively. We intend to adopt this standard in our Annual Report on Form 10-K for the year ending December 31, 2027. We are currently evaluating the potential impact of adopting this standard on our disclosures.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346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7"/>
                <w:szCs w:val="17"/>
                <w:color w:val="auto"/>
              </w:rPr>
            </w:pPr>
          </w:p>
        </w:tc>
      </w:tr>
      <w:tr>
        <w:trPr>
          <w:trHeight w:val="209"/>
        </w:trPr>
        <w:tc>
          <w:tcPr>
            <w:tcW w:w="70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8"/>
                <w:szCs w:val="18"/>
                <w:color w:val="auto"/>
              </w:rPr>
            </w:pP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revenue</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11,601.2</w:t>
            </w:r>
          </w:p>
        </w:tc>
        <w:tc>
          <w:tcPr>
            <w:tcW w:w="13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7,796.5</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Collaboration and other revenue</w:t>
            </w:r>
          </w:p>
        </w:tc>
        <w:tc>
          <w:tcPr>
            <w:tcW w:w="1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1,127.3</w:t>
            </w:r>
          </w:p>
        </w:tc>
        <w:tc>
          <w:tcPr>
            <w:tcW w:w="1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w:t>
            </w: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12,728.5</w:t>
            </w:r>
          </w:p>
        </w:tc>
        <w:tc>
          <w:tcPr>
            <w:tcW w:w="138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8,768.0</w:t>
            </w:r>
          </w:p>
        </w:tc>
      </w:tr>
    </w:tbl>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Note 4 for additional information related to our collaborations and other arrangements. Collaboration and other revenue disclosed above includes the revenue resulting from our collaboration with Boehringer Ingelheim discussed in Note 4, as well as the sale of product rights. Substantially all of the remainder of collaboration and other revenue is related to contracts accounted for as contracts with customers.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Adjustments to revenue recognized as a result of changes in estimates for our most significant United States (U.S.) sales returns, rebates, and discounts liability balances for products shipped in previous periods were less than 1 percent and approximately 3 percent of U.S. revenue during the three months ended March 31, 2025 and 2024,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23"/>
        </w:trPr>
        <w:tc>
          <w:tcPr>
            <w:tcW w:w="3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Outside U.S.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r>
      <w:tr>
        <w:trPr>
          <w:trHeight w:val="224"/>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Cardiometabolic Health:</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Mounjaro</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2,655.9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1,185.9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3,841.8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286.2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1,806.5</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Zepbound</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2,305.4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Trulicity</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770.5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324.7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1,095.2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1,081.9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1,456.3</w:t>
            </w: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w:t>
            </w:r>
          </w:p>
        </w:tc>
      </w:tr>
      <w:tr>
        <w:trPr>
          <w:trHeight w:val="229"/>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cardiometabolic health</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535.1</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409.7</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944.8</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602.1</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1,026.3</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cardiometabolic health</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6,576.7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2,631.4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5,493.0</w:t>
            </w:r>
          </w:p>
        </w:tc>
      </w:tr>
      <w:tr>
        <w:trPr>
          <w:trHeight w:val="257"/>
        </w:trPr>
        <w:tc>
          <w:tcPr>
            <w:tcW w:w="3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Oncology:</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Verzenio</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657.6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501.3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1,158.9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638.2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412.1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1,050.3</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Other oncology</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388.2</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400.4</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788.6</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759.7</w:t>
            </w:r>
          </w:p>
        </w:tc>
      </w:tr>
      <w:tr>
        <w:trPr>
          <w:trHeight w:val="223"/>
        </w:trPr>
        <w:tc>
          <w:tcPr>
            <w:tcW w:w="3860" w:type="dxa"/>
            <w:vAlign w:val="bottom"/>
          </w:tcPr>
          <w:p>
            <w:pPr>
              <w:ind w:left="360"/>
              <w:spacing w:after="0"/>
              <w:rPr>
                <w:sz w:val="20"/>
                <w:szCs w:val="20"/>
                <w:color w:val="auto"/>
              </w:rPr>
            </w:pPr>
            <w:r>
              <w:rPr>
                <w:rFonts w:ascii="Arial" w:cs="Arial" w:eastAsia="Arial" w:hAnsi="Arial"/>
                <w:sz w:val="18"/>
                <w:szCs w:val="18"/>
                <w:color w:val="auto"/>
              </w:rPr>
              <w:t>Total oncology</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1,045.8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901.7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1,947.5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998.3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811.7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1,810.0</w:t>
            </w:r>
          </w:p>
        </w:tc>
      </w:tr>
      <w:tr>
        <w:trPr>
          <w:trHeight w:val="256"/>
        </w:trPr>
        <w:tc>
          <w:tcPr>
            <w:tcW w:w="38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0"/>
        </w:trPr>
        <w:tc>
          <w:tcPr>
            <w:tcW w:w="3860" w:type="dxa"/>
            <w:vAlign w:val="bottom"/>
          </w:tcPr>
          <w:p>
            <w:pPr>
              <w:ind w:left="120"/>
              <w:spacing w:after="0"/>
              <w:rPr>
                <w:sz w:val="20"/>
                <w:szCs w:val="20"/>
                <w:color w:val="auto"/>
              </w:rPr>
            </w:pPr>
            <w:r>
              <w:rPr>
                <w:rFonts w:ascii="Arial" w:cs="Arial" w:eastAsia="Arial" w:hAnsi="Arial"/>
                <w:sz w:val="18"/>
                <w:szCs w:val="18"/>
                <w:color w:val="auto"/>
              </w:rPr>
              <w:t>Immunology:</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Taltz</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w:t>
            </w:r>
          </w:p>
        </w:tc>
      </w:tr>
      <w:tr>
        <w:trPr>
          <w:trHeight w:val="229"/>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immunology</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326.1</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immunology</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578.1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w:t>
            </w:r>
          </w:p>
        </w:tc>
      </w:tr>
      <w:tr>
        <w:trPr>
          <w:trHeight w:val="257"/>
        </w:trPr>
        <w:tc>
          <w:tcPr>
            <w:tcW w:w="3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Neuroscience</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r>
      <w:tr>
        <w:trPr>
          <w:trHeight w:val="257"/>
        </w:trPr>
        <w:tc>
          <w:tcPr>
            <w:tcW w:w="3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r>
      <w:tr>
        <w:trPr>
          <w:trHeight w:val="256"/>
        </w:trPr>
        <w:tc>
          <w:tcPr>
            <w:tcW w:w="38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8,489.4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12,728.5</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3,073.7</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8,768.0</w:t>
            </w:r>
          </w:p>
        </w:tc>
      </w:tr>
    </w:tbl>
    <w:p>
      <w:pPr>
        <w:spacing w:after="0" w:line="72"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00" w:type="dxa"/>
            <w:vAlign w:val="bottom"/>
          </w:tcPr>
          <w:p>
            <w:pPr>
              <w:spacing w:after="0"/>
              <w:rPr>
                <w:sz w:val="17"/>
                <w:szCs w:val="17"/>
                <w:color w:val="auto"/>
              </w:rPr>
            </w:pPr>
          </w:p>
        </w:tc>
        <w:tc>
          <w:tcPr>
            <w:tcW w:w="344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7"/>
                <w:szCs w:val="17"/>
                <w:color w:val="auto"/>
              </w:rPr>
            </w:pPr>
          </w:p>
        </w:tc>
      </w:tr>
      <w:tr>
        <w:trPr>
          <w:trHeight w:val="196"/>
        </w:trPr>
        <w:tc>
          <w:tcPr>
            <w:tcW w:w="69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7"/>
                <w:szCs w:val="17"/>
                <w:color w:val="auto"/>
              </w:rPr>
            </w:pPr>
          </w:p>
        </w:tc>
      </w:tr>
      <w:tr>
        <w:trPr>
          <w:trHeight w:val="224"/>
        </w:trPr>
        <w:tc>
          <w:tcPr>
            <w:tcW w:w="69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U.S.</w:t>
            </w:r>
          </w:p>
        </w:tc>
        <w:tc>
          <w:tcPr>
            <w:tcW w:w="1220" w:type="dxa"/>
            <w:vAlign w:val="bottom"/>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8,489.4</w:t>
            </w:r>
          </w:p>
        </w:tc>
        <w:tc>
          <w:tcPr>
            <w:tcW w:w="1380" w:type="dxa"/>
            <w:vAlign w:val="bottom"/>
          </w:tcPr>
          <w:p>
            <w:pPr>
              <w:jc w:val="right"/>
              <w:ind w:right="107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5,694.4</w:t>
            </w: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2,388.7</w:t>
            </w: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1,440.7</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China</w:t>
            </w:r>
          </w:p>
        </w:tc>
        <w:tc>
          <w:tcPr>
            <w:tcW w:w="1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450.8</w:t>
            </w: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376.2</w:t>
            </w: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Japan</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402.2</w:t>
            </w: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r>
      <w:tr>
        <w:trPr>
          <w:trHeight w:val="230"/>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 of world</w:t>
            </w: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997.4</w:t>
            </w:r>
          </w:p>
        </w:tc>
        <w:tc>
          <w:tcPr>
            <w:tcW w:w="1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892.9</w:t>
            </w:r>
          </w:p>
        </w:tc>
      </w:tr>
      <w:tr>
        <w:trPr>
          <w:trHeight w:val="23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12,728.5</w:t>
            </w:r>
          </w:p>
        </w:tc>
        <w:tc>
          <w:tcPr>
            <w:tcW w:w="138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8,768.0</w:t>
            </w:r>
          </w:p>
        </w:tc>
      </w:tr>
    </w:tbl>
    <w:p>
      <w:pPr>
        <w:spacing w:after="0" w:line="85"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Revenue is attributed to the countries based on the location of the customer or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Acquisitions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engage in various forms of business development activities to enhance or refine our product pipeline, including acquisitions, collaborations, investments, and licensing arrangements. In connection with these arrangements, our partners may be entitled to future royalties and/or commercial milestones based on sales if the products are approved for commercialization and/or milestones based on the successful progress of compounds through the development process. We account for each arrangement as either a business combination or an asset acquisition in accordance with GAAP. We recognized no business combinations for the three months ended March 31, 2025 and 2024.</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17"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Upon each asset acquisition, the cost allocated to acquired in-process research and development (IPR&amp;D) was immediately expensed as acquired IPR&amp;D if the compound had no alternative future use. Milestone payment obligations incurred prior to regulatory approval of the compound were expensed as acquired IPR&amp;D when the event triggering an obligation to pay the milestone occurred.</w:t>
      </w:r>
    </w:p>
    <w:p>
      <w:pPr>
        <w:spacing w:after="0" w:line="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recognized acquired IPR&amp;D charges of $1.57 billion and $110.5 million for the three months ended March 31, 2025 and 2024, respectively. The acquired IPR&amp;D charges for the three months ended March 31, 2025 were primarily related to the acquisition of Scorpion Therapeutics, Inc.'s (Scorpion's) PI3Kα inhibitor program STX-478, currently being evaluated in a Phase 1/2 clinical trial for breast cancer and other advanced solid tumors.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recognized no other significant acquired IPR&amp;D charges during the three months ended March 31, 2025 and 2024.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often enter into collaborative and other arrangements to develop and commercialize drug candidates or to sell the rights of a product.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a discussion of our recognition of revenue from our collaborations and other arrangements.</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Collaborative activities may include research and development, marketing and selling, manufacturing, and distribution for which we may receive from or pay to the collaboration partner expense reimbursements. 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arrangement is unique in nature, and our more significant arrangements are discussed below.</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Boehringer Ingelheim Collaboration</w:t>
      </w:r>
    </w:p>
    <w:p>
      <w:pPr>
        <w:spacing w:after="0" w:line="11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compounds. Boehringer Ingelheim's Jardiance product family, that includes Glyxambi, Synjardy, and Trijardy XR, is the significant product family included in the collaboration.</w:t>
      </w:r>
    </w:p>
    <w:p>
      <w:pPr>
        <w:spacing w:after="0" w:line="6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the Jardiance product family, we and Boehringer Ingelheim generally share equally in certain significant ongoing development and commercialization costs, and we record our portion of the development and commercialization costs as research and development expense and marketing, selling, and administrative expense, respectively. We receive a royalty on net sales of the Jardiance product family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The royalty received by us related to the Jardiance product family may also be increased or decreased depending on whether net sales for this product family exceed or fall below certain thresholds. The following table summarizes our revenue recognized:</w:t>
      </w:r>
    </w:p>
    <w:p>
      <w:pPr>
        <w:spacing w:after="0" w:line="127"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23495</wp:posOffset>
            </wp:positionV>
            <wp:extent cx="26746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5" w:lineRule="exact"/>
        <w:rPr>
          <w:sz w:val="20"/>
          <w:szCs w:val="20"/>
          <w:color w:val="auto"/>
        </w:rPr>
      </w:pPr>
    </w:p>
    <w:p>
      <w:pPr>
        <w:ind w:left="7880"/>
        <w:spacing w:after="0"/>
        <w:tabs>
          <w:tab w:leader="none" w:pos="1004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7020" w:val="left"/>
          <w:tab w:leader="none" w:pos="8360" w:val="left"/>
          <w:tab w:leader="none" w:pos="9200" w:val="left"/>
          <w:tab w:leader="none" w:pos="10700" w:val="left"/>
        </w:tabs>
        <w:rPr>
          <w:sz w:val="20"/>
          <w:szCs w:val="20"/>
          <w:color w:val="auto"/>
        </w:rPr>
      </w:pPr>
      <w:r>
        <w:rPr>
          <w:rFonts w:ascii="Arial" w:cs="Arial" w:eastAsia="Arial" w:hAnsi="Arial"/>
          <w:sz w:val="18"/>
          <w:szCs w:val="18"/>
          <w:color w:val="auto"/>
        </w:rPr>
        <w:t>Jardiance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1,014.4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686.5</w:t>
      </w:r>
    </w:p>
    <w:p>
      <w:pPr>
        <w:spacing w:after="0" w:line="2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first quarter of 2025, we and Boehringer Ingelheim amended our collaboration to adjust commercialization responsibilities for the Jardiance product family in certain markets, resulting in our recognition of a one-time benefit of $ 370.0 million as Jardiance revenue. Resulting from recent amendments, we have the right to receive up to $610.0 million in potential sales-based milestones related to the Jardiance product family in certain markets through December 31, 2026. No such sales-based milestones were recognized as of March 31, 2025.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Ebglyss</w:t>
      </w:r>
    </w:p>
    <w:p>
      <w:pPr>
        <w:spacing w:after="0" w:line="11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have a license agreement with F. Hoffmann-La Roche Ltd and Genentech, Inc. (collectively, Roche), which provides us the worldwide development and commercialization rights to lebrikizumab, which is branded and trademarked as Ebglyss. Roche receives tiered royalty payments on worldwide net sales ranging in percentages from high single digits to high teens, which we recognize as cost of sales. As of March 31, 2025, Roche is eligible to receive additional payments from us, including up to $1.03 billion in potential sales-based milestones. During the three months ended March 31, 2025 and 2024, milestone payments to Roche were not material.</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license agreement with Almirall, S.A. (Almirall), under which Almirall licensed the rights to develop and commercialize Ebglyss, for the treatment or prevention of dermatology indications, including, but not limited to, atopic dermatitis in Europe. We receive tiered royalty payments on net sales in Europe ranging in percentages from low double digits to low twenties, which we recognize as collaboration and other revenue. During the three months ended March 31, 2025 and 2024, collaboration and other revenue recognized under this license agreement was not material. As of March 31, 2025, we are eligible to receive additional payments up to $1.25 billion in a series of sales-based milestones.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Orforglipron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 license agreement with Chugai Pharmaceutical Co., Ltd (Chugai), which provides us with the worldwide development and commercialization rights to orforglipron. Chugai has the right to receive tiered royalty payments on future worldwide net sales from mid-single digits to low teens if the product is successfully commercialized. As of March 31, 2025, Chugai is eligible to receive up to $140.0 million contingent upon the achievement of success-based regulatory milestones and up to $250.0 million in a series of sales-based milestones, contingent upon the commercial success of orforglipron. During the three months ended March 31, 2025 and 2024, milestone payments to Chugai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components of inventories: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March 31, 2025</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1,298.2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1,220.8</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b w:val="1"/>
                <w:bCs w:val="1"/>
                <w:color w:val="auto"/>
              </w:rPr>
              <w:t>5,296.3</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3,979.5</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2,687.2</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2,326.0</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(approximates replacement cost)</w:t>
            </w:r>
          </w:p>
        </w:tc>
        <w:tc>
          <w:tcPr>
            <w:tcW w:w="260" w:type="dxa"/>
            <w:vAlign w:val="bottom"/>
          </w:tcPr>
          <w:p>
            <w:pPr>
              <w:spacing w:after="0"/>
              <w:rPr>
                <w:sz w:val="19"/>
                <w:szCs w:val="19"/>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b w:val="1"/>
                <w:bCs w:val="1"/>
                <w:color w:val="auto"/>
              </w:rPr>
              <w:t>9,281.7</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7,526.3</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to last-in, first-out (LIFO) cost</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29.3</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9,311.0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7,589.2</w:t>
            </w:r>
          </w:p>
        </w:tc>
      </w:tr>
    </w:tbl>
    <w:p>
      <w:pPr>
        <w:spacing w:after="0" w:line="18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When we believe that future commercialization is probable and the future economic benefit is expected to be realized, we capitalize pre-launch inventory prior to regulatory approval. A number of factors are considered, including the current status in the regulatory approval process, potential impediments to the approval process such as safety or efficacy, viability of commercialization, and marketplace trends. Pre-launch inventories capitalized as of March 31, 2025 and December 31, 2024 were $601.4 million and $548.1 million, respectively, primarily related to orforglipron.</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and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44" w:lineRule="exact"/>
        <w:rPr>
          <w:rFonts w:ascii="Arial" w:cs="Arial" w:eastAsia="Arial" w:hAnsi="Arial"/>
          <w:sz w:val="18"/>
          <w:szCs w:val="18"/>
          <w:color w:val="auto"/>
        </w:rPr>
      </w:pPr>
    </w:p>
    <w:p>
      <w:pPr>
        <w:ind w:left="660" w:right="70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62"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near-term prospects of the issuer, general market conditions, and industry specific factors. Adjustments recorded for the three months ended March 31, 2025 and 2024 were not material.</w:t>
      </w:r>
    </w:p>
    <w:p>
      <w:pPr>
        <w:spacing w:after="0" w:line="71"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The net gains (losses) recognized in our consolidated condensed statements of operations for equity securities were $(146.7) million and $16.0 million for the three months ended March 31, 2025 and 2024, respectively. The net gains (losses) recognized for the three months ended March 31, 2025 and 2024 on equity securities sold during the respective periods were not material.</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As of March 31, 2025, we had approximately $868 million of unfunded commitments to invest in venture capital funds, which we anticipate will be paid over a period of up to 10 years.</w:t>
      </w:r>
    </w:p>
    <w:p>
      <w:pPr>
        <w:spacing w:after="0" w:line="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record our available -for-sale debt securities at fair value, with changes in fair value reported as a component of accumulated other comprehensive income (loss). We periodically assess our investment in available-for-sale securities for impairment losses and credit losses. The amount of credit losses is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three months ended March 31, 2025 and 2024.</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March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040" w:type="dxa"/>
            <w:vAlign w:val="bottom"/>
          </w:tcPr>
          <w:p>
            <w:pPr>
              <w:jc w:val="center"/>
              <w:ind w:right="102"/>
              <w:spacing w:after="0" w:line="147" w:lineRule="exact"/>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2"/>
                <w:szCs w:val="12"/>
                <w:color w:val="auto"/>
              </w:rPr>
            </w:pPr>
          </w:p>
        </w:tc>
        <w:tc>
          <w:tcPr>
            <w:tcW w:w="1080" w:type="dxa"/>
            <w:vAlign w:val="bottom"/>
          </w:tcPr>
          <w:p>
            <w:pPr>
              <w:jc w:val="center"/>
              <w:ind w:right="302"/>
              <w:spacing w:after="0" w:line="147" w:lineRule="exact"/>
              <w:rPr>
                <w:sz w:val="20"/>
                <w:szCs w:val="20"/>
                <w:color w:val="auto"/>
              </w:rPr>
            </w:pPr>
            <w:r>
              <w:rPr>
                <w:rFonts w:ascii="Arial" w:cs="Arial" w:eastAsia="Arial" w:hAnsi="Arial"/>
                <w:sz w:val="14"/>
                <w:szCs w:val="14"/>
                <w:b w:val="1"/>
                <w:bCs w:val="1"/>
                <w:color w:val="auto"/>
              </w:rPr>
              <w:t>1-5</w:t>
            </w:r>
          </w:p>
        </w:tc>
        <w:tc>
          <w:tcPr>
            <w:tcW w:w="280" w:type="dxa"/>
            <w:vAlign w:val="bottom"/>
          </w:tcPr>
          <w:p>
            <w:pPr>
              <w:spacing w:after="0"/>
              <w:rPr>
                <w:sz w:val="12"/>
                <w:szCs w:val="12"/>
                <w:color w:val="auto"/>
              </w:rPr>
            </w:pPr>
          </w:p>
        </w:tc>
        <w:tc>
          <w:tcPr>
            <w:tcW w:w="1000" w:type="dxa"/>
            <w:vAlign w:val="bottom"/>
          </w:tcPr>
          <w:p>
            <w:pPr>
              <w:jc w:val="right"/>
              <w:ind w:right="422"/>
              <w:spacing w:after="0" w:line="147" w:lineRule="exact"/>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2"/>
                <w:szCs w:val="12"/>
                <w:color w:val="auto"/>
              </w:rPr>
            </w:pPr>
          </w:p>
        </w:tc>
        <w:tc>
          <w:tcPr>
            <w:tcW w:w="1060" w:type="dxa"/>
            <w:vAlign w:val="bottom"/>
          </w:tcPr>
          <w:p>
            <w:pPr>
              <w:jc w:val="center"/>
              <w:ind w:right="102"/>
              <w:spacing w:after="0" w:line="147"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688.6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171.0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124.1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 summary of the amount of unrealized gains and losses in accumulated other comprehensive loss and the fair value of available-for-sale securities in an unrealized gain or loss position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March 31, 2025</w:t>
            </w: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gross gains</w:t>
            </w:r>
          </w:p>
        </w:tc>
        <w:tc>
          <w:tcPr>
            <w:tcW w:w="18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1880" w:type="dxa"/>
            <w:vAlign w:val="bottom"/>
          </w:tcPr>
          <w:p>
            <w:pPr>
              <w:spacing w:after="0"/>
              <w:rPr>
                <w:sz w:val="19"/>
                <w:szCs w:val="19"/>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b w:val="1"/>
                <w:bCs w:val="1"/>
                <w:color w:val="auto"/>
              </w:rPr>
              <w:t>33.6</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18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216.6</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r>
      <w:tr>
        <w:trPr>
          <w:trHeight w:val="247"/>
        </w:trPr>
        <w:tc>
          <w:tcPr>
            <w:tcW w:w="586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188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b w:val="1"/>
                <w:bCs w:val="1"/>
                <w:color w:val="auto"/>
              </w:rPr>
              <w:t>435.9</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491.2</w:t>
            </w:r>
          </w:p>
        </w:tc>
      </w:tr>
    </w:tbl>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2025, the available-for-sale securities in an unrealized loss position include primarily fixed-rate debt securities of varying maturities, which are sensitive to changes in the yield curve and other market conditions. Substantially all of the fixed-rate debt securities in a loss position are investment-grade debt securities. As of March 31, 2025, we do not intend to sell, and it is not more likely than not that we will be required to sell, the securities in a loss position before the market values recover or the underlying cash flows have been received, and there is no indication of a material default on interest or principal payments for our debt securities.</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 and were not material for the three months ended March 31, 2025 and 2024. Proceeds from sales of available-for-sale investments were $41.6 million and $24.4 million for the three months ended March 31, 2025 and 2024, respectively.</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auto"/>
        </w:rPr>
        <w:t>Fair Value of Investments</w:t>
      </w:r>
    </w:p>
    <w:p>
      <w:pPr>
        <w:spacing w:after="0" w:line="11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summarizes certain fair value information at March 31, 2025 and December 31, 2024 for investment assets measured at fair value on a recurring basis, as well as the carrying amount and amortized cost of certain other investments: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2"/>
                <w:szCs w:val="12"/>
                <w:color w:val="auto"/>
              </w:rPr>
            </w:pPr>
          </w:p>
        </w:tc>
        <w:tc>
          <w:tcPr>
            <w:tcW w:w="10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5" w:lineRule="exact"/>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1"/>
                <w:szCs w:val="11"/>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w:t>
            </w: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2"/>
                <w:szCs w:val="12"/>
                <w:color w:val="auto"/>
              </w:rPr>
            </w:pPr>
          </w:p>
        </w:tc>
        <w:tc>
          <w:tcPr>
            <w:tcW w:w="11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1,290.1</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1,290.1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1,277.4</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12.7</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1,290.1</w:t>
            </w: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43.1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42.6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59.4</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59.5</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59.4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59.4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0.6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0.6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24.8</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4.2</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20.6</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24.8</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127.4</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131.2</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142.9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131.2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131.2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217.0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206.8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206.8</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179.8</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188.6</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179.8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179.8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68.6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68.3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68.3</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161.0</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118.8</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6.3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154.7</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161.0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461.7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476.2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461.7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461.7</w:t>
            </w: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865.3</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1,148.6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3,222.7</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December 31, 2024</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1,506.9</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1,506.9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1,506.9</w:t>
            </w: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29.3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29.2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65.4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65.3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0.6</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156.4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140.2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211.4</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225.0</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211.4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177.2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165.3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56.7</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57.5</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56.7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102.6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485.5</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494.6</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485.5</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485.5</w:t>
            </w:r>
          </w:p>
        </w:tc>
        <w:tc>
          <w:tcPr>
            <w:tcW w:w="0" w:type="dxa"/>
            <w:vAlign w:val="bottom"/>
          </w:tcPr>
          <w:p>
            <w:pPr>
              <w:spacing w:after="0"/>
              <w:rPr>
                <w:sz w:val="1"/>
                <w:szCs w:val="1"/>
                <w:color w:val="auto"/>
              </w:rPr>
            </w:pPr>
          </w:p>
        </w:tc>
      </w:tr>
      <w:tr>
        <w:trPr>
          <w:trHeight w:val="163"/>
        </w:trPr>
        <w:tc>
          <w:tcPr>
            <w:tcW w:w="38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863.8</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1,142.7</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3,215.9</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For available-for-sale debt securities, amounts disclosed represent the securities' amortized cost.</w:t>
      </w:r>
    </w:p>
    <w:p>
      <w:pPr>
        <w:ind w:left="180" w:right="860" w:hanging="172"/>
        <w:spacing w:after="0" w:line="261" w:lineRule="auto"/>
        <w:tabs>
          <w:tab w:leader="none" w:pos="172" w:val="left"/>
        </w:tabs>
        <w:numPr>
          <w:ilvl w:val="0"/>
          <w:numId w:val="7"/>
        </w:numPr>
        <w:rPr>
          <w:rFonts w:ascii="Arial" w:cs="Arial" w:eastAsia="Arial" w:hAnsi="Arial"/>
          <w:sz w:val="9"/>
          <w:szCs w:val="9"/>
          <w:color w:val="auto"/>
        </w:rPr>
      </w:pPr>
      <w:r>
        <w:rPr>
          <w:rFonts w:ascii="Arial" w:cs="Arial" w:eastAsia="Arial" w:hAnsi="Arial"/>
          <w:sz w:val="14"/>
          <w:szCs w:val="14"/>
          <w:color w:val="auto"/>
        </w:rPr>
        <w:t>We consider all highly liquid investments with a maturity of three months or less from the date of purchase to be cash equivalents. The cost of these investments approximates fair value.</w:t>
      </w:r>
    </w:p>
    <w:p>
      <w:pPr>
        <w:ind w:left="160" w:hanging="152"/>
        <w:spacing w:after="0" w:line="204"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17" w:name="page18"/>
    <w:bookmarkEnd w:id="17"/>
    <w:p>
      <w:pPr>
        <w:ind w:right="220"/>
        <w:spacing w:after="0" w:line="259"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1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February 2025, we issued $1.00 billion of 4.550 percent fixed-rate notes due in 2028, $1.25 billion of 4.750 percent fixed-rate notes due in 2030, $1.00 billion of 4.900 percent fixed-rate notes due in 2032, $1.25 billion of 5.100 percent fixed-rate notes due in 2035, $1.25 billion of</w:t>
      </w:r>
    </w:p>
    <w:p>
      <w:pPr>
        <w:spacing w:after="0" w:line="2" w:lineRule="exact"/>
        <w:rPr>
          <w:sz w:val="20"/>
          <w:szCs w:val="20"/>
          <w:color w:val="auto"/>
        </w:rPr>
      </w:pPr>
    </w:p>
    <w:p>
      <w:pPr>
        <w:jc w:val="both"/>
        <w:ind w:right="20"/>
        <w:spacing w:after="0" w:line="280" w:lineRule="auto"/>
        <w:rPr>
          <w:sz w:val="20"/>
          <w:szCs w:val="20"/>
          <w:color w:val="auto"/>
        </w:rPr>
      </w:pPr>
      <w:r>
        <w:rPr>
          <w:rFonts w:ascii="Arial" w:cs="Arial" w:eastAsia="Arial" w:hAnsi="Arial"/>
          <w:sz w:val="17"/>
          <w:szCs w:val="17"/>
          <w:color w:val="auto"/>
        </w:rPr>
        <w:t>5.500 percent fixed-rate notes due in 2055, and $750.0 million of 5.600 percent fixed-rate notes due in 2065, all with interest to be paid semi-annually. We used a portion of the net cash proceeds from this offering to fund the acquisition of Scorpion's PI3Kα inhibitor program STX-478 and related fees and expenses, with any remaining funds used for general business purposes, including the repayment of commercial paper.</w:t>
      </w:r>
    </w:p>
    <w:p>
      <w:pPr>
        <w:spacing w:after="0" w:line="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three months ended March 31, 2024, we issued $6.50 billion aggregate principal amount of notes. We used the net cash proceeds from this offering for general business purposes, including the repayment of commercial paper, and the repayment of then-current maturities of long-term debt.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Debt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fair value information for our short-term and long-term debt: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5"/>
          </w:tcPr>
          <w:p>
            <w:pPr>
              <w:jc w:val="center"/>
              <w:ind w:right="39"/>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 in</w:t>
            </w:r>
          </w:p>
        </w:tc>
        <w:tc>
          <w:tcPr>
            <w:tcW w:w="280" w:type="dxa"/>
            <w:vAlign w:val="bottom"/>
          </w:tcPr>
          <w:p>
            <w:pPr>
              <w:spacing w:after="0"/>
              <w:rPr>
                <w:sz w:val="12"/>
                <w:szCs w:val="12"/>
                <w:color w:val="auto"/>
              </w:rPr>
            </w:pPr>
          </w:p>
        </w:tc>
        <w:tc>
          <w:tcPr>
            <w:tcW w:w="114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5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rPr>
              <w:t>Significant</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rPr>
              <w:t>Active Markets</w:t>
            </w: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18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rPr>
              <w:t>for Identical</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1"/>
                <w:szCs w:val="11"/>
                <w:color w:val="auto"/>
              </w:rPr>
            </w:pPr>
          </w:p>
        </w:tc>
        <w:tc>
          <w:tcPr>
            <w:tcW w:w="156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rPr>
              <w:t>Unobservable</w:t>
            </w:r>
          </w:p>
        </w:tc>
        <w:tc>
          <w:tcPr>
            <w:tcW w:w="100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2"/>
                <w:szCs w:val="12"/>
                <w:color w:val="auto"/>
              </w:rPr>
            </w:pPr>
          </w:p>
        </w:tc>
        <w:tc>
          <w:tcPr>
            <w:tcW w:w="11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rPr>
              <w:t>Inputs</w:t>
            </w:r>
          </w:p>
        </w:tc>
        <w:tc>
          <w:tcPr>
            <w:tcW w:w="200" w:type="dxa"/>
            <w:vAlign w:val="bottom"/>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Inputs</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(Level 3)</w:t>
            </w: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commercial paper borrowings</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March 31, 2025</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96"/>
              <w:spacing w:after="0"/>
              <w:rPr>
                <w:sz w:val="20"/>
                <w:szCs w:val="20"/>
                <w:color w:val="auto"/>
              </w:rPr>
            </w:pPr>
            <w:r>
              <w:rPr>
                <w:rFonts w:ascii="Arial" w:cs="Arial" w:eastAsia="Arial" w:hAnsi="Arial"/>
                <w:sz w:val="18"/>
                <w:szCs w:val="18"/>
                <w:b w:val="1"/>
                <w:bCs w:val="1"/>
                <w:color w:val="auto"/>
              </w:rPr>
              <w:t>2,488.9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8"/>
              <w:spacing w:after="0"/>
              <w:rPr>
                <w:sz w:val="20"/>
                <w:szCs w:val="20"/>
                <w:color w:val="auto"/>
              </w:rPr>
            </w:pPr>
            <w:r>
              <w:rPr>
                <w:rFonts w:ascii="Arial" w:cs="Arial" w:eastAsia="Arial" w:hAnsi="Arial"/>
                <w:sz w:val="18"/>
                <w:szCs w:val="18"/>
                <w:b w:val="1"/>
                <w:bCs w:val="1"/>
                <w:color w:val="auto"/>
              </w:rPr>
              <w:t>2,481.9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ind w:left="920"/>
              <w:spacing w:after="0"/>
              <w:rPr>
                <w:sz w:val="20"/>
                <w:szCs w:val="20"/>
                <w:color w:val="auto"/>
              </w:rPr>
            </w:pPr>
            <w:r>
              <w:rPr>
                <w:rFonts w:ascii="Arial" w:cs="Arial" w:eastAsia="Arial" w:hAnsi="Arial"/>
                <w:sz w:val="18"/>
                <w:szCs w:val="18"/>
                <w:b w:val="1"/>
                <w:bCs w:val="1"/>
                <w:color w:val="auto"/>
              </w:rPr>
              <w:t>—  $</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2,481.9</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2024</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4,337.6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4,319.4</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4,319.4</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March 31, 2025</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36,027.1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33,137.0</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33,137.0</w:t>
            </w:r>
          </w:p>
        </w:tc>
        <w:tc>
          <w:tcPr>
            <w:tcW w:w="0" w:type="dxa"/>
            <w:vAlign w:val="bottom"/>
          </w:tcPr>
          <w:p>
            <w:pPr>
              <w:spacing w:after="0"/>
              <w:rPr>
                <w:sz w:val="1"/>
                <w:szCs w:val="1"/>
                <w:color w:val="auto"/>
              </w:rPr>
            </w:pPr>
          </w:p>
        </w:tc>
      </w:tr>
      <w:tr>
        <w:trPr>
          <w:trHeight w:val="239"/>
        </w:trPr>
        <w:tc>
          <w:tcPr>
            <w:tcW w:w="3820" w:type="dxa"/>
            <w:vAlign w:val="bottom"/>
          </w:tcPr>
          <w:p>
            <w:pPr>
              <w:ind w:left="140"/>
              <w:spacing w:after="0"/>
              <w:rPr>
                <w:sz w:val="20"/>
                <w:szCs w:val="20"/>
                <w:color w:val="auto"/>
              </w:rPr>
            </w:pPr>
            <w:r>
              <w:rPr>
                <w:rFonts w:ascii="Arial" w:cs="Arial" w:eastAsia="Arial" w:hAnsi="Arial"/>
                <w:sz w:val="18"/>
                <w:szCs w:val="18"/>
                <w:color w:val="auto"/>
              </w:rPr>
              <w:t>December 31, 2024</w:t>
            </w:r>
          </w:p>
        </w:tc>
        <w:tc>
          <w:tcPr>
            <w:tcW w:w="760" w:type="dxa"/>
            <w:vAlign w:val="bottom"/>
          </w:tcPr>
          <w:p>
            <w:pPr>
              <w:spacing w:after="0"/>
              <w:rPr>
                <w:sz w:val="20"/>
                <w:szCs w:val="20"/>
                <w:color w:val="auto"/>
              </w:rPr>
            </w:pP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29,306.7</w:t>
            </w:r>
          </w:p>
        </w:tc>
        <w:tc>
          <w:tcPr>
            <w:tcW w:w="140" w:type="dxa"/>
            <w:vAlign w:val="bottom"/>
          </w:tcPr>
          <w:p>
            <w:pPr>
              <w:spacing w:after="0"/>
              <w:rPr>
                <w:sz w:val="20"/>
                <w:szCs w:val="20"/>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26,249.0</w:t>
            </w:r>
          </w:p>
        </w:tc>
        <w:tc>
          <w:tcPr>
            <w:tcW w:w="200" w:type="dxa"/>
            <w:vAlign w:val="bottom"/>
          </w:tcPr>
          <w:p>
            <w:pPr>
              <w:spacing w:after="0"/>
              <w:rPr>
                <w:sz w:val="20"/>
                <w:szCs w:val="20"/>
                <w:color w:val="auto"/>
              </w:rPr>
            </w:pPr>
          </w:p>
        </w:tc>
        <w:tc>
          <w:tcPr>
            <w:tcW w:w="15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26,249.0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Related Financial Instruments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our products account for a substantial portion of our trade receivables; collateral is generally not required. We seek to mitigate the risk associated with this concentration through our ongoing credit-review procedures and insurance. The majority of our cash is held by a few major financial institutions that have been identified as Global Systemically Important Banks (G-SIBs) by the Financial Stability Board. G-SIBs are subject to rigorous regulatory testing and oversight and must meet certain capital requirements.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based on credit rating of our counterparty. We are exposed to credit-related losses in the event of nonperformance by counterparties to risk-management instruments but do not expect significant counterparties to fail to meet their obligations given their investment grade credit ratings.</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We derecognized $410.8 million and $421.6 million of accounts receivable as of March 31, 2025 and December 31, 2024, respectively, under these factoring arrangements. The costs of factoring such accounts receivable as well as estimated credit losses were not material for the three months ended March 31, 2025 and 2024.</w:t>
      </w:r>
    </w:p>
    <w:p>
      <w:pPr>
        <w:spacing w:after="0" w:line="71"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ind w:right="40"/>
        <w:spacing w:after="0" w:line="255"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income (loss) (see Note 10)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income (loss) (see Note 10). Derivative contracts that are not designated as hedging instruments are recorded at fair value with the gain or loss recognized in earnings during the period of change.</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foreign currency exchange risk through the use of foreign currency debt, cross-currency interest rate swaps, and foreign currency forward contracts. Our foreign currency-denominated notes had carrying amounts of $6.26 billion and $6.03 billion as of March 31, 2025 and December 31, 2024, respectively, of which $ 5.54 billion and $5.34 billion have been designated as, and are effective as, hedges of net investments in certain of our foreign operations as of March 31, 2025 and December 31, 2024, respectively. At March 31, 2025, we had outstanding cross-currency interest rate swaps with notional amounts of $218.0 million swapping U.S. dollars to euro and 402.0 million Swiss francs swapping Swiss francs to U.S. dollars, with settlement dates ranging through 2028. Our cross-currency interest rate swaps have been designated as, and are effective as, net investment and cash flow hedges, respectively. At March 31, 2025, we had outstanding foreign currency forward contracts to sell 6.06 billion euro and to sell 4.20 billion Chinese yuan with settlement dates ranging through 2025, which have been designated as, and are effective as, hedges of net investments.</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may also enter into foreign currency forward or option contracts as economic hedges to manage exposures arising from subsidiary trade and loan payables and receivables denominated in foreign currencies (primarily the euro and Japanese yen). Foreign currency derivatives used for hedging are put in place using the same or like currencies and duration as the underlying exposures. These contracts are recorded at fair value with the gain or loss recognized in other–net, (income) expense. Forward contracts generally have maturities not exceeding 12 months. At March 31, 2025, our significant outstanding foreign currency forward commitments were as follows, all of which have settlement dates within 180 days: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 2025</w:t>
      </w:r>
    </w:p>
    <w:p>
      <w:pPr>
        <w:spacing w:after="0" w:line="35" w:lineRule="exact"/>
        <w:rPr>
          <w:sz w:val="20"/>
          <w:szCs w:val="20"/>
          <w:color w:val="auto"/>
        </w:rPr>
      </w:pPr>
    </w:p>
    <w:tbl>
      <w:tblPr>
        <w:tblLayout w:type="fixed"/>
        <w:tblInd w:w="2520" w:type="dxa"/>
        <w:tblCellMar>
          <w:top w:w="0" w:type="dxa"/>
          <w:left w:w="0" w:type="dxa"/>
          <w:bottom w:w="0" w:type="dxa"/>
          <w:right w:w="0" w:type="dxa"/>
        </w:tblCellMar>
      </w:tblPr>
      <w:tr>
        <w:trPr>
          <w:trHeight w:val="197"/>
        </w:trPr>
        <w:tc>
          <w:tcPr>
            <w:tcW w:w="112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1118"/>
              <w:spacing w:after="0"/>
              <w:rPr>
                <w:sz w:val="20"/>
                <w:szCs w:val="20"/>
                <w:color w:val="auto"/>
              </w:rPr>
            </w:pPr>
            <w:r>
              <w:rPr>
                <w:rFonts w:ascii="Arial" w:cs="Arial" w:eastAsia="Arial" w:hAnsi="Arial"/>
                <w:sz w:val="14"/>
                <w:szCs w:val="14"/>
                <w:b w:val="1"/>
                <w:bCs w:val="1"/>
                <w:color w:val="auto"/>
              </w:rPr>
              <w:t>Purchase</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1318"/>
              <w:spacing w:after="0"/>
              <w:rPr>
                <w:sz w:val="20"/>
                <w:szCs w:val="20"/>
                <w:color w:val="auto"/>
              </w:rPr>
            </w:pPr>
            <w:r>
              <w:rPr>
                <w:rFonts w:ascii="Arial" w:cs="Arial" w:eastAsia="Arial" w:hAnsi="Arial"/>
                <w:sz w:val="14"/>
                <w:szCs w:val="14"/>
                <w:b w:val="1"/>
                <w:bCs w:val="1"/>
                <w:color w:val="auto"/>
              </w:rPr>
              <w:t>Sell</w:t>
            </w:r>
          </w:p>
        </w:tc>
        <w:tc>
          <w:tcPr>
            <w:tcW w:w="0" w:type="dxa"/>
            <w:vAlign w:val="bottom"/>
          </w:tcPr>
          <w:p>
            <w:pPr>
              <w:spacing w:after="0"/>
              <w:rPr>
                <w:sz w:val="1"/>
                <w:szCs w:val="1"/>
                <w:color w:val="auto"/>
              </w:rPr>
            </w:pPr>
          </w:p>
        </w:tc>
      </w:tr>
      <w:tr>
        <w:trPr>
          <w:trHeight w:val="147"/>
        </w:trPr>
        <w:tc>
          <w:tcPr>
            <w:tcW w:w="1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Currency</w:t>
            </w:r>
          </w:p>
        </w:tc>
        <w:tc>
          <w:tcPr>
            <w:tcW w:w="2060" w:type="dxa"/>
            <w:vAlign w:val="bottom"/>
            <w:gridSpan w:val="2"/>
          </w:tcPr>
          <w:p>
            <w:pPr>
              <w:jc w:val="center"/>
              <w:ind w:left="118"/>
              <w:spacing w:after="0" w:line="147" w:lineRule="exact"/>
              <w:rPr>
                <w:sz w:val="20"/>
                <w:szCs w:val="20"/>
                <w:color w:val="auto"/>
              </w:rPr>
            </w:pPr>
            <w:r>
              <w:rPr>
                <w:rFonts w:ascii="Arial" w:cs="Arial" w:eastAsia="Arial" w:hAnsi="Arial"/>
                <w:sz w:val="14"/>
                <w:szCs w:val="14"/>
                <w:b w:val="1"/>
                <w:bCs w:val="1"/>
                <w:color w:val="auto"/>
              </w:rPr>
              <w:t>Amount</w:t>
            </w:r>
          </w:p>
        </w:tc>
        <w:tc>
          <w:tcPr>
            <w:tcW w:w="12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Currency</w:t>
            </w:r>
          </w:p>
        </w:tc>
        <w:tc>
          <w:tcPr>
            <w:tcW w:w="1780" w:type="dxa"/>
            <w:vAlign w:val="bottom"/>
          </w:tcPr>
          <w:p>
            <w:pPr>
              <w:jc w:val="right"/>
              <w:ind w:right="418"/>
              <w:spacing w:after="0" w:line="147"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112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gridSpan w:val="2"/>
          </w:tcPr>
          <w:p>
            <w:pPr>
              <w:jc w:val="center"/>
              <w:ind w:left="138"/>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9,202.4</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U.S. dollars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10,024.4</w:t>
            </w: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sz w:val="20"/>
                <w:szCs w:val="20"/>
                <w:color w:val="auto"/>
              </w:rPr>
            </w:pPr>
            <w:r>
              <w:rPr>
                <w:rFonts w:ascii="Arial" w:cs="Arial" w:eastAsia="Arial" w:hAnsi="Arial"/>
                <w:sz w:val="18"/>
                <w:szCs w:val="18"/>
                <w:color w:val="auto"/>
              </w:rPr>
              <w:t>U.S. dollars</w:t>
            </w:r>
          </w:p>
        </w:tc>
        <w:tc>
          <w:tcPr>
            <w:tcW w:w="1900" w:type="dxa"/>
            <w:vAlign w:val="bottom"/>
          </w:tcPr>
          <w:p>
            <w:pPr>
              <w:jc w:val="right"/>
              <w:spacing w:after="0"/>
              <w:rPr>
                <w:sz w:val="20"/>
                <w:szCs w:val="20"/>
                <w:color w:val="auto"/>
              </w:rPr>
            </w:pPr>
            <w:r>
              <w:rPr>
                <w:rFonts w:ascii="Arial" w:cs="Arial" w:eastAsia="Arial" w:hAnsi="Arial"/>
                <w:sz w:val="18"/>
                <w:szCs w:val="18"/>
                <w:color w:val="auto"/>
              </w:rPr>
              <w:t>7,183.1</w:t>
            </w:r>
          </w:p>
        </w:tc>
        <w:tc>
          <w:tcPr>
            <w:tcW w:w="16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Euro</w:t>
            </w:r>
          </w:p>
        </w:tc>
        <w:tc>
          <w:tcPr>
            <w:tcW w:w="1780" w:type="dxa"/>
            <w:vAlign w:val="bottom"/>
          </w:tcPr>
          <w:p>
            <w:pPr>
              <w:jc w:val="right"/>
              <w:spacing w:after="0"/>
              <w:rPr>
                <w:sz w:val="20"/>
                <w:szCs w:val="20"/>
                <w:color w:val="auto"/>
              </w:rPr>
            </w:pPr>
            <w:r>
              <w:rPr>
                <w:rFonts w:ascii="Arial" w:cs="Arial" w:eastAsia="Arial" w:hAnsi="Arial"/>
                <w:sz w:val="18"/>
                <w:szCs w:val="18"/>
                <w:color w:val="auto"/>
              </w:rPr>
              <w:t>6,588.9</w:t>
            </w: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British pounds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39"/>
        </w:trPr>
        <w:tc>
          <w:tcPr>
            <w:tcW w:w="1120" w:type="dxa"/>
            <w:vAlign w:val="bottom"/>
          </w:tcPr>
          <w:p>
            <w:pPr>
              <w:ind w:left="20"/>
              <w:spacing w:after="0"/>
              <w:rPr>
                <w:sz w:val="20"/>
                <w:szCs w:val="20"/>
                <w:color w:val="auto"/>
              </w:rPr>
            </w:pPr>
            <w:r>
              <w:rPr>
                <w:rFonts w:ascii="Arial" w:cs="Arial" w:eastAsia="Arial" w:hAnsi="Arial"/>
                <w:sz w:val="18"/>
                <w:szCs w:val="18"/>
                <w:color w:val="auto"/>
              </w:rPr>
              <w:t>U.S. dollars</w:t>
            </w:r>
          </w:p>
        </w:tc>
        <w:tc>
          <w:tcPr>
            <w:tcW w:w="1900" w:type="dxa"/>
            <w:vAlign w:val="bottom"/>
          </w:tcPr>
          <w:p>
            <w:pPr>
              <w:jc w:val="right"/>
              <w:spacing w:after="0"/>
              <w:rPr>
                <w:sz w:val="20"/>
                <w:szCs w:val="20"/>
                <w:color w:val="auto"/>
              </w:rPr>
            </w:pPr>
            <w:r>
              <w:rPr>
                <w:rFonts w:ascii="Arial" w:cs="Arial" w:eastAsia="Arial" w:hAnsi="Arial"/>
                <w:sz w:val="18"/>
                <w:szCs w:val="18"/>
                <w:color w:val="auto"/>
              </w:rPr>
              <w:t>322.0</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Japanese yen</w:t>
            </w:r>
          </w:p>
        </w:tc>
        <w:tc>
          <w:tcPr>
            <w:tcW w:w="1780" w:type="dxa"/>
            <w:vAlign w:val="bottom"/>
          </w:tcPr>
          <w:p>
            <w:pPr>
              <w:jc w:val="right"/>
              <w:spacing w:after="0"/>
              <w:rPr>
                <w:sz w:val="20"/>
                <w:szCs w:val="20"/>
                <w:color w:val="auto"/>
              </w:rPr>
            </w:pPr>
            <w:r>
              <w:rPr>
                <w:rFonts w:ascii="Arial" w:cs="Arial" w:eastAsia="Arial" w:hAnsi="Arial"/>
                <w:sz w:val="18"/>
                <w:szCs w:val="18"/>
                <w:color w:val="auto"/>
              </w:rPr>
              <w:t>48,107.6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March 31, 2025, all of our total long-term debt is at a fixed rate. We have converted approximately 5 percent of our long-term fixed-rate notes to floating rates through the use of interest rate swaps.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9" w:name="page20"/>
    <w:bookmarkEnd w:id="19"/>
    <w:p>
      <w:pPr>
        <w:ind w:right="120"/>
        <w:spacing w:after="0" w:line="259" w:lineRule="auto"/>
        <w:rPr>
          <w:sz w:val="20"/>
          <w:szCs w:val="20"/>
          <w:color w:val="auto"/>
        </w:rPr>
      </w:pPr>
      <w:r>
        <w:rPr>
          <w:rFonts w:ascii="Arial" w:cs="Arial" w:eastAsia="Arial" w:hAnsi="Arial"/>
          <w:sz w:val="18"/>
          <w:szCs w:val="18"/>
          <w:color w:val="auto"/>
        </w:rPr>
        <w:t>We also may enter into forward-starting interest rate swaps and treasury locks,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(see Note 10) and, upon completion of a debt issuance and termination of the instrument, is amortized to interest expense over the life of the underlying debt. Cash proceeds or payments from the termination of these instruments are classified as operating activities in our consolidated condensed statements of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Effect of Risk-Management Instruments on the Consolidated Condensed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Pr>
          <w:p>
            <w:pPr>
              <w:spacing w:after="0"/>
              <w:rPr>
                <w:sz w:val="17"/>
                <w:szCs w:val="17"/>
                <w:color w:val="auto"/>
              </w:rPr>
            </w:pPr>
          </w:p>
        </w:tc>
        <w:tc>
          <w:tcPr>
            <w:tcW w:w="352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1360" w:type="dxa"/>
            <w:vAlign w:val="bottom"/>
          </w:tcPr>
          <w:p>
            <w:pPr>
              <w:jc w:val="right"/>
              <w:ind w:right="1159"/>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39.6</w:t>
            </w:r>
          </w:p>
        </w:tc>
        <w:tc>
          <w:tcPr>
            <w:tcW w:w="1440" w:type="dxa"/>
            <w:vAlign w:val="bottom"/>
          </w:tcPr>
          <w:p>
            <w:pPr>
              <w:jc w:val="right"/>
              <w:ind w:right="115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from interest rate contracts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w:t>
            </w: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13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w:t>
            </w:r>
          </w:p>
        </w:tc>
        <w:tc>
          <w:tcPr>
            <w:tcW w:w="14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36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180"/>
              <w:spacing w:after="0"/>
              <w:rPr>
                <w:sz w:val="20"/>
                <w:szCs w:val="20"/>
                <w:color w:val="auto"/>
              </w:rPr>
            </w:pPr>
            <w:r>
              <w:rPr>
                <w:rFonts w:ascii="Arial" w:cs="Arial" w:eastAsia="Arial" w:hAnsi="Arial"/>
                <w:sz w:val="18"/>
                <w:szCs w:val="18"/>
                <w:color w:val="auto"/>
              </w:rPr>
              <w:t>Cross-currency interest rate swaps</w:t>
            </w:r>
          </w:p>
        </w:tc>
        <w:tc>
          <w:tcPr>
            <w:tcW w:w="1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176"/>
        </w:trPr>
        <w:tc>
          <w:tcPr>
            <w:tcW w:w="7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losses on foreign currency exchange contracts not designated as hedging</w:t>
            </w:r>
          </w:p>
        </w:tc>
        <w:tc>
          <w:tcPr>
            <w:tcW w:w="13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12.5</w:t>
            </w:r>
          </w:p>
        </w:tc>
        <w:tc>
          <w:tcPr>
            <w:tcW w:w="14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3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vMerge w:val="continue"/>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1159"/>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2.2</w:t>
            </w:r>
          </w:p>
        </w:tc>
        <w:tc>
          <w:tcPr>
            <w:tcW w:w="1440" w:type="dxa"/>
            <w:vAlign w:val="bottom"/>
            <w:tcBorders>
              <w:bottom w:val="single" w:sz="8" w:color="auto"/>
            </w:tcBorders>
          </w:tcPr>
          <w:p>
            <w:pPr>
              <w:jc w:val="right"/>
              <w:ind w:right="115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During the three months ended March 31, 2025 and 2024, the amortization of losses related to the portion of our risk management hedging instruments, fair value hedges, and cash flow hedges that was excluded from the assessment of effectiveness was not material.</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352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7"/>
                <w:szCs w:val="17"/>
                <w:color w:val="auto"/>
              </w:rPr>
            </w:pPr>
          </w:p>
        </w:tc>
      </w:tr>
      <w:tr>
        <w:trPr>
          <w:trHeight w:val="196"/>
        </w:trPr>
        <w:tc>
          <w:tcPr>
            <w:tcW w:w="70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7"/>
                <w:szCs w:val="17"/>
                <w:color w:val="auto"/>
              </w:rPr>
            </w:pP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hedges:</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Foreign currency-denominated notes</w:t>
            </w:r>
          </w:p>
        </w:tc>
        <w:tc>
          <w:tcPr>
            <w:tcW w:w="1320" w:type="dxa"/>
            <w:vAlign w:val="bottom"/>
          </w:tcPr>
          <w:p>
            <w:pPr>
              <w:jc w:val="right"/>
              <w:ind w:right="1122"/>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(203.5)</w:t>
            </w:r>
          </w:p>
        </w:tc>
        <w:tc>
          <w:tcPr>
            <w:tcW w:w="1420" w:type="dxa"/>
            <w:vAlign w:val="bottom"/>
          </w:tcPr>
          <w:p>
            <w:pPr>
              <w:jc w:val="right"/>
              <w:ind w:right="113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Cross-currency interest rate swaps</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(327.3)</w:t>
            </w: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Forward-starting interest rate swaps</w:t>
            </w: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Cross-currency interest rate swaps</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bl>
    <w:p>
      <w:pPr>
        <w:spacing w:after="0" w:line="17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During the three months ended March 31, 2025 and 2024, the amounts excluded from the assessment of hedge effectiveness recognized in other comprehensive income (loss) were not material. As of March 31, 2025, the amount of pre-tax gains or losses on cash flow hedges expected to be reclassified from accumulated other comprehensive income (loss) to other–net, (income) expense during the next 12 months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auto"/>
        </w:rPr>
        <w:t>Fair Value of Risk-Management Instruments</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following table summarizes certain fair value information at March 31, 2025 and December 31, 2024 for risk management assets and liabilities measured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140" w:type="dxa"/>
            <w:vAlign w:val="bottom"/>
          </w:tcPr>
          <w:p>
            <w:pPr>
              <w:jc w:val="center"/>
              <w:ind w:right="160"/>
              <w:spacing w:after="0" w:line="147"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18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Active Markets for</w:t>
            </w:r>
          </w:p>
        </w:tc>
        <w:tc>
          <w:tcPr>
            <w:tcW w:w="14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18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2"/>
                <w:szCs w:val="12"/>
                <w:color w:val="auto"/>
              </w:rPr>
            </w:pPr>
          </w:p>
        </w:tc>
        <w:tc>
          <w:tcPr>
            <w:tcW w:w="102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Identical Assets</w:t>
            </w:r>
          </w:p>
        </w:tc>
        <w:tc>
          <w:tcPr>
            <w:tcW w:w="26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Inputs</w:t>
            </w:r>
          </w:p>
        </w:tc>
        <w:tc>
          <w:tcPr>
            <w:tcW w:w="4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2025</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8.9</w:t>
            </w:r>
          </w:p>
        </w:tc>
        <w:tc>
          <w:tcPr>
            <w:tcW w:w="220" w:type="dxa"/>
            <w:vAlign w:val="bottom"/>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8.9</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(85.0)</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(85.0)</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(85.0)</w:t>
            </w: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investment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1.1</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1.1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flow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55.7</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55.7</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55.7</w:t>
            </w: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Foreign exchange contracts designated as net</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26.0</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26.0</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26.0</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(142.8)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(142.8)</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(142.8)</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not designated as hedging</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76.3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76.3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76.3</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(92.0)</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(92.0)</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(92.0)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(30.3)</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(30.3)</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w:t>
            </w: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(117.8)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net investment hedges: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50.7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50.7</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designated as hedging</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297.0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297.0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not designated as hedging</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39.5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39.5</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5"/>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(93.4)</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(93.4)</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(32.3)</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(32.3)</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0" w:right="399" w:bottom="1440" w:gutter="0" w:footer="0" w:header="0"/>
        </w:sectPr>
      </w:pPr>
    </w:p>
    <w:bookmarkStart w:id="21" w:name="page22"/>
    <w:bookmarkEnd w:id="21"/>
    <w:p>
      <w:pPr>
        <w:ind w:right="140"/>
        <w:spacing w:after="0" w:line="262"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Contingent consideration liabilities relate to our liabilities arising in connection with the contingent value rights (CVRs) issued as a result of acquisitions of businesses. The fair values of the CVR liabilities were estimated using a discounted cash flow analysis and Level 3 inputs,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1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effective tax rate was 20.2 percent for the three months ended March 31, 2025 compared to 11.6 percent for the three months ended March 31, 2024, primarily driven by the unfavorable tax impact of a non-deductible acquired IPR&amp;D charge in 2025. The 2025 and 2024 effective tax rates were impacted by net discrete tax benefits in each period.</w:t>
      </w:r>
    </w:p>
    <w:p>
      <w:pPr>
        <w:spacing w:after="0" w:line="63"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U.S. examination of tax years 2019-2021 remains ongoing. For tax years 2016-2018, we are pursuing competent authority assistance through the Mutual Agreement Procedure process for the pricing of certain intercompany transactions. The resolution of both audit periods will likely extend beyond the next 12 months.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Retirement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cost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3500" w:type="dxa"/>
            <w:vAlign w:val="bottom"/>
            <w:tcBorders>
              <w:bottom w:val="single" w:sz="8" w:color="auto"/>
            </w:tcBorders>
            <w:gridSpan w:val="3"/>
          </w:tcPr>
          <w:p>
            <w:pPr>
              <w:jc w:val="center"/>
              <w:ind w:left="661"/>
              <w:spacing w:after="0"/>
              <w:rPr>
                <w:sz w:val="20"/>
                <w:szCs w:val="20"/>
                <w:color w:val="auto"/>
              </w:rPr>
            </w:pPr>
            <w:r>
              <w:rPr>
                <w:rFonts w:ascii="Arial" w:cs="Arial" w:eastAsia="Arial" w:hAnsi="Arial"/>
                <w:sz w:val="14"/>
                <w:szCs w:val="14"/>
                <w:b w:val="1"/>
                <w:bCs w:val="1"/>
                <w:color w:val="auto"/>
              </w:rPr>
              <w:t>Defined Benefit Pension Plans</w:t>
            </w:r>
          </w:p>
        </w:tc>
        <w:tc>
          <w:tcPr>
            <w:tcW w:w="720" w:type="dxa"/>
            <w:vAlign w:val="bottom"/>
            <w:tcBorders>
              <w:bottom w:val="single" w:sz="8" w:color="auto"/>
            </w:tcBorders>
          </w:tcPr>
          <w:p>
            <w:pPr>
              <w:spacing w:after="0"/>
              <w:rPr>
                <w:sz w:val="17"/>
                <w:szCs w:val="17"/>
                <w:color w:val="auto"/>
              </w:rPr>
            </w:pPr>
          </w:p>
        </w:tc>
      </w:tr>
      <w:tr>
        <w:trPr>
          <w:trHeight w:val="196"/>
        </w:trPr>
        <w:tc>
          <w:tcPr>
            <w:tcW w:w="7020" w:type="dxa"/>
            <w:vAlign w:val="bottom"/>
          </w:tcPr>
          <w:p>
            <w:pPr>
              <w:spacing w:after="0"/>
              <w:rPr>
                <w:sz w:val="17"/>
                <w:szCs w:val="17"/>
                <w:color w:val="auto"/>
              </w:rPr>
            </w:pPr>
          </w:p>
        </w:tc>
        <w:tc>
          <w:tcPr>
            <w:tcW w:w="3500" w:type="dxa"/>
            <w:vAlign w:val="bottom"/>
            <w:tcBorders>
              <w:bottom w:val="single" w:sz="8" w:color="auto"/>
            </w:tcBorders>
            <w:gridSpan w:val="3"/>
          </w:tcPr>
          <w:p>
            <w:pPr>
              <w:jc w:val="center"/>
              <w:ind w:left="661"/>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r>
      <w:tr>
        <w:trPr>
          <w:trHeight w:val="209"/>
        </w:trPr>
        <w:tc>
          <w:tcPr>
            <w:tcW w:w="70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8"/>
                <w:szCs w:val="18"/>
                <w:color w:val="auto"/>
              </w:rPr>
            </w:pP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cost:</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320" w:type="dxa"/>
            <w:vAlign w:val="bottom"/>
          </w:tcPr>
          <w:p>
            <w:pPr>
              <w:jc w:val="right"/>
              <w:ind w:right="112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83.7</w:t>
            </w:r>
          </w:p>
        </w:tc>
        <w:tc>
          <w:tcPr>
            <w:tcW w:w="1400" w:type="dxa"/>
            <w:vAlign w:val="bottom"/>
          </w:tcPr>
          <w:p>
            <w:pPr>
              <w:jc w:val="right"/>
              <w:ind w:right="111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172.8</w:t>
            </w: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(269.5)</w:t>
            </w:r>
          </w:p>
        </w:tc>
        <w:tc>
          <w:tcPr>
            <w:tcW w:w="1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(277.6)</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0.5</w:t>
            </w: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20.9</w:t>
            </w:r>
          </w:p>
        </w:tc>
        <w:tc>
          <w:tcPr>
            <w:tcW w:w="1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cost</w:t>
            </w:r>
          </w:p>
        </w:tc>
        <w:tc>
          <w:tcPr>
            <w:tcW w:w="1320" w:type="dxa"/>
            <w:vAlign w:val="bottom"/>
            <w:tcBorders>
              <w:bottom w:val="single" w:sz="8" w:color="auto"/>
            </w:tcBorders>
            <w:shd w:val="clear" w:color="auto" w:fill="CCEEFF"/>
          </w:tcPr>
          <w:p>
            <w:pPr>
              <w:jc w:val="right"/>
              <w:ind w:right="112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8.4</w:t>
            </w:r>
          </w:p>
        </w:tc>
        <w:tc>
          <w:tcPr>
            <w:tcW w:w="140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431"/>
        </w:trPr>
        <w:tc>
          <w:tcPr>
            <w:tcW w:w="7020" w:type="dxa"/>
            <w:vAlign w:val="bottom"/>
          </w:tcPr>
          <w:p>
            <w:pPr>
              <w:spacing w:after="0"/>
              <w:rPr>
                <w:sz w:val="24"/>
                <w:szCs w:val="24"/>
                <w:color w:val="auto"/>
              </w:rPr>
            </w:pPr>
          </w:p>
        </w:tc>
        <w:tc>
          <w:tcPr>
            <w:tcW w:w="3500" w:type="dxa"/>
            <w:vAlign w:val="bottom"/>
            <w:tcBorders>
              <w:bottom w:val="single" w:sz="8" w:color="auto"/>
            </w:tcBorders>
            <w:gridSpan w:val="3"/>
          </w:tcPr>
          <w:p>
            <w:pPr>
              <w:jc w:val="center"/>
              <w:ind w:left="661"/>
              <w:spacing w:after="0"/>
              <w:rPr>
                <w:sz w:val="20"/>
                <w:szCs w:val="20"/>
                <w:color w:val="auto"/>
              </w:rPr>
            </w:pPr>
            <w:r>
              <w:rPr>
                <w:rFonts w:ascii="Arial" w:cs="Arial" w:eastAsia="Arial" w:hAnsi="Arial"/>
                <w:sz w:val="14"/>
                <w:szCs w:val="14"/>
                <w:b w:val="1"/>
                <w:bCs w:val="1"/>
                <w:color w:val="auto"/>
              </w:rPr>
              <w:t>Retiree Health Benefit Plans</w:t>
            </w:r>
          </w:p>
        </w:tc>
        <w:tc>
          <w:tcPr>
            <w:tcW w:w="720" w:type="dxa"/>
            <w:vAlign w:val="bottom"/>
            <w:tcBorders>
              <w:bottom w:val="single" w:sz="8" w:color="auto"/>
            </w:tcBorders>
          </w:tcPr>
          <w:p>
            <w:pPr>
              <w:spacing w:after="0"/>
              <w:rPr>
                <w:sz w:val="24"/>
                <w:szCs w:val="24"/>
                <w:color w:val="auto"/>
              </w:rPr>
            </w:pPr>
          </w:p>
        </w:tc>
      </w:tr>
      <w:tr>
        <w:trPr>
          <w:trHeight w:val="196"/>
        </w:trPr>
        <w:tc>
          <w:tcPr>
            <w:tcW w:w="7020" w:type="dxa"/>
            <w:vAlign w:val="bottom"/>
          </w:tcPr>
          <w:p>
            <w:pPr>
              <w:spacing w:after="0"/>
              <w:rPr>
                <w:sz w:val="17"/>
                <w:szCs w:val="17"/>
                <w:color w:val="auto"/>
              </w:rPr>
            </w:pPr>
          </w:p>
        </w:tc>
        <w:tc>
          <w:tcPr>
            <w:tcW w:w="3500" w:type="dxa"/>
            <w:vAlign w:val="bottom"/>
            <w:tcBorders>
              <w:bottom w:val="single" w:sz="8" w:color="auto"/>
            </w:tcBorders>
            <w:gridSpan w:val="3"/>
          </w:tcPr>
          <w:p>
            <w:pPr>
              <w:jc w:val="center"/>
              <w:ind w:left="661"/>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r>
      <w:tr>
        <w:trPr>
          <w:trHeight w:val="210"/>
        </w:trPr>
        <w:tc>
          <w:tcPr>
            <w:tcW w:w="70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8"/>
                <w:szCs w:val="18"/>
                <w:color w:val="auto"/>
              </w:rPr>
            </w:pP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320" w:type="dxa"/>
            <w:vAlign w:val="bottom"/>
          </w:tcPr>
          <w:p>
            <w:pPr>
              <w:jc w:val="right"/>
              <w:ind w:right="112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8.3</w:t>
            </w:r>
          </w:p>
        </w:tc>
        <w:tc>
          <w:tcPr>
            <w:tcW w:w="1400" w:type="dxa"/>
            <w:vAlign w:val="bottom"/>
          </w:tcPr>
          <w:p>
            <w:pPr>
              <w:jc w:val="right"/>
              <w:ind w:right="111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15.8</w:t>
            </w: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(46.2)</w:t>
            </w:r>
          </w:p>
        </w:tc>
        <w:tc>
          <w:tcPr>
            <w:tcW w:w="1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benefit</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gain</w:t>
            </w: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1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w:t>
            </w:r>
          </w:p>
        </w:tc>
        <w:tc>
          <w:tcPr>
            <w:tcW w:w="1320" w:type="dxa"/>
            <w:vAlign w:val="bottom"/>
            <w:tcBorders>
              <w:bottom w:val="single" w:sz="8" w:color="auto"/>
            </w:tcBorders>
            <w:shd w:val="clear" w:color="auto" w:fill="CCEEFF"/>
          </w:tcPr>
          <w:p>
            <w:pPr>
              <w:jc w:val="right"/>
              <w:ind w:right="112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40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9: Contingencies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and may become involved in various lawsuits, claims, government investigations and other legal proceedings that arise from time to time in the course of our business, including patent, environmental, commercial, contractual, licensing, employment, health and safety, consumer fraud, pricing, access, consumer, sales and marketing, product liability, insurance, antitrust, securities, and regulatory compliance matters, among others. Such matters may involve inquiries from or disputes with various types of parties, including governments, regulatory agencies, competitors, customers, suppliers, service providers, licensees, employees, or shareholders, among others. We cannot predict the final outcome of these proceedings, and while we intend to vigorously prosecute or defend our position as appropriate, there can be no assurance that we will be successful or obtain any requested relief. Matters often develop over a long period of time and expectations can change as a result of new findings, rulings, appeals, settlements, legal or regulatory changes, or other factors. From time to time we may discontinue or settle and compromise matters as appropriate in our best interest.</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Legal proceedings that we believe are significant or could become significant or material are described below. For proceedings in which we are named as defendants, unless otherwise noted, we cannot reasonably estimate the maximum potential exposure or the range of possible loss in excess of amounts accrued;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Litigation accruals and environmental liabilities and any related estimated insurance recoverables are reflected on a gross basis as liabilities and assets, respectively, on our consolidated balance sheets. We accrue for estimated exposures to the extent they are both probable and reasonably estimable based on the then available information. We accrue for certain unfiled product liability claims to the extent we can formulate a reasonable estimate of their exposure. We estimate these exposures based primarily on historical claims experience and data regarding product usage. Legal defense costs expected to be incurred in connection with significant liability loss contingencies are accrued when both probable and reasonably estimable.</w:t>
      </w:r>
    </w:p>
    <w:p>
      <w:pPr>
        <w:spacing w:after="0" w:line="7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litigation liability insurance, we are self-insured for litigation liability losses for all our currently and previously marketed products.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2018, Teva Pharmaceuticals International GmbH and Teva Pharmaceuticals USA, Inc. (collectively, Teva) filed a complaint in the U.S. District Court for the District of Massachusetts alleging that Lilly's launch and continued sales of Emgality infringed various claims in three Teva patents. In November 2022, following a trial, a jury returned a verdict in favor of Teva. In September 2023, the trial court overruled the jury verdict, found all asserted claims invalid, and entered judgment in Lilly's favor. In October 2023, Teva appealed to the U.S. Court of Appeals for the Federal Circuit. The appeal is pending.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Superfund Matters</w:t>
      </w:r>
    </w:p>
    <w:p>
      <w:pPr>
        <w:spacing w:after="0" w:line="11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March 2008, the state Labor Public Attorney (LPA) filed a public civil action against Eli Lilly do Brasil Limitada (Lilly Brasil) in the Labor Court of Paulinia, State of Sao Paulo, alleging harm to employees and former employees from alleged exposure to soil and groundwater contaminants at a former manufacturing facility in Cosmopolis, operated by the company between 1977 and 2003. In May 2014, the trial court ruled against Lilly Brasil, ordering it to undertake several remedial and compensatory actions, including health coverage for a class of individuals and certain of their children. The trial court's ruling included a liquidated award of 300 million Brazilian reais, which, when adjusted for inflation, is approximately 1.44 billion Brazilian reais (approximately $251 million as of March 31, 2025). In July 2018, the appeals court generally affirmed the trial court's ruling. Lilly Brasil has appealed to the superior labor court (TST).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3" w:name="page24"/>
    <w:bookmarkEnd w:id="23"/>
    <w:p>
      <w:pPr>
        <w:ind w:right="240"/>
        <w:spacing w:after="0" w:line="268" w:lineRule="auto"/>
        <w:rPr>
          <w:sz w:val="20"/>
          <w:szCs w:val="20"/>
          <w:color w:val="auto"/>
        </w:rPr>
      </w:pPr>
      <w:r>
        <w:rPr>
          <w:rFonts w:ascii="Arial" w:cs="Arial" w:eastAsia="Arial" w:hAnsi="Arial"/>
          <w:sz w:val="18"/>
          <w:szCs w:val="18"/>
          <w:color w:val="auto"/>
        </w:rPr>
        <w:t>In July 2019, at the LPA's request, the trial court ordered a freeze of Lilly Brasil’s immovable property in the amount of 500 million Brazilian reais, which was reduced on Lilly's appeal and, when adjusted for inflation, is approximately 149 million Brazilian reais (approximately $26 million as of March 31, 2025). Both parties have appealed this order to the TST.</w:t>
      </w:r>
    </w:p>
    <w:p>
      <w:pPr>
        <w:spacing w:after="0" w:line="6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trial court is currently assessing the status of Lilly Brasil's compliance with the obligations as to the land, and an inspection in the industrial plant occurred in October 2023.</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Employee Litigation</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Various former employees have filed related claims against Lilly Brasil in the trial court. These lawsuits are at various stages in the litigation process.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2021, we filed a lawsuit in the U.S. District Court for the Southern District of Indiana against the U.S. Department of Health and Human Services (HHS), the Secretary of HHS, the Health Resources and Services Administration (HRSA), and the Administrator of HRSA. The lawsuit challenges HHS's December 2020 advisory opinion that the 340B program requires drug manufacturers to deliver discounts to all contract pharmacies, as well as HHS's December 2020 administrative dispute resolution (ADR) regulations. It seeks a declaratory judgment that the defendants violated the Administrative Procedure Act (APA) and the U.S. Constitution, a preliminary injunction enjoining implementation of the ADR process and application of the advisory opinion, and other related relief. In March 2021, the court preliminarily enjoined the government's use of the ADR process as to us. In May 2021, we amended the complaint to add claims related to a May 2021 letter from HRSA asserting that Lilly's contract pharmacy policy violated the 340B statute. In October 2021, the court granted in part and denied in part the parties' cross-motions for summary judgment. Both parties appealed to the U.S. Court of Appeals for the Seventh Circuit. The appeal remains pending.</w:t>
      </w:r>
    </w:p>
    <w:p>
      <w:pPr>
        <w:spacing w:after="0" w:line="7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received a civil investigative subpoena in February 2021 from the Office of the Attorney General for the State of Vermont relating to the sale of pharmaceutical products to Vermont covered entities under the 340B program. We are cooperating with the subpoena.</w:t>
      </w:r>
    </w:p>
    <w:p>
      <w:pPr>
        <w:spacing w:after="0" w:line="45"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We have been named in various ADR petitions, filed in 2021, 2023, and 2024, seeking declaratory, injunctive, and/or monetary relief related to the 340B program. In light of the preliminary injunction order described above, these petitions are being held in abeyance as to us.</w:t>
      </w:r>
    </w:p>
    <w:p>
      <w:pPr>
        <w:spacing w:after="0" w:line="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July 2021, Mosaic Health, Inc. filed a putative class action lawsuit in the U.S. District Court for the Western District of New York against us, Sanofi-Aventis U.S., LLC (Sanofi), Novo Nordisk Inc. (Novo Nordisk), and AstraZeneca Pharmaceuticals LP (AstraZeneca), alleging antitrust and unjust enrichment claims related to the defendants' 340B programs. In October 2021, an amended complaint added Central Virginia Health Services, Inc. as a plaintiff. In September 2022, the court dismissed the amended complaint for failure to state a claim but allowed the plaintiffs to move for leave to file a second amended complaint. In January 2024, the court denied the plaintiffs' motion for leave to amend and dismissed the case. In February 2024, the plaintiffs appealed to the U.S. Court of Appeals for the Second Circuit. The appeal remains pending.</w:t>
      </w:r>
    </w:p>
    <w:p>
      <w:pPr>
        <w:spacing w:after="0" w:line="75" w:lineRule="exact"/>
        <w:rPr>
          <w:sz w:val="20"/>
          <w:szCs w:val="20"/>
          <w:color w:val="auto"/>
        </w:rPr>
      </w:pPr>
    </w:p>
    <w:p>
      <w:pPr>
        <w:ind w:right="880"/>
        <w:spacing w:after="0" w:line="375" w:lineRule="auto"/>
        <w:rPr>
          <w:sz w:val="20"/>
          <w:szCs w:val="20"/>
          <w:color w:val="auto"/>
        </w:rPr>
      </w:pPr>
      <w:r>
        <w:rPr>
          <w:rFonts w:ascii="Arial" w:cs="Arial" w:eastAsia="Arial" w:hAnsi="Arial"/>
          <w:sz w:val="18"/>
          <w:szCs w:val="18"/>
          <w:color w:val="auto"/>
        </w:rPr>
        <w:t xml:space="preserve">We have multiple other challenges against HHS and related parties related to interpretations and actions under the 340B program. </w:t>
      </w:r>
      <w:r>
        <w:rPr>
          <w:rFonts w:ascii="Arial" w:cs="Arial" w:eastAsia="Arial" w:hAnsi="Arial"/>
          <w:sz w:val="18"/>
          <w:szCs w:val="18"/>
          <w:i w:val="1"/>
          <w:iCs w:val="1"/>
          <w:u w:val="single" w:color="auto"/>
          <w:color w:val="auto"/>
        </w:rPr>
        <w:t>Insulin Pricing Litigation</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Since 2017, various plaintiffs, including consumers, states and state attorneys general, counties, municipalities, Native American tribes, school districts, wholesalers, third-party payers, and others, have filed lawsuits, including putative class actions, against us, other manufacturers, pharmacy benefit managers, and others, relating to the pricing of insulin medications, and in some cases other diabetes medications, and rebates paid by manufacturers to pharmacy benefit managers. The complaints in the various lawsuits assert a variety of claims, including among others consumer protection, unfair or deceptive trade practices, fraud, false advertising, unjust enrichment, civil conspiracy, racketeering, antitrust, and unfair competition claims. Most cases have been coordinated or consolidated for pretrial proceedings in a multidistrict litigation (MDL) pending in the U.S. District Court for the District of New Jersey. The lawsuits are at various stages in the litigation process.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4" w:name="page25"/>
    <w:bookmarkEnd w:id="24"/>
    <w:p>
      <w:pPr>
        <w:ind w:right="180"/>
        <w:spacing w:after="0" w:line="259" w:lineRule="auto"/>
        <w:rPr>
          <w:sz w:val="20"/>
          <w:szCs w:val="20"/>
          <w:color w:val="auto"/>
        </w:rPr>
      </w:pPr>
      <w:r>
        <w:rPr>
          <w:rFonts w:ascii="Arial" w:cs="Arial" w:eastAsia="Arial" w:hAnsi="Arial"/>
          <w:sz w:val="18"/>
          <w:szCs w:val="18"/>
          <w:color w:val="auto"/>
        </w:rPr>
        <w:t>In the first-filed case, a putative consumer class action, we and the plaintiffs reached a proposed settlement in May 2023. In January 2024, the court denied the plaintiffs' motion for class certification. We and the plaintiffs subsequently terminated our proposed settlement and stipulated that the court's ruling denying class certification applied to Lilly. The MDL court has issued various case management orders, including but not limited to orders establishing separate tracks for state attorney general claims (State AG Track), putative class actions (Class Action Track), and non-class suits by self-funded payers (Self-Funded Payer Track).</w:t>
      </w:r>
    </w:p>
    <w:p>
      <w:pPr>
        <w:spacing w:after="0" w:line="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January 2022, the Michigan attorney general filed a petition in Michigan state court seeking authorization to investigate Lilly for potential violations of the Michigan Consumer Protection Act (MCPA), along with a complaint seeking a declaratory judgment that the state has authority to investigate Lilly's sale of insulin under the MCPA. The court authorized the proposed investigation and the issuance of civil investigative subpoenas. In April 2022, however, the parties entered into a stipulation providing that the state will not issue any civil investigative subpoena to us under the MCPA until the declaratory judgment action is resolved, and in July 2022, the court dismissed the case in its entirety. In June 2023, the Michigan Court of Appeals affirmed the judgment in our favor. In April 2025, the Michigan Supreme Court granted the state's application for leave to appeal and ordered oral argument.</w:t>
      </w:r>
    </w:p>
    <w:p>
      <w:pPr>
        <w:spacing w:after="0" w:line="7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Lilly has entered into settlement agreements with two states to resolve allegations relating to insulin pricing. In particular, in February 2024, after discovery, Lilly entered into a non-monetary settlement with the Minnesota attorney general's office that resolved a lawsuit filed by Minnesota in 2018; and Lilly entered into a similar non-monetary settlement with the New York attorney general’s office in May 2023. These agreements involved no monetary payments and no admission of wrongdoing or liability.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Insulin and Other Pricing Investigations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been subject to various investigations and received subpoenas, civil investigative demands, information requests, interrogatories, and other inquiries from various governmental entities related to pricing issues, including the pricing and sale of insulin medications, and in some instances certain other diabetes medications, and/or calculations of average manufacturer price and best price. These include subpoenas from the Vermont attorney general office, civil investigative demands from the U.S. Department of Justice, the U.S. Federal Trade Commission, and the Colorado, Indiana, Louisiana, Oregon, Texas, and Washington attorney general offices, as well as information requests from the California, Florida, Hawaii, Mississippi, New Mexico, Nevada, and Washington D.C. attorney general offices.</w:t>
      </w:r>
    </w:p>
    <w:p>
      <w:pPr>
        <w:spacing w:after="0" w:line="7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To the extent the foregoing governmental entities have not filed lawsuits, we are cooperating with the various investigations, subpoenas, and inquiries.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Average Manufacturer Price Litigation</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November 2014, a relator filed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in the U.S. District Court for the Northern District of Illinois against us and Takeda Pharmaceuticals America, Inc. The relator's complaint alleges that the defendants should have treated certain credits from distributors as retroactive price increases and included such increases in calculating average manufacturer prices. In August 2022, following a trial, the jury returned a verdict in favor of the relator. Lilly has appealed to the U.S. Court of Appeals for the Seventh Circuit, and the appeal remains pending.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Actos Litigation</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along with Takeda Chemical Industries, Ltd. and Takeda affiliates (collectively, Takeda), are named in a third party payer class action in the U.S. District Court for the Central District of California. The plaintiffs allege that bladder cancer risk was concealed from them and claim that as a result they and a proposed class of third-party payers are entitled to recover money paid for Actos prescriptions. Our agreement with Takeda calls for Takeda to defend and indemnify us against losses and expenses with respect to U.S. litigation arising out of the manufacture, use, or sale of Actos and other related expenses in accordance with the terms of the agreement. In May 2023, the district court granted class certification. In August 2023, the U.S. Court of Appeals for the Ninth Circuit granted our and Takeda's petition for permission to appeal the class certification order. That appeal remains pending.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Mounjaro and Trulicity Product Liability Litigation</w:t>
      </w:r>
    </w:p>
    <w:p>
      <w:pPr>
        <w:spacing w:after="0" w:line="11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Since August 2023, various plaintiffs have filed lawsuits against us, Novo Nordisk A/S (Novo), and other related Novo entities, alleging injuries following purported use of incretin medicines, including Mounjaro and Trulicity. The complaints assert a variety of claims and generally seek damages, medical monitoring, and/or other relief. Most of these lawsuits have been coordinated or consolidated for pretrial proceedings in a federal MDL pending in the U.S. District Court for the Eastern District of Pennsylvania. In November 2024, the MDL plaintiffs filed a master complaint. In addition to the cases in the United States, there are two class action petitions in Israel.</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auto"/>
        </w:rPr>
        <w:t>Branchburg Manufacturing Facility</w:t>
      </w:r>
    </w:p>
    <w:p>
      <w:pPr>
        <w:spacing w:after="0" w:line="1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 May 2021, we received a subpoena from the U.S. Department of Justice requesting the production of certain documents relating to our manufacturing site in Branchburg, New Jersey. We are cooperating with the subpoena.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Puerto Rico Tax Matter</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2013, the Municipality of Carolina in Puerto Rico (Municipality) filed a lawsuit against us alleging noncompliance with respect to a contract with the Municipality and seeking a declaratory judgment. In June 2019, the Court of First Instance (CFI) granted summary judgment in our favor, dismissing the Municipality's complaint in its entirety. In December 2020, the Puerto Rico Appellate Court (AP) reversed and remanded the case to the CFI for trial on the merits. After trial began in May 2022, the Municipality filed a motion requesting the CFI to execute an alleged judgment. The CFI denied the request, and the Municipality filed for revision at the AP, which we opposed, staying the case. The AP denied the Municipality's motion for revision. Trial resumed in October 2024.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In October 2019, a relator filed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against us in Texas state court asserting claims under the Texas Medicaid Fraud Prevention Act based on allegations about certain patient support programs related to our products Humalog, Humulin, and Forteo. The lawsuit seeks to recover the value of payments by the Texas Medicaid Program for these products, as well as civil penalties and other relief. The action has been stayed since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April 2016, Research Corporation Technologies, Inc. (RCT) filed a lawsuit against us in the U.S. District Court for the District of Arizona asserting damages claims for breach of contract, unjust enrichment, and conversion related to processes used to manufacture certain products, including Humalog and Humulin. In October 2021, the court issued a summary judgment decision in favor of RCT on certain issues, including with respect to a disputed royalty. In July 2024, we reached a confidential agreement with RCT that requires different payments based on various litigation outcomes as determined on appeal. The settlement agreement is not an admission of liability or fault, and is subject to conditions. Pursuant to the agreement, the court entered final judgment, Lilly filed a notice of appeal to the U.S. Court of Appeals for the Ninth Circuit, and Lilly made an initial payment under the agreement. Lilly's appeal remains pending. The remaining amount payable under the agreement, if any, should not have a material impact on our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10: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2025 and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13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Net Unrealized</w:t>
            </w: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20" w:type="dxa"/>
            <w:vAlign w:val="bottom"/>
            <w:gridSpan w:val="2"/>
            <w:vMerge w:val="restart"/>
          </w:tcPr>
          <w:p>
            <w:pPr>
              <w:jc w:val="right"/>
              <w:ind w:right="110"/>
              <w:spacing w:after="0"/>
              <w:rPr>
                <w:sz w:val="20"/>
                <w:szCs w:val="20"/>
                <w:color w:val="auto"/>
              </w:rPr>
            </w:pPr>
            <w:r>
              <w:rPr>
                <w:rFonts w:ascii="Arial" w:cs="Arial" w:eastAsia="Arial" w:hAnsi="Arial"/>
                <w:sz w:val="13"/>
                <w:szCs w:val="13"/>
                <w:b w:val="1"/>
                <w:bCs w:val="1"/>
                <w:color w:val="auto"/>
              </w:rPr>
              <w:t>Net Unrealized</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3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Retirement Benefit</w:t>
            </w:r>
          </w:p>
        </w:tc>
        <w:tc>
          <w:tcPr>
            <w:tcW w:w="1320" w:type="dxa"/>
            <w:vAlign w:val="bottom"/>
            <w:gridSpan w:val="2"/>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160" w:type="dxa"/>
            <w:vAlign w:val="bottom"/>
          </w:tcPr>
          <w:p>
            <w:pPr>
              <w:jc w:val="center"/>
              <w:ind w:right="118"/>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3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4"/>
              </w:rPr>
              <w:t>Available-For-</w:t>
            </w:r>
          </w:p>
        </w:tc>
        <w:tc>
          <w:tcPr>
            <w:tcW w:w="1320" w:type="dxa"/>
            <w:vAlign w:val="bottom"/>
            <w:gridSpan w:val="2"/>
            <w:vMerge w:val="continue"/>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Gains (Losses) on</w:t>
            </w: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6"/>
              </w:rPr>
              <w:t>Gains (Losses)</w:t>
            </w: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Sale Securities</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36"/>
              <w:spacing w:after="0"/>
              <w:rPr>
                <w:sz w:val="20"/>
                <w:szCs w:val="20"/>
                <w:color w:val="auto"/>
              </w:rPr>
            </w:pPr>
            <w:r>
              <w:rPr>
                <w:rFonts w:ascii="Arial" w:cs="Arial" w:eastAsia="Arial" w:hAnsi="Arial"/>
                <w:sz w:val="13"/>
                <w:szCs w:val="13"/>
                <w:b w:val="1"/>
                <w:bCs w:val="1"/>
                <w:color w:val="auto"/>
                <w:w w:val="97"/>
              </w:rPr>
              <w:t>Plans</w:t>
            </w: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(2,389.6)</w:t>
            </w:r>
          </w:p>
        </w:tc>
        <w:tc>
          <w:tcPr>
            <w:tcW w:w="820" w:type="dxa"/>
            <w:vAlign w:val="bottom"/>
            <w:shd w:val="clear" w:color="auto" w:fill="CCEEFF"/>
          </w:tcPr>
          <w:p>
            <w:pPr>
              <w:jc w:val="right"/>
              <w:ind w:right="568"/>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(31.7)</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(2,178.7)</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278.1</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(4,321.9)</w:t>
            </w:r>
          </w:p>
        </w:tc>
        <w:tc>
          <w:tcPr>
            <w:tcW w:w="0" w:type="dxa"/>
            <w:vAlign w:val="bottom"/>
          </w:tcPr>
          <w:p>
            <w:pPr>
              <w:spacing w:after="0"/>
              <w:rPr>
                <w:sz w:val="1"/>
                <w:szCs w:val="1"/>
                <w:color w:val="auto"/>
              </w:rPr>
            </w:pPr>
          </w:p>
        </w:tc>
      </w:tr>
      <w:tr>
        <w:trPr>
          <w:trHeight w:val="175"/>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535.4</w:t>
            </w:r>
          </w:p>
        </w:tc>
        <w:tc>
          <w:tcPr>
            <w:tcW w:w="820" w:type="dxa"/>
            <w:vAlign w:val="bottom"/>
          </w:tcPr>
          <w:p>
            <w:pPr>
              <w:spacing w:after="0"/>
              <w:rPr>
                <w:sz w:val="15"/>
                <w:szCs w:val="15"/>
                <w:color w:val="auto"/>
              </w:rPr>
            </w:pPr>
          </w:p>
        </w:tc>
        <w:tc>
          <w:tcPr>
            <w:tcW w:w="560" w:type="dxa"/>
            <w:vAlign w:val="bottom"/>
            <w:gridSpan w:val="2"/>
            <w:vMerge w:val="restart"/>
          </w:tcPr>
          <w:p>
            <w:pPr>
              <w:jc w:val="right"/>
              <w:ind w:right="50"/>
              <w:spacing w:after="0"/>
              <w:rPr>
                <w:sz w:val="20"/>
                <w:szCs w:val="20"/>
                <w:color w:val="auto"/>
              </w:rPr>
            </w:pPr>
            <w:r>
              <w:rPr>
                <w:rFonts w:ascii="Arial" w:cs="Arial" w:eastAsia="Arial" w:hAnsi="Arial"/>
                <w:sz w:val="18"/>
                <w:szCs w:val="18"/>
                <w:b w:val="1"/>
                <w:bCs w:val="1"/>
                <w:color w:val="auto"/>
              </w:rPr>
              <w:t>7.8</w:t>
            </w:r>
          </w:p>
        </w:tc>
        <w:tc>
          <w:tcPr>
            <w:tcW w:w="3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(19.0)</w:t>
            </w:r>
          </w:p>
        </w:tc>
        <w:tc>
          <w:tcPr>
            <w:tcW w:w="6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(24.8)</w:t>
            </w:r>
          </w:p>
        </w:tc>
        <w:tc>
          <w:tcPr>
            <w:tcW w:w="6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499.4</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30.6</w:t>
            </w:r>
          </w:p>
        </w:tc>
        <w:tc>
          <w:tcPr>
            <w:tcW w:w="82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0.6</w:t>
            </w: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ind w:left="540"/>
              <w:spacing w:after="0"/>
              <w:rPr>
                <w:sz w:val="20"/>
                <w:szCs w:val="20"/>
                <w:color w:val="auto"/>
              </w:rPr>
            </w:pPr>
            <w:r>
              <w:rPr>
                <w:rFonts w:ascii="Arial" w:cs="Arial" w:eastAsia="Arial" w:hAnsi="Arial"/>
                <w:sz w:val="18"/>
                <w:szCs w:val="18"/>
                <w:b w:val="1"/>
                <w:bCs w:val="1"/>
                <w:color w:val="auto"/>
              </w:rPr>
              <w:t>16.2</w:t>
            </w:r>
          </w:p>
        </w:tc>
        <w:tc>
          <w:tcPr>
            <w:tcW w:w="6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w:t>
            </w:r>
          </w:p>
        </w:tc>
        <w:tc>
          <w:tcPr>
            <w:tcW w:w="6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47.9</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566.0</w:t>
            </w: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8.4</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w:t>
            </w: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547.3</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(1,823.6)</w:t>
            </w:r>
          </w:p>
        </w:tc>
        <w:tc>
          <w:tcPr>
            <w:tcW w:w="8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(23.3)</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(2,181.5)</w:t>
            </w:r>
          </w:p>
        </w:tc>
        <w:tc>
          <w:tcPr>
            <w:tcW w:w="6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253.8</w:t>
            </w:r>
          </w:p>
        </w:tc>
        <w:tc>
          <w:tcPr>
            <w:tcW w:w="6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(3,774.6)</w:t>
            </w: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4"/>
                <w:szCs w:val="24"/>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13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Net Unrealized</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gridSpan w:val="2"/>
            <w:vMerge w:val="restart"/>
          </w:tcPr>
          <w:p>
            <w:pPr>
              <w:jc w:val="right"/>
              <w:ind w:right="110"/>
              <w:spacing w:after="0"/>
              <w:rPr>
                <w:sz w:val="20"/>
                <w:szCs w:val="20"/>
                <w:color w:val="auto"/>
              </w:rPr>
            </w:pPr>
            <w:r>
              <w:rPr>
                <w:rFonts w:ascii="Arial" w:cs="Arial" w:eastAsia="Arial" w:hAnsi="Arial"/>
                <w:sz w:val="13"/>
                <w:szCs w:val="13"/>
                <w:b w:val="1"/>
                <w:bCs w:val="1"/>
                <w:color w:val="auto"/>
              </w:rPr>
              <w:t>Net Unrealized</w:t>
            </w: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3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Retirement Benefit</w:t>
            </w:r>
          </w:p>
        </w:tc>
        <w:tc>
          <w:tcPr>
            <w:tcW w:w="1320" w:type="dxa"/>
            <w:vAlign w:val="bottom"/>
            <w:gridSpan w:val="2"/>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22"/>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0"/>
                <w:szCs w:val="10"/>
                <w:color w:val="auto"/>
              </w:rPr>
            </w:pPr>
          </w:p>
        </w:tc>
        <w:tc>
          <w:tcPr>
            <w:tcW w:w="1160" w:type="dxa"/>
            <w:vAlign w:val="bottom"/>
          </w:tcPr>
          <w:p>
            <w:pPr>
              <w:jc w:val="center"/>
              <w:ind w:right="118"/>
              <w:spacing w:after="0" w:line="122" w:lineRule="exact"/>
              <w:rPr>
                <w:sz w:val="20"/>
                <w:szCs w:val="20"/>
                <w:color w:val="auto"/>
              </w:rPr>
            </w:pPr>
            <w:r>
              <w:rPr>
                <w:rFonts w:ascii="Arial" w:cs="Arial" w:eastAsia="Arial" w:hAnsi="Arial"/>
                <w:sz w:val="13"/>
                <w:szCs w:val="13"/>
                <w:b w:val="1"/>
                <w:bCs w:val="1"/>
                <w:color w:val="auto"/>
                <w:w w:val="96"/>
              </w:rPr>
              <w:t>Translation</w:t>
            </w:r>
          </w:p>
        </w:tc>
        <w:tc>
          <w:tcPr>
            <w:tcW w:w="13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4"/>
              </w:rPr>
              <w:t>Available-For-</w:t>
            </w:r>
          </w:p>
        </w:tc>
        <w:tc>
          <w:tcPr>
            <w:tcW w:w="1320" w:type="dxa"/>
            <w:vAlign w:val="bottom"/>
            <w:gridSpan w:val="2"/>
            <w:vMerge w:val="continue"/>
          </w:tcPr>
          <w:p>
            <w:pPr>
              <w:spacing w:after="0"/>
              <w:rPr>
                <w:sz w:val="10"/>
                <w:szCs w:val="10"/>
                <w:color w:val="auto"/>
              </w:rPr>
            </w:pPr>
          </w:p>
        </w:tc>
        <w:tc>
          <w:tcPr>
            <w:tcW w:w="1320" w:type="dxa"/>
            <w:vAlign w:val="bottom"/>
            <w:gridSpan w:val="2"/>
          </w:tcPr>
          <w:p>
            <w:pPr>
              <w:ind w:left="140"/>
              <w:spacing w:after="0" w:line="122" w:lineRule="exact"/>
              <w:rPr>
                <w:sz w:val="20"/>
                <w:szCs w:val="20"/>
                <w:color w:val="auto"/>
              </w:rPr>
            </w:pPr>
            <w:r>
              <w:rPr>
                <w:rFonts w:ascii="Arial" w:cs="Arial" w:eastAsia="Arial" w:hAnsi="Arial"/>
                <w:sz w:val="13"/>
                <w:szCs w:val="13"/>
                <w:b w:val="1"/>
                <w:bCs w:val="1"/>
                <w:color w:val="auto"/>
              </w:rPr>
              <w:t>Gains (Losses) on</w:t>
            </w: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6"/>
              </w:rPr>
              <w:t>Gains (Losses)</w:t>
            </w: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Sale Securities</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36"/>
              <w:spacing w:after="0"/>
              <w:rPr>
                <w:sz w:val="20"/>
                <w:szCs w:val="20"/>
                <w:color w:val="auto"/>
              </w:rPr>
            </w:pPr>
            <w:r>
              <w:rPr>
                <w:rFonts w:ascii="Arial" w:cs="Arial" w:eastAsia="Arial" w:hAnsi="Arial"/>
                <w:sz w:val="13"/>
                <w:szCs w:val="13"/>
                <w:b w:val="1"/>
                <w:bCs w:val="1"/>
                <w:color w:val="auto"/>
                <w:w w:val="97"/>
              </w:rPr>
              <w:t>Plans</w:t>
            </w: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(1,819.0)</w:t>
            </w:r>
          </w:p>
        </w:tc>
        <w:tc>
          <w:tcPr>
            <w:tcW w:w="820" w:type="dxa"/>
            <w:vAlign w:val="bottom"/>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3"/>
              </w:rPr>
              <w:t>(26.2)</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(2,697.3)</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215.5</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(4,327.0)</w:t>
            </w:r>
          </w:p>
        </w:tc>
        <w:tc>
          <w:tcPr>
            <w:tcW w:w="0" w:type="dxa"/>
            <w:vAlign w:val="bottom"/>
          </w:tcPr>
          <w:p>
            <w:pPr>
              <w:spacing w:after="0"/>
              <w:rPr>
                <w:sz w:val="1"/>
                <w:szCs w:val="1"/>
                <w:color w:val="auto"/>
              </w:rPr>
            </w:pPr>
          </w:p>
        </w:tc>
      </w:tr>
      <w:tr>
        <w:trPr>
          <w:trHeight w:val="175"/>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(88.2)</w:t>
            </w:r>
          </w:p>
        </w:tc>
        <w:tc>
          <w:tcPr>
            <w:tcW w:w="820" w:type="dxa"/>
            <w:vAlign w:val="bottom"/>
          </w:tcPr>
          <w:p>
            <w:pPr>
              <w:spacing w:after="0"/>
              <w:rPr>
                <w:sz w:val="15"/>
                <w:szCs w:val="15"/>
                <w:color w:val="auto"/>
              </w:rPr>
            </w:pPr>
          </w:p>
        </w:tc>
        <w:tc>
          <w:tcPr>
            <w:tcW w:w="5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5"/>
                <w:szCs w:val="15"/>
                <w:color w:val="auto"/>
              </w:rPr>
            </w:pPr>
          </w:p>
        </w:tc>
        <w:tc>
          <w:tcPr>
            <w:tcW w:w="980" w:type="dxa"/>
            <w:vAlign w:val="bottom"/>
            <w:vMerge w:val="restart"/>
          </w:tcPr>
          <w:p>
            <w:pPr>
              <w:ind w:left="540"/>
              <w:spacing w:after="0"/>
              <w:rPr>
                <w:sz w:val="20"/>
                <w:szCs w:val="20"/>
                <w:color w:val="auto"/>
              </w:rPr>
            </w:pPr>
            <w:r>
              <w:rPr>
                <w:rFonts w:ascii="Arial" w:cs="Arial" w:eastAsia="Arial" w:hAnsi="Arial"/>
                <w:sz w:val="18"/>
                <w:szCs w:val="18"/>
                <w:color w:val="auto"/>
              </w:rPr>
              <w:t>15.6</w:t>
            </w:r>
          </w:p>
        </w:tc>
        <w:tc>
          <w:tcPr>
            <w:tcW w:w="680" w:type="dxa"/>
            <w:vAlign w:val="bottom"/>
          </w:tcPr>
          <w:p>
            <w:pPr>
              <w:spacing w:after="0"/>
              <w:rPr>
                <w:sz w:val="15"/>
                <w:szCs w:val="15"/>
                <w:color w:val="auto"/>
              </w:rPr>
            </w:pPr>
          </w:p>
        </w:tc>
        <w:tc>
          <w:tcPr>
            <w:tcW w:w="640" w:type="dxa"/>
            <w:vAlign w:val="bottom"/>
            <w:vMerge w:val="restart"/>
          </w:tcPr>
          <w:p>
            <w:pPr>
              <w:jc w:val="right"/>
              <w:ind w:right="30"/>
              <w:spacing w:after="0"/>
              <w:rPr>
                <w:sz w:val="20"/>
                <w:szCs w:val="20"/>
                <w:color w:val="auto"/>
              </w:rPr>
            </w:pPr>
            <w:r>
              <w:rPr>
                <w:rFonts w:ascii="Arial" w:cs="Arial" w:eastAsia="Arial" w:hAnsi="Arial"/>
                <w:sz w:val="18"/>
                <w:szCs w:val="18"/>
                <w:color w:val="auto"/>
              </w:rPr>
              <w:t>72.0</w:t>
            </w:r>
          </w:p>
        </w:tc>
        <w:tc>
          <w:tcPr>
            <w:tcW w:w="6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10.2</w:t>
            </w:r>
          </w:p>
        </w:tc>
        <w:tc>
          <w:tcPr>
            <w:tcW w:w="82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23.0</w:t>
            </w:r>
          </w:p>
        </w:tc>
        <w:tc>
          <w:tcPr>
            <w:tcW w:w="6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(4.7)</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38.6</w:t>
            </w: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71.6</w:t>
            </w: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(1,897.0)</w:t>
            </w:r>
          </w:p>
        </w:tc>
        <w:tc>
          <w:tcPr>
            <w:tcW w:w="8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3"/>
              </w:rPr>
              <w:t>(30.9)</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(2,658.7)</w:t>
            </w:r>
          </w:p>
        </w:tc>
        <w:tc>
          <w:tcPr>
            <w:tcW w:w="6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287.1</w:t>
            </w:r>
          </w:p>
        </w:tc>
        <w:tc>
          <w:tcPr>
            <w:tcW w:w="6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(4,299.5)</w:t>
            </w:r>
          </w:p>
        </w:tc>
        <w:tc>
          <w:tcPr>
            <w:tcW w:w="0" w:type="dxa"/>
            <w:vAlign w:val="bottom"/>
          </w:tcPr>
          <w:p>
            <w:pPr>
              <w:spacing w:after="0"/>
              <w:rPr>
                <w:sz w:val="1"/>
                <w:szCs w:val="1"/>
                <w:color w:val="auto"/>
              </w:rPr>
            </w:pPr>
          </w:p>
        </w:tc>
      </w:tr>
      <w:tr>
        <w:trPr>
          <w:trHeight w:val="409"/>
        </w:trPr>
        <w:tc>
          <w:tcPr>
            <w:tcW w:w="9200" w:type="dxa"/>
            <w:vAlign w:val="bottom"/>
            <w:gridSpan w:val="9"/>
          </w:tcPr>
          <w:p>
            <w:pPr>
              <w:spacing w:after="0"/>
              <w:rPr>
                <w:sz w:val="20"/>
                <w:szCs w:val="20"/>
                <w:color w:val="auto"/>
              </w:rPr>
            </w:pPr>
            <w:r>
              <w:rPr>
                <w:rFonts w:ascii="Arial" w:cs="Arial" w:eastAsia="Arial" w:hAnsi="Arial"/>
                <w:sz w:val="18"/>
                <w:szCs w:val="18"/>
                <w:color w:val="auto"/>
                <w:w w:val="99"/>
              </w:rPr>
              <w:t>The tax effects on the net activity related to each component of other comprehensive income (loss) were as follows:</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7"/>
              </w:rPr>
              <w:t>113.4</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Net unrealized gains/losses on available-for-sale securities</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Arial" w:cs="Arial" w:eastAsia="Arial" w:hAnsi="Arial"/>
                <w:sz w:val="18"/>
                <w:szCs w:val="18"/>
                <w:b w:val="1"/>
                <w:bCs w:val="1"/>
                <w:color w:val="auto"/>
              </w:rPr>
              <w:t>(2.6)</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benefit plans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(1.5)</w:t>
            </w: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unrealized gains/losses on cash flow hedges</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b w:val="1"/>
                <w:bCs w:val="1"/>
                <w:color w:val="auto"/>
              </w:rPr>
              <w:t>6.5</w:t>
            </w:r>
          </w:p>
        </w:tc>
        <w:tc>
          <w:tcPr>
            <w:tcW w:w="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w w:val="99"/>
              </w:rPr>
              <w:t>Benefit (expense) for income taxes allocated to other comprehensive income (loss)</w:t>
            </w:r>
          </w:p>
        </w:tc>
        <w:tc>
          <w:tcPr>
            <w:tcW w:w="3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7"/>
              </w:rPr>
              <w:t>115.8</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0" w:type="dxa"/>
            <w:vAlign w:val="bottom"/>
          </w:tcPr>
          <w:p>
            <w:pPr>
              <w:ind w:left="120"/>
              <w:spacing w:after="0"/>
              <w:rPr>
                <w:sz w:val="20"/>
                <w:szCs w:val="20"/>
                <w:color w:val="auto"/>
              </w:rPr>
            </w:pPr>
            <w:r>
              <w:rPr>
                <w:rFonts w:ascii="Arial" w:cs="Arial" w:eastAsia="Arial" w:hAnsi="Arial"/>
                <w:sz w:val="14"/>
                <w:szCs w:val="14"/>
                <w:b w:val="1"/>
                <w:bCs w:val="1"/>
                <w:color w:val="auto"/>
              </w:rPr>
              <w:t>Details about Accumulated Other Comprehensive Loss</w:t>
            </w:r>
          </w:p>
        </w:tc>
        <w:tc>
          <w:tcPr>
            <w:tcW w:w="7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180" w:type="dxa"/>
            <w:vAlign w:val="bottom"/>
            <w:gridSpan w:val="4"/>
          </w:tcPr>
          <w:p>
            <w:pPr>
              <w:ind w:left="240"/>
              <w:spacing w:after="0"/>
              <w:rPr>
                <w:sz w:val="20"/>
                <w:szCs w:val="20"/>
                <w:color w:val="auto"/>
              </w:rPr>
            </w:pPr>
            <w:r>
              <w:rPr>
                <w:rFonts w:ascii="Arial" w:cs="Arial" w:eastAsia="Arial" w:hAnsi="Arial"/>
                <w:sz w:val="14"/>
                <w:szCs w:val="14"/>
                <w:b w:val="1"/>
                <w:bCs w:val="1"/>
                <w:color w:val="auto"/>
              </w:rPr>
              <w:t>Affected Line Item in the Consolidated</w:t>
            </w:r>
          </w:p>
        </w:tc>
      </w:tr>
      <w:tr>
        <w:trPr>
          <w:trHeight w:val="197"/>
        </w:trPr>
        <w:tc>
          <w:tcPr>
            <w:tcW w:w="400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Components</w:t>
            </w:r>
          </w:p>
        </w:tc>
        <w:tc>
          <w:tcPr>
            <w:tcW w:w="7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2025</w:t>
            </w:r>
          </w:p>
        </w:tc>
        <w:tc>
          <w:tcPr>
            <w:tcW w:w="13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Condensed Statements of Operations</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retirement benefit items:</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Prior service costs (benefits), net</w:t>
            </w:r>
          </w:p>
        </w:tc>
        <w:tc>
          <w:tcPr>
            <w:tcW w:w="7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54"/>
              <w:spacing w:after="0"/>
              <w:rPr>
                <w:sz w:val="20"/>
                <w:szCs w:val="20"/>
                <w:color w:val="auto"/>
              </w:rPr>
            </w:pPr>
            <w:r>
              <w:rPr>
                <w:rFonts w:ascii="Arial" w:cs="Arial" w:eastAsia="Arial" w:hAnsi="Arial"/>
                <w:sz w:val="18"/>
                <w:szCs w:val="18"/>
                <w:b w:val="1"/>
                <w:bCs w:val="1"/>
                <w:color w:val="auto"/>
              </w:rPr>
              <w:t>0.4</w:t>
            </w:r>
          </w:p>
        </w:tc>
        <w:tc>
          <w:tcPr>
            <w:tcW w:w="820" w:type="dxa"/>
            <w:vAlign w:val="bottom"/>
          </w:tcPr>
          <w:p>
            <w:pPr>
              <w:jc w:val="right"/>
              <w:ind w:right="55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c>
          <w:tcPr>
            <w:tcW w:w="3180" w:type="dxa"/>
            <w:vAlign w:val="bottom"/>
            <w:gridSpan w:val="4"/>
          </w:tcPr>
          <w:p>
            <w:pPr>
              <w:ind w:left="40"/>
              <w:spacing w:after="0"/>
              <w:rPr>
                <w:sz w:val="20"/>
                <w:szCs w:val="20"/>
                <w:color w:val="auto"/>
              </w:rPr>
            </w:pPr>
            <w:r>
              <w:rPr>
                <w:rFonts w:ascii="Arial" w:cs="Arial" w:eastAsia="Arial" w:hAnsi="Arial"/>
                <w:sz w:val="18"/>
                <w:szCs w:val="18"/>
                <w:color w:val="auto"/>
              </w:rPr>
              <w:t>Other–net, (income) expense</w:t>
            </w: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Actuarial losses, net</w:t>
            </w:r>
          </w:p>
        </w:tc>
        <w:tc>
          <w:tcPr>
            <w:tcW w:w="7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20.1</w:t>
            </w:r>
          </w:p>
        </w:tc>
        <w:tc>
          <w:tcPr>
            <w:tcW w:w="8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9"/>
                <w:szCs w:val="19"/>
                <w:color w:val="auto"/>
              </w:rPr>
            </w:pPr>
          </w:p>
        </w:tc>
        <w:tc>
          <w:tcPr>
            <w:tcW w:w="31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Other–net, (income) expense</w:t>
            </w:r>
          </w:p>
        </w:tc>
      </w:tr>
      <w:tr>
        <w:trPr>
          <w:trHeight w:val="223"/>
        </w:trPr>
        <w:tc>
          <w:tcPr>
            <w:tcW w:w="4000" w:type="dxa"/>
            <w:vAlign w:val="bottom"/>
          </w:tcPr>
          <w:p>
            <w:pPr>
              <w:ind w:left="300"/>
              <w:spacing w:after="0"/>
              <w:rPr>
                <w:sz w:val="20"/>
                <w:szCs w:val="20"/>
                <w:color w:val="auto"/>
              </w:rPr>
            </w:pPr>
            <w:r>
              <w:rPr>
                <w:rFonts w:ascii="Arial" w:cs="Arial" w:eastAsia="Arial" w:hAnsi="Arial"/>
                <w:sz w:val="18"/>
                <w:szCs w:val="18"/>
                <w:color w:val="auto"/>
              </w:rPr>
              <w:t>Total before tax</w:t>
            </w:r>
          </w:p>
        </w:tc>
        <w:tc>
          <w:tcPr>
            <w:tcW w:w="740" w:type="dxa"/>
            <w:vAlign w:val="bottom"/>
          </w:tcPr>
          <w:p>
            <w:pPr>
              <w:spacing w:after="0"/>
              <w:rPr>
                <w:sz w:val="19"/>
                <w:szCs w:val="19"/>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b w:val="1"/>
                <w:bCs w:val="1"/>
                <w:color w:val="auto"/>
              </w:rPr>
              <w:t>20.5</w:t>
            </w: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7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(4.3)</w:t>
            </w:r>
          </w:p>
        </w:tc>
        <w:tc>
          <w:tcPr>
            <w:tcW w:w="8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3"/>
        </w:trPr>
        <w:tc>
          <w:tcPr>
            <w:tcW w:w="4000" w:type="dxa"/>
            <w:vAlign w:val="bottom"/>
          </w:tcPr>
          <w:p>
            <w:pPr>
              <w:ind w:left="300"/>
              <w:spacing w:after="0"/>
              <w:rPr>
                <w:sz w:val="20"/>
                <w:szCs w:val="20"/>
                <w:color w:val="auto"/>
              </w:rPr>
            </w:pPr>
            <w:r>
              <w:rPr>
                <w:rFonts w:ascii="Arial" w:cs="Arial" w:eastAsia="Arial" w:hAnsi="Arial"/>
                <w:sz w:val="18"/>
                <w:szCs w:val="18"/>
                <w:color w:val="auto"/>
              </w:rPr>
              <w:t>Net of tax</w:t>
            </w:r>
          </w:p>
        </w:tc>
        <w:tc>
          <w:tcPr>
            <w:tcW w:w="740" w:type="dxa"/>
            <w:vAlign w:val="bottom"/>
          </w:tcPr>
          <w:p>
            <w:pPr>
              <w:spacing w:after="0"/>
              <w:rPr>
                <w:sz w:val="19"/>
                <w:szCs w:val="19"/>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b w:val="1"/>
                <w:bCs w:val="1"/>
                <w:color w:val="auto"/>
              </w:rPr>
              <w:t>16.2</w:t>
            </w: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70"/>
        </w:trPr>
        <w:tc>
          <w:tcPr>
            <w:tcW w:w="40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980" w:type="dxa"/>
            <w:vAlign w:val="bottom"/>
            <w:gridSpan w:val="3"/>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of tax</w:t>
            </w: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31.7</w:t>
            </w: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60" w:type="dxa"/>
            <w:vAlign w:val="bottom"/>
            <w:tcBorders>
              <w:bottom w:val="single" w:sz="8" w:color="CCEEFF"/>
            </w:tcBorders>
          </w:tcPr>
          <w:p>
            <w:pPr>
              <w:spacing w:after="0"/>
              <w:rPr>
                <w:sz w:val="19"/>
                <w:szCs w:val="19"/>
                <w:color w:val="auto"/>
              </w:rPr>
            </w:pPr>
          </w:p>
        </w:tc>
        <w:tc>
          <w:tcPr>
            <w:tcW w:w="318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Other–net, (income) expense</w:t>
            </w: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net of tax</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47.9</w:t>
            </w:r>
          </w:p>
        </w:tc>
        <w:tc>
          <w:tcPr>
            <w:tcW w:w="82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768"/>
        </w:trPr>
        <w:tc>
          <w:tcPr>
            <w:tcW w:w="4000" w:type="dxa"/>
            <w:vAlign w:val="bottom"/>
          </w:tcPr>
          <w:p>
            <w:pPr>
              <w:spacing w:after="0"/>
              <w:rPr>
                <w:sz w:val="20"/>
                <w:szCs w:val="20"/>
                <w:color w:val="auto"/>
              </w:rPr>
            </w:pPr>
            <w:r>
              <w:rPr>
                <w:rFonts w:ascii="Arial" w:cs="Arial" w:eastAsia="Arial" w:hAnsi="Arial"/>
                <w:sz w:val="18"/>
                <w:szCs w:val="18"/>
                <w:b w:val="1"/>
                <w:bCs w:val="1"/>
                <w:color w:val="auto"/>
              </w:rPr>
              <w:t>Note 11: Other–Net, (Income) Expense</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16"/>
        </w:trPr>
        <w:tc>
          <w:tcPr>
            <w:tcW w:w="4740" w:type="dxa"/>
            <w:vAlign w:val="bottom"/>
            <w:gridSpan w:val="2"/>
          </w:tcPr>
          <w:p>
            <w:pPr>
              <w:spacing w:after="0"/>
              <w:rPr>
                <w:sz w:val="20"/>
                <w:szCs w:val="20"/>
                <w:color w:val="auto"/>
              </w:rPr>
            </w:pPr>
            <w:r>
              <w:rPr>
                <w:rFonts w:ascii="Arial" w:cs="Arial" w:eastAsia="Arial" w:hAnsi="Arial"/>
                <w:sz w:val="18"/>
                <w:szCs w:val="18"/>
                <w:color w:val="auto"/>
              </w:rPr>
              <w:t>Other–net, (income) expense consisted of the following:</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2"/>
        </w:trPr>
        <w:tc>
          <w:tcPr>
            <w:tcW w:w="4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6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40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2025</w:t>
            </w:r>
          </w:p>
        </w:tc>
        <w:tc>
          <w:tcPr>
            <w:tcW w:w="8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8"/>
                <w:szCs w:val="18"/>
                <w:color w:val="auto"/>
              </w:rPr>
            </w:pPr>
          </w:p>
        </w:tc>
      </w:tr>
      <w:tr>
        <w:trPr>
          <w:trHeight w:val="22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243.7</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00" w:type="dxa"/>
            <w:vAlign w:val="bottom"/>
          </w:tcPr>
          <w:p>
            <w:pPr>
              <w:spacing w:after="0"/>
              <w:rPr>
                <w:sz w:val="19"/>
                <w:szCs w:val="19"/>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(48.3)</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9"/>
                <w:szCs w:val="19"/>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(gains) losses on equity securities (Note 6)</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146.7</w:t>
            </w:r>
          </w:p>
        </w:tc>
        <w:tc>
          <w:tcPr>
            <w:tcW w:w="6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9"/>
                <w:szCs w:val="19"/>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Retirement benefit plans</w:t>
            </w: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(106.6)</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(116.1)</w:t>
            </w:r>
          </w:p>
        </w:tc>
        <w:tc>
          <w:tcPr>
            <w:tcW w:w="20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3.5</w:t>
            </w:r>
          </w:p>
        </w:tc>
        <w:tc>
          <w:tcPr>
            <w:tcW w:w="6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9"/>
                <w:szCs w:val="19"/>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Other–net, (income) expense</w:t>
            </w: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239.0</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operate as a single reportable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Our determination that we operate as a single segment is consistent with the nature of our operations and the financial information regularly reviewed by the chief executive officer, in his capacity as the chief operating decision maker (CODM), for the purposes of evaluating performance, allocating resources, setting incentive compensation targets, and planning and forecasting for future periods.</w:t>
      </w:r>
    </w:p>
    <w:p>
      <w:pPr>
        <w:spacing w:after="0" w:line="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Our long-term success is significantly dependent on our ability to research and develop innovative medicines. The CODM uses consolidated net income to assess performance of our company, ensuring that we are investing in future research and development while efficiently delivering products to patients. The CODM allocates research and development resources based upon several factors, including the likelihood of technical success, unmet medical needs, and the viability of commercial success. A significant component of the CODM’s decision-making process is to ensure a balanced investment in our research and development portfolio to drive near-term success and sustain for the long-term.</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summarizes our segment revenue, significant segment expenses, and segment profit: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60" w:type="dxa"/>
            <w:vAlign w:val="bottom"/>
          </w:tcPr>
          <w:p>
            <w:pPr>
              <w:spacing w:after="0"/>
              <w:rPr>
                <w:sz w:val="17"/>
                <w:szCs w:val="17"/>
                <w:color w:val="auto"/>
              </w:rPr>
            </w:pPr>
          </w:p>
        </w:tc>
        <w:tc>
          <w:tcPr>
            <w:tcW w:w="342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7"/>
                <w:szCs w:val="17"/>
                <w:color w:val="auto"/>
              </w:rPr>
            </w:pPr>
          </w:p>
        </w:tc>
      </w:tr>
      <w:tr>
        <w:trPr>
          <w:trHeight w:val="196"/>
        </w:trPr>
        <w:tc>
          <w:tcPr>
            <w:tcW w:w="70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7"/>
                <w:szCs w:val="17"/>
                <w:color w:val="auto"/>
              </w:rPr>
            </w:pP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12,728.5</w:t>
            </w:r>
          </w:p>
        </w:tc>
        <w:tc>
          <w:tcPr>
            <w:tcW w:w="136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8,768.0</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Less:</w:t>
            </w: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2,224.2</w:t>
            </w:r>
          </w:p>
        </w:tc>
        <w:tc>
          <w:tcPr>
            <w:tcW w:w="1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1,673.5</w:t>
            </w:r>
          </w:p>
        </w:tc>
      </w:tr>
      <w:tr>
        <w:trPr>
          <w:trHeight w:val="229"/>
        </w:trPr>
        <w:tc>
          <w:tcPr>
            <w:tcW w:w="7060" w:type="dxa"/>
            <w:vAlign w:val="bottom"/>
          </w:tcPr>
          <w:p>
            <w:pPr>
              <w:ind w:left="140"/>
              <w:spacing w:after="0" w:line="230" w:lineRule="exact"/>
              <w:rPr>
                <w:sz w:val="20"/>
                <w:szCs w:val="20"/>
                <w:color w:val="auto"/>
              </w:rPr>
            </w:pPr>
            <w:r>
              <w:rPr>
                <w:rFonts w:ascii="Arial" w:cs="Arial" w:eastAsia="Arial" w:hAnsi="Arial"/>
                <w:sz w:val="18"/>
                <w:szCs w:val="18"/>
                <w:color w:val="auto"/>
              </w:rPr>
              <w:t>Early-stage research and development</w:t>
            </w:r>
            <w:r>
              <w:rPr>
                <w:rFonts w:ascii="Arial" w:cs="Arial" w:eastAsia="Arial" w:hAnsi="Arial"/>
                <w:sz w:val="23"/>
                <w:szCs w:val="23"/>
                <w:color w:val="auto"/>
                <w:vertAlign w:val="superscript"/>
              </w:rPr>
              <w:t>(1)</w:t>
            </w:r>
          </w:p>
        </w:tc>
        <w:tc>
          <w:tcPr>
            <w:tcW w:w="1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990.0</w:t>
            </w:r>
          </w:p>
        </w:tc>
        <w:tc>
          <w:tcPr>
            <w:tcW w:w="1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852.1</w:t>
            </w:r>
          </w:p>
        </w:tc>
      </w:tr>
      <w:tr>
        <w:trPr>
          <w:trHeight w:val="229"/>
        </w:trPr>
        <w:tc>
          <w:tcPr>
            <w:tcW w:w="7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Late-stage research and development</w:t>
            </w:r>
            <w:r>
              <w:rPr>
                <w:rFonts w:ascii="Arial" w:cs="Arial" w:eastAsia="Arial" w:hAnsi="Arial"/>
                <w:sz w:val="23"/>
                <w:szCs w:val="23"/>
                <w:color w:val="auto"/>
                <w:vertAlign w:val="superscript"/>
              </w:rPr>
              <w:t>(1)</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1,743.7</w:t>
            </w:r>
          </w:p>
        </w:tc>
        <w:tc>
          <w:tcPr>
            <w:tcW w:w="1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1,670.7</w:t>
            </w: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Marketing, selling, and administrative</w:t>
            </w:r>
          </w:p>
        </w:tc>
        <w:tc>
          <w:tcPr>
            <w:tcW w:w="1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2,468.8</w:t>
            </w:r>
          </w:p>
        </w:tc>
        <w:tc>
          <w:tcPr>
            <w:tcW w:w="1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1,952.2</w:t>
            </w: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1,571.7</w:t>
            </w:r>
          </w:p>
        </w:tc>
        <w:tc>
          <w:tcPr>
            <w:tcW w:w="1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r>
      <w:tr>
        <w:trPr>
          <w:trHeight w:val="229"/>
        </w:trPr>
        <w:tc>
          <w:tcPr>
            <w:tcW w:w="706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(2)</w:t>
            </w: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970.8</w:t>
            </w:r>
          </w:p>
        </w:tc>
        <w:tc>
          <w:tcPr>
            <w:tcW w:w="1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r>
      <w:tr>
        <w:trPr>
          <w:trHeight w:val="23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2,759.3</w:t>
            </w:r>
          </w:p>
        </w:tc>
        <w:tc>
          <w:tcPr>
            <w:tcW w:w="136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2,242.9</w:t>
            </w:r>
          </w:p>
        </w:tc>
      </w:tr>
    </w:tbl>
    <w:p>
      <w:pPr>
        <w:spacing w:after="0" w:line="99" w:lineRule="exact"/>
        <w:rPr>
          <w:sz w:val="20"/>
          <w:szCs w:val="20"/>
          <w:color w:val="auto"/>
        </w:rPr>
      </w:pPr>
    </w:p>
    <w:p>
      <w:pPr>
        <w:ind w:left="180" w:right="560" w:hanging="172"/>
        <w:spacing w:after="0" w:line="238" w:lineRule="auto"/>
        <w:tabs>
          <w:tab w:leader="none" w:pos="158"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Early-stage research and development primarily includes costs incurred from discovery through Phase 2 clinical trials. Late-stage research and development primarily includes costs incurred from Phase 3 clinical trials.</w:t>
      </w: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Other segment items primarily include income taxes and asset impairment, restructuring, and other special charges.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additional segment information: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60" w:type="dxa"/>
            <w:vAlign w:val="bottom"/>
          </w:tcPr>
          <w:p>
            <w:pPr>
              <w:spacing w:after="0"/>
              <w:rPr>
                <w:sz w:val="17"/>
                <w:szCs w:val="17"/>
                <w:color w:val="auto"/>
              </w:rPr>
            </w:pPr>
          </w:p>
        </w:tc>
        <w:tc>
          <w:tcPr>
            <w:tcW w:w="34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7"/>
                <w:szCs w:val="17"/>
                <w:color w:val="auto"/>
              </w:rPr>
            </w:pPr>
          </w:p>
        </w:tc>
      </w:tr>
      <w:tr>
        <w:trPr>
          <w:trHeight w:val="196"/>
        </w:trPr>
        <w:tc>
          <w:tcPr>
            <w:tcW w:w="70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7"/>
                <w:szCs w:val="17"/>
                <w:color w:val="auto"/>
              </w:rPr>
            </w:pP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jc w:val="right"/>
              <w:ind w:right="1062"/>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243.7</w:t>
            </w:r>
          </w:p>
        </w:tc>
        <w:tc>
          <w:tcPr>
            <w:tcW w:w="134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48.3</w:t>
            </w:r>
          </w:p>
        </w:tc>
        <w:tc>
          <w:tcPr>
            <w:tcW w:w="1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462.8</w:t>
            </w: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Asset impairment, restructuring, and other special charges</w:t>
            </w:r>
          </w:p>
        </w:tc>
        <w:tc>
          <w:tcPr>
            <w:tcW w:w="1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35.0</w:t>
            </w:r>
          </w:p>
        </w:tc>
        <w:tc>
          <w:tcPr>
            <w:tcW w:w="1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in equity method investments</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w:t>
            </w: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696.8</w:t>
            </w:r>
          </w:p>
        </w:tc>
        <w:tc>
          <w:tcPr>
            <w:tcW w:w="1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293.2</w:t>
            </w:r>
          </w:p>
        </w:tc>
      </w:tr>
      <w:tr>
        <w:trPr>
          <w:trHeight w:val="230"/>
        </w:trPr>
        <w:tc>
          <w:tcPr>
            <w:tcW w:w="7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Expenditures for long-lived assets</w:t>
            </w:r>
            <w:r>
              <w:rPr>
                <w:rFonts w:ascii="Arial" w:cs="Arial" w:eastAsia="Arial" w:hAnsi="Arial"/>
                <w:sz w:val="23"/>
                <w:szCs w:val="23"/>
                <w:color w:val="auto"/>
                <w:vertAlign w:val="superscript"/>
              </w:rPr>
              <w:t>(1)</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1,516.6</w:t>
            </w: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1,059.6</w:t>
            </w:r>
          </w:p>
        </w:tc>
      </w:tr>
    </w:tbl>
    <w:p>
      <w:pPr>
        <w:spacing w:after="0" w:line="85"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Includes expenditures for property and equipment and computer software costs.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March 31, 2025</w:t>
            </w: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89,388.8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78,714.9</w:t>
            </w:r>
          </w:p>
        </w:tc>
      </w:tr>
      <w:tr>
        <w:trPr>
          <w:trHeight w:val="247"/>
        </w:trPr>
        <w:tc>
          <w:tcPr>
            <w:tcW w:w="458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268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b w:val="1"/>
                <w:bCs w:val="1"/>
                <w:color w:val="auto"/>
              </w:rPr>
              <w:t>1,148.6</w:t>
            </w: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1,142.7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Tables present dollars in millions, except per-share data, and numbers may not add due to rounding)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2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results of operations and financial condition is intended to assist the reader in understanding and assessing significant changes and trends related to our results of operations and financial position.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 may cause our actual results, financial position, and cash generated from operations to differ from these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This section provides an overview of our financial results, updates to our clinical development pipeline, and other matters affecting our company and industry.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00" w:type="dxa"/>
            <w:vAlign w:val="bottom"/>
          </w:tcPr>
          <w:p>
            <w:pPr>
              <w:spacing w:after="0"/>
              <w:rPr>
                <w:sz w:val="17"/>
                <w:szCs w:val="17"/>
                <w:color w:val="auto"/>
              </w:rPr>
            </w:pPr>
          </w:p>
        </w:tc>
        <w:tc>
          <w:tcPr>
            <w:tcW w:w="33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7"/>
                <w:szCs w:val="17"/>
                <w:color w:val="auto"/>
              </w:rPr>
            </w:pPr>
          </w:p>
        </w:tc>
        <w:tc>
          <w:tcPr>
            <w:tcW w:w="980" w:type="dxa"/>
            <w:vAlign w:val="bottom"/>
            <w:vMerge w:val="restart"/>
          </w:tcPr>
          <w:p>
            <w:pPr>
              <w:jc w:val="center"/>
              <w:ind w:left="11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3"/>
        </w:trPr>
        <w:tc>
          <w:tcPr>
            <w:tcW w:w="6100" w:type="dxa"/>
            <w:vAlign w:val="bottom"/>
          </w:tcPr>
          <w:p>
            <w:pPr>
              <w:spacing w:after="0"/>
              <w:rPr>
                <w:sz w:val="4"/>
                <w:szCs w:val="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840" w:type="dxa"/>
            <w:vAlign w:val="bottom"/>
          </w:tcPr>
          <w:p>
            <w:pPr>
              <w:spacing w:after="0"/>
              <w:rPr>
                <w:sz w:val="4"/>
                <w:szCs w:val="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7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1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0" w:type="dxa"/>
            <w:vAlign w:val="bottom"/>
            <w:shd w:val="clear" w:color="auto" w:fill="CCEEFF"/>
          </w:tcPr>
          <w:p>
            <w:pPr>
              <w:jc w:val="right"/>
              <w:ind w:right="1002"/>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12,728.5</w:t>
            </w:r>
          </w:p>
        </w:tc>
        <w:tc>
          <w:tcPr>
            <w:tcW w:w="134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8,768.0</w:t>
            </w:r>
          </w:p>
        </w:tc>
        <w:tc>
          <w:tcPr>
            <w:tcW w:w="980" w:type="dxa"/>
            <w:vAlign w:val="bottom"/>
            <w:shd w:val="clear" w:color="auto" w:fill="CCEEFF"/>
          </w:tcPr>
          <w:p>
            <w:pPr>
              <w:jc w:val="center"/>
              <w:ind w:left="97"/>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2,759.3</w:t>
            </w:r>
          </w:p>
        </w:tc>
        <w:tc>
          <w:tcPr>
            <w:tcW w:w="1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2,242.9</w:t>
            </w:r>
          </w:p>
        </w:tc>
        <w:tc>
          <w:tcPr>
            <w:tcW w:w="980" w:type="dxa"/>
            <w:vAlign w:val="bottom"/>
          </w:tcPr>
          <w:p>
            <w:pPr>
              <w:jc w:val="center"/>
              <w:ind w:left="97"/>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diluted</w:t>
            </w:r>
          </w:p>
        </w:tc>
        <w:tc>
          <w:tcPr>
            <w:tcW w:w="1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3.06</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980" w:type="dxa"/>
            <w:vAlign w:val="bottom"/>
            <w:shd w:val="clear" w:color="auto" w:fill="CCEEFF"/>
          </w:tcPr>
          <w:p>
            <w:pPr>
              <w:jc w:val="center"/>
              <w:ind w:left="97"/>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Revenue increased for the three months ended March 31, 2025 driven by increased volume, partially offset by lower realized prices and unfavorable impact of foreign exchange rates. The increase in revenue during the three months ended March 31, 2025 was primarily driven by Mounjaro and Zepbound.</w:t>
      </w:r>
    </w:p>
    <w:p>
      <w:pPr>
        <w:spacing w:after="0" w:line="6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Net income and earnings per share for the three months ended March 31, 2025 increased primarily due to higher gross margin, partially offset by increased acquired IPR&amp;D charges and marketing, selling, and administrative expenses.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for additional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Clinical Development Pipeline Updates</w:t>
      </w:r>
    </w:p>
    <w:p>
      <w:pPr>
        <w:spacing w:after="0" w:line="117" w:lineRule="exact"/>
        <w:rPr>
          <w:sz w:val="20"/>
          <w:szCs w:val="20"/>
          <w:color w:val="auto"/>
        </w:rPr>
      </w:pPr>
    </w:p>
    <w:p>
      <w:pPr>
        <w:ind w:right="1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Our long-term success depends on our ability to continually discover or acquire, develop, and commercialize innovative new medicines. See “Management’s Discussion and Analysis of Results of Operations and Financial Condition—Executive Overview—Clinical Development Pipeline” in Part II, Item 7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2024 for select new molecular entities (NMEs) and new indication line extension (NILEX) products in Phase 2 or Phase 3 clinical trials or that were submitted for regulatory review or received regulatory approval in the U.S., European Union (EU), or Japan. The following reflects certain developments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60" w:type="dxa"/>
            <w:vAlign w:val="bottom"/>
            <w:tcBorders>
              <w:top w:val="single" w:sz="8" w:color="auto"/>
              <w:left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b w:val="1"/>
                <w:bCs w:val="1"/>
                <w:color w:val="auto"/>
                <w:w w:val="98"/>
              </w:rPr>
              <w:t>Compound</w:t>
            </w:r>
          </w:p>
        </w:tc>
        <w:tc>
          <w:tcPr>
            <w:tcW w:w="9000" w:type="dxa"/>
            <w:vAlign w:val="bottom"/>
            <w:tcBorders>
              <w:top w:val="single" w:sz="8" w:color="auto"/>
              <w:bottom w:val="single" w:sz="8" w:color="auto"/>
              <w:right w:val="single" w:sz="8" w:color="auto"/>
            </w:tcBorders>
            <w:shd w:val="clear" w:color="auto" w:fill="DBDBDB"/>
          </w:tcPr>
          <w:p>
            <w:pPr>
              <w:ind w:left="3920"/>
              <w:spacing w:after="0"/>
              <w:rPr>
                <w:sz w:val="20"/>
                <w:szCs w:val="20"/>
                <w:color w:val="auto"/>
              </w:rPr>
            </w:pPr>
            <w:r>
              <w:rPr>
                <w:rFonts w:ascii="Arial" w:cs="Arial" w:eastAsia="Arial" w:hAnsi="Arial"/>
                <w:sz w:val="18"/>
                <w:szCs w:val="18"/>
                <w:b w:val="1"/>
                <w:bCs w:val="1"/>
                <w:color w:val="auto"/>
              </w:rPr>
              <w:t>Development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Tirzepatide</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 2025, we withdrew our U.S. application for tirzepatide for heart failure with preserved ejection fraction.</w:t>
            </w:r>
          </w:p>
        </w:tc>
        <w:tc>
          <w:tcPr>
            <w:tcW w:w="0" w:type="dxa"/>
            <w:vAlign w:val="bottom"/>
          </w:tcPr>
          <w:p>
            <w:pPr>
              <w:spacing w:after="0"/>
              <w:rPr>
                <w:sz w:val="1"/>
                <w:szCs w:val="1"/>
                <w:color w:val="auto"/>
              </w:rPr>
            </w:pPr>
          </w:p>
        </w:tc>
      </w:tr>
      <w:tr>
        <w:trPr>
          <w:trHeight w:val="277"/>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Orforglipron</w:t>
            </w: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2025, we announced positive results for oral GLP-1, orforglipron, in the Phase 3 ACHIEVE-1 trial for type 2</w:t>
            </w:r>
          </w:p>
        </w:tc>
        <w:tc>
          <w:tcPr>
            <w:tcW w:w="0" w:type="dxa"/>
            <w:vAlign w:val="bottom"/>
          </w:tcPr>
          <w:p>
            <w:pPr>
              <w:spacing w:after="0"/>
              <w:rPr>
                <w:sz w:val="1"/>
                <w:szCs w:val="1"/>
                <w:color w:val="auto"/>
              </w:rPr>
            </w:pPr>
          </w:p>
        </w:tc>
      </w:tr>
      <w:tr>
        <w:trPr>
          <w:trHeight w:val="147"/>
        </w:trPr>
        <w:tc>
          <w:tcPr>
            <w:tcW w:w="2260" w:type="dxa"/>
            <w:vAlign w:val="bottom"/>
            <w:tcBorders>
              <w:left w:val="single" w:sz="8" w:color="auto"/>
              <w:right w:val="single" w:sz="8" w:color="auto"/>
            </w:tcBorders>
            <w:vMerge w:val="continue"/>
          </w:tcPr>
          <w:p>
            <w:pPr>
              <w:spacing w:after="0"/>
              <w:rPr>
                <w:sz w:val="12"/>
                <w:szCs w:val="12"/>
                <w:color w:val="auto"/>
              </w:rPr>
            </w:pPr>
          </w:p>
        </w:tc>
        <w:tc>
          <w:tcPr>
            <w:tcW w:w="90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diabetes.</w:t>
            </w:r>
          </w:p>
        </w:tc>
        <w:tc>
          <w:tcPr>
            <w:tcW w:w="0" w:type="dxa"/>
            <w:vAlign w:val="bottom"/>
          </w:tcPr>
          <w:p>
            <w:pPr>
              <w:spacing w:after="0"/>
              <w:rPr>
                <w:sz w:val="1"/>
                <w:szCs w:val="1"/>
                <w:color w:val="auto"/>
              </w:rPr>
            </w:pPr>
          </w:p>
        </w:tc>
      </w:tr>
      <w:tr>
        <w:trPr>
          <w:trHeight w:val="92"/>
        </w:trPr>
        <w:tc>
          <w:tcPr>
            <w:tcW w:w="2260" w:type="dxa"/>
            <w:vAlign w:val="bottom"/>
            <w:tcBorders>
              <w:left w:val="single" w:sz="8" w:color="auto"/>
              <w:right w:val="single" w:sz="8" w:color="auto"/>
            </w:tcBorders>
          </w:tcPr>
          <w:p>
            <w:pPr>
              <w:spacing w:after="0"/>
              <w:rPr>
                <w:sz w:val="7"/>
                <w:szCs w:val="7"/>
                <w:color w:val="auto"/>
              </w:rPr>
            </w:pPr>
          </w:p>
        </w:tc>
        <w:tc>
          <w:tcPr>
            <w:tcW w:w="9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260" w:type="dxa"/>
            <w:vAlign w:val="bottom"/>
            <w:tcBorders>
              <w:left w:val="single" w:sz="8" w:color="auto"/>
              <w:bottom w:val="single" w:sz="8" w:color="auto"/>
              <w:right w:val="single" w:sz="8" w:color="auto"/>
            </w:tcBorders>
          </w:tcPr>
          <w:p>
            <w:pPr>
              <w:spacing w:after="0"/>
              <w:rPr>
                <w:sz w:val="12"/>
                <w:szCs w:val="12"/>
                <w:color w:val="auto"/>
              </w:rPr>
            </w:pPr>
          </w:p>
        </w:tc>
        <w:tc>
          <w:tcPr>
            <w:tcW w:w="9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Mirikizumab (Omvoh)</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 2025, Japan's Ministry of Health, Labour and Welfare approved mirikizumab for treatment of Crohn’s disease.</w:t>
            </w:r>
          </w:p>
        </w:tc>
        <w:tc>
          <w:tcPr>
            <w:tcW w:w="0" w:type="dxa"/>
            <w:vAlign w:val="bottom"/>
          </w:tcPr>
          <w:p>
            <w:pPr>
              <w:spacing w:after="0"/>
              <w:rPr>
                <w:sz w:val="1"/>
                <w:szCs w:val="1"/>
                <w:color w:val="auto"/>
              </w:rPr>
            </w:pPr>
          </w:p>
        </w:tc>
      </w:tr>
      <w:tr>
        <w:trPr>
          <w:trHeight w:val="277"/>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Donanemab</w:t>
            </w: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2025, the European Medicines Agency’s (EMA) Committee for Medicinal Products for Human Use (CHMP)</w:t>
            </w: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vMerge w:val="continue"/>
          </w:tcPr>
          <w:p>
            <w:pPr>
              <w:spacing w:after="0"/>
              <w:rPr>
                <w:sz w:val="15"/>
                <w:szCs w:val="15"/>
                <w:color w:val="auto"/>
              </w:rPr>
            </w:pPr>
          </w:p>
        </w:tc>
        <w:tc>
          <w:tcPr>
            <w:tcW w:w="90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issued an opinion that does not recommend donanemab for approval for the treatment of early symptomatic</w:t>
            </w:r>
          </w:p>
        </w:tc>
        <w:tc>
          <w:tcPr>
            <w:tcW w:w="0" w:type="dxa"/>
            <w:vAlign w:val="bottom"/>
          </w:tcPr>
          <w:p>
            <w:pPr>
              <w:spacing w:after="0"/>
              <w:rPr>
                <w:sz w:val="1"/>
                <w:szCs w:val="1"/>
                <w:color w:val="auto"/>
              </w:rPr>
            </w:pPr>
          </w:p>
        </w:tc>
      </w:tr>
      <w:tr>
        <w:trPr>
          <w:trHeight w:val="235"/>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Alzheimer's disease. We are seeking re-examination by CHMP.</w:t>
            </w:r>
          </w:p>
        </w:tc>
        <w:tc>
          <w:tcPr>
            <w:tcW w:w="0" w:type="dxa"/>
            <w:vAlign w:val="bottom"/>
          </w:tcPr>
          <w:p>
            <w:pPr>
              <w:spacing w:after="0"/>
              <w:rPr>
                <w:sz w:val="1"/>
                <w:szCs w:val="1"/>
                <w:color w:val="auto"/>
              </w:rPr>
            </w:pPr>
          </w:p>
        </w:tc>
      </w:tr>
      <w:tr>
        <w:trPr>
          <w:trHeight w:val="331"/>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Pirtobrutinib (Jaypirca)</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 2025, the European Commission approved pirtobrutinib for treatment of chronic lymphocytic leukemia.</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Olomorasib</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 2025, a Phase 3 trial was initiated for olomorasib for resected adjuvant non-small cell lung cancer.</w:t>
            </w:r>
          </w:p>
        </w:tc>
        <w:tc>
          <w:tcPr>
            <w:tcW w:w="0" w:type="dxa"/>
            <w:vAlign w:val="bottom"/>
          </w:tcPr>
          <w:p>
            <w:pPr>
              <w:spacing w:after="0"/>
              <w:rPr>
                <w:sz w:val="1"/>
                <w:szCs w:val="1"/>
                <w:color w:val="auto"/>
              </w:rPr>
            </w:pPr>
          </w:p>
        </w:tc>
      </w:tr>
      <w:tr>
        <w:trPr>
          <w:trHeight w:val="424"/>
        </w:trPr>
        <w:tc>
          <w:tcPr>
            <w:tcW w:w="226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 and Certain Other Regulatory Developments</w:t>
      </w:r>
    </w:p>
    <w:p>
      <w:pPr>
        <w:spacing w:after="0" w:line="1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Reforms, including those that may stem from political initiatives, periods of uneven economic growth or downturns, or as a result of inflation or deflation, trade and other global disputes and interruptions including related to tariffs, trade protection measures, and similar restrictions, the emergence or escalation of, and responses to, international tension and conflicts, or government budgeting priorities, are expected to continue to result in added pressure on cost, pricing, reimbursement, and access for our products.</w:t>
      </w:r>
    </w:p>
    <w:p>
      <w:pPr>
        <w:spacing w:after="0" w:line="6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Global concern over access to, and affordability of, pharmaceutical products continues to drive regulatory and legislative debate and action, as well as cost containment efforts by governmental authorities and scrutiny of pricing and access disparities. Cost containment measures include the use of mandated discounts, price reporting requirements, mandated reference prices, restrictive formularies, changes to available intellectual property protections, as well as other efforts. Among other measures, the Inflation Reduction Act of 2022 (IRA) requires HHS to effectively set prices for certain single-source drugs and biologics reimbursed under Medicare Part B and Part D. Currently, these government prices generally apply beginning at nine years (for medicines approved under a New Drug Application) or thirteen years (for medicines approved under a Biologics License Application) following FDA approval or licensure for the molecule, although the U.S. presidential administration has expressed support for legislation that would align these timelines through legislation. In August 2023, HHS selected Jardiance, which is part of our collaboration with Boehringer Ingelheim, as one of the first ten medicines subject to government-set prices effective in 2026 and we expect additional of our significant products will be selected in future years. The IRA has, and will continue to, meaningfully influence our business strategies and those of our competitors and could significantly impact our business and consolidated results of operations.</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31" w:name="page32"/>
    <w:bookmarkEnd w:id="31"/>
    <w:p>
      <w:pPr>
        <w:spacing w:after="0" w:line="255" w:lineRule="auto"/>
        <w:rPr>
          <w:sz w:val="20"/>
          <w:szCs w:val="20"/>
          <w:color w:val="auto"/>
        </w:rPr>
      </w:pPr>
      <w:r>
        <w:rPr>
          <w:rFonts w:ascii="Arial" w:cs="Arial" w:eastAsia="Arial" w:hAnsi="Arial"/>
          <w:sz w:val="18"/>
          <w:szCs w:val="18"/>
          <w:color w:val="auto"/>
        </w:rPr>
        <w:t>Other policies, regulations, legislation, or enforcement, including those proposed or pursued by lawmakers, regulators, and other authorities in the U.S. and worldwide, have and may continue to adversely impact our business and consolidated results of operations. For example, the U.S. and other countries have recently imposed new tariffs, some of which have been paused but may come into effect quickly and unpredictably. While pharmaceuticals are exempt from certain of these tariffs, such exemptions may be terminated or may not apply to any future tariffs. The precise impact of any further tariffs, trade protection measures, and other restrictions would depend on their ultimate scope, timing, and other factors. If enacted, any such restrictions could result in supply disruptions or delays, further increase costs, or otherwise have a negative impact on our business. Given the nature of pharmaceutical regulation and commercialization, we may not be able to share the burden of increased costs from tariffs and related impacts to any meaningful degree.</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consolidation and integration of private payers and pharmacy benefit managers in the U.S. continues to significantly impact the market for pharmaceuticals by increasing payer leverage in negotiating manufacturer price or rebate concessions and pharmacy reimbursement rates. Furthermore, restrictive or unfavorable pricing, coverage, or reimbursement determinations for our medicines or product candidates by governments, regulatory agencies, courts, or private payers may adversely impact our business and consolidated results of operations. We expect that these actions may intensify and could particularly affect certain products, which could adversely affect our business. In addition, we are engaged in litigation and investigations related to the 340B program, access to insulin, pricing, product safety, and other matters that, if resolved adversely to us,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regulatory issues concerning compliance with current Good Manufacturing Practices, quality assurance, safety signals, evolving standards, and increased scrutiny around excipients and potential impurities such as nitrosamines, and similar regulations and standards (and comparable foreign regulations and standards) for our products in some cases lead to regulatory and legal actions, product recalls and seizures, fines and penalties, interruption of production leading to product shortages, import bans or denials of import certifications, inability to realize the benefit of capital expenditures, or delays or denials in new product approvals, line extensions or supplemental approvals of current products pending resolution of the issues, or other negative impacts, any of which result in reputational harm or adversely affect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Incretin Medicines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various times during 2024, demand for our incretin medicines exceeded production. Tirzepatide supply currently exceeds demand in the U.S. Demand in launched markets remains dynamic, and increases or changes in demand, by dose or overall, as well as the complex supply chain, may result in periodic unavailability of certain presentations and dose levels at certain locations even when total tirzepatide supply can meet demand. Supply considerations will continue to influence the timing and approach (including available presentations) of tirzepatide launches in new markets. Production increases and delivery presentation initiatives are ongoing, and additional capacity is expected to be operational over the next several years.</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continue to see the production, marketing, and sale of counterfeit, misbranded, adulterated, and compounded incretins. These practices may impact patient safety and undermine regulatory drug approval processes. While the FDA has confirmed that the previous shortage of tirzepatide has ended and that compounding pharmacies are required to cease mass production, we cannot guarantee adequate regulation or compliance. Lilly will continue to consider all options, including filing lawsuits where appropriate, to address unlawful practices and the patient safety risks of unapproved, untested, and manipulated drugs.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The U.S. and countries around the world are actively proposing and enacting tax law changes. Further, actions taken with respect to tax-related matters by associations such as the Organisation for Economic Co-operation and Development (OECD) and the European Commission could influence tax laws in countries in which we operate. Tax authorities in the U.S. and other jurisdictions in which we do business routinely examine our tax returns and are expected to increase their scrutiny of cross-border tax issues. Changes to existing U.S. and foreign tax laws and increased scrutiny by tax authorities in the U.S. and other jurisdictions could have a material adverse impact our future consolidated results of operations and cash flows.</w:t>
      </w:r>
    </w:p>
    <w:p>
      <w:pPr>
        <w:spacing w:after="0" w:line="7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Effective January 1, 2024, several EU and non-EU countries enacted legislation (known as "Pillar Two") that provided for a minimum level of taxation of multinational companies. The increase to income tax expense as a result of the global minimum tax is not expected to be material in current and future years. Our assessment of the impact for 2025 and subsequent years could be affected by legislative guidance and future enactment of additional provisions.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invest in external research and technologies and manufacturing capabilities that we believe complement and strengthen our own efforts. These investments can take many forms, including acquisitions, collaborations, investments, and licensing arrangements. We view our business development activity as a way to enhance or refine our pipeline and strengthen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condensed financial statements for further discussion regarding our recent acquisitions.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Continued regulatory focus on business combinations in our industry, including by the Federal Trade Commission and competition authorities in Europe and other jurisdictions, could continue to delay, jeopardize, or increase the costs of our business development activities and may negatively impact our consolidated financial position or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our consolidated results of operations in any given period. There is uncertainty in the future movements in foreign currency exchange rates, and fluctuations in these rates have and could adversely impact our consolidated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Factors</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factors have had, and may continue to have, an impact on our consolidated results of operations. These factors include cost and wage inflation, supply chain and labor market complexities, international tension and conflicts, uneven economic growth, downturns or uncertainty, and an increase in overall demand in our industry for certain products and materials.</w:t>
      </w:r>
    </w:p>
    <w:p>
      <w:pPr>
        <w:spacing w:after="0" w:line="63" w:lineRule="exact"/>
        <w:rPr>
          <w:sz w:val="20"/>
          <w:szCs w:val="20"/>
          <w:color w:val="auto"/>
        </w:rPr>
      </w:pPr>
    </w:p>
    <w:p>
      <w:pPr>
        <w:jc w:val="both"/>
        <w:ind w:right="12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See "Business" in Part 1, Item 1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 and Note 9 to the consolidated condensed financial statements for additional information and risks and uncertainties that could impact our business and operations, including the matters described within this Executive Overview.</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c>
          <w:tcPr>
            <w:tcW w:w="900" w:type="dxa"/>
            <w:vAlign w:val="bottom"/>
          </w:tcPr>
          <w:p>
            <w:pPr>
              <w:jc w:val="center"/>
              <w:ind w:left="34"/>
              <w:spacing w:after="0"/>
              <w:rPr>
                <w:sz w:val="20"/>
                <w:szCs w:val="20"/>
                <w:color w:val="auto"/>
              </w:rPr>
            </w:pPr>
            <w:r>
              <w:rPr>
                <w:rFonts w:ascii="Arial" w:cs="Arial" w:eastAsia="Arial" w:hAnsi="Arial"/>
                <w:sz w:val="14"/>
                <w:szCs w:val="14"/>
                <w:b w:val="1"/>
                <w:bCs w:val="1"/>
                <w:color w:val="auto"/>
              </w:rPr>
              <w:t>Percent</w:t>
            </w:r>
          </w:p>
        </w:tc>
      </w:tr>
      <w:tr>
        <w:trPr>
          <w:trHeight w:val="197"/>
        </w:trPr>
        <w:tc>
          <w:tcPr>
            <w:tcW w:w="6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Change</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8,489.4</w:t>
            </w:r>
          </w:p>
        </w:tc>
        <w:tc>
          <w:tcPr>
            <w:tcW w:w="142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5,694.4</w:t>
            </w:r>
          </w:p>
        </w:tc>
        <w:tc>
          <w:tcPr>
            <w:tcW w:w="9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49</w:t>
            </w:r>
          </w:p>
        </w:tc>
      </w:tr>
      <w:tr>
        <w:trPr>
          <w:trHeight w:val="229"/>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U.S.</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4,239.1</w:t>
            </w:r>
          </w:p>
        </w:tc>
        <w:tc>
          <w:tcPr>
            <w:tcW w:w="1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3,073.7</w:t>
            </w:r>
          </w:p>
        </w:tc>
        <w:tc>
          <w:tcPr>
            <w:tcW w:w="90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9"/>
              </w:rPr>
              <w:t>38</w:t>
            </w:r>
          </w:p>
        </w:tc>
      </w:tr>
      <w:tr>
        <w:trPr>
          <w:trHeight w:val="23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12,728.5</w:t>
            </w:r>
          </w:p>
        </w:tc>
        <w:tc>
          <w:tcPr>
            <w:tcW w:w="142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8,768.0</w:t>
            </w:r>
          </w:p>
        </w:tc>
        <w:tc>
          <w:tcPr>
            <w:tcW w:w="9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9"/>
              </w:rPr>
              <w:t>45</w:t>
            </w:r>
          </w:p>
        </w:tc>
      </w:tr>
      <w:tr>
        <w:trPr>
          <w:trHeight w:val="666"/>
        </w:trPr>
        <w:tc>
          <w:tcPr>
            <w:tcW w:w="7400" w:type="dxa"/>
            <w:vAlign w:val="bottom"/>
            <w:gridSpan w:val="3"/>
          </w:tcPr>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6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 March 31,</w:t>
            </w:r>
          </w:p>
        </w:tc>
        <w:tc>
          <w:tcPr>
            <w:tcW w:w="900" w:type="dxa"/>
            <w:vAlign w:val="bottom"/>
          </w:tcPr>
          <w:p>
            <w:pPr>
              <w:spacing w:after="0"/>
              <w:rPr>
                <w:sz w:val="24"/>
                <w:szCs w:val="24"/>
                <w:color w:val="auto"/>
              </w:rPr>
            </w:pPr>
          </w:p>
        </w:tc>
      </w:tr>
      <w:tr>
        <w:trPr>
          <w:trHeight w:val="204"/>
        </w:trPr>
        <w:tc>
          <w:tcPr>
            <w:tcW w:w="6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2025 vs. 2024</w:t>
            </w: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6"/>
        </w:trPr>
        <w:tc>
          <w:tcPr>
            <w:tcW w:w="6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4"/>
                <w:szCs w:val="14"/>
                <w:b w:val="1"/>
                <w:bCs w:val="1"/>
                <w:color w:val="auto"/>
              </w:rPr>
              <w:t>U.S.</w:t>
            </w:r>
          </w:p>
        </w:tc>
        <w:tc>
          <w:tcPr>
            <w:tcW w:w="14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Outside U.S.</w:t>
            </w:r>
          </w:p>
        </w:tc>
        <w:tc>
          <w:tcPr>
            <w:tcW w:w="158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57 %</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Price</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(7)</w:t>
            </w:r>
          </w:p>
        </w:tc>
        <w:tc>
          <w:tcPr>
            <w:tcW w:w="1420" w:type="dxa"/>
            <w:vAlign w:val="bottom"/>
          </w:tcPr>
          <w:p>
            <w:pPr>
              <w:jc w:val="right"/>
              <w:ind w:right="96"/>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(6)</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3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(5)</w:t>
            </w:r>
          </w:p>
        </w:tc>
        <w:tc>
          <w:tcPr>
            <w:tcW w:w="6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49 %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r>
    </w:tbl>
    <w:p>
      <w:pPr>
        <w:spacing w:after="0" w:line="17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In the U.S. for the three months ended March 31, 2025, the volume increase and the lower realized prices were driven by Zepbound and Mounjaro.</w:t>
      </w:r>
    </w:p>
    <w:p>
      <w:pPr>
        <w:spacing w:after="0" w:line="4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Outside the U.S. for the three months ended March 31, 2025, the increase in volume was driven by Mounjaro and, to a lesser extent, Jardiance. Jardiance revenue included a one-time benefit of $370.0 million associated with an amendment to our collaboration with Boehringer Ingelheim. Pursuant to the amendment, we and Boehringer Ingelheim adjusted commercialization responsibilities for Jardiance within certain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r>
        <w:trPr>
          <w:trHeight w:val="195"/>
        </w:trPr>
        <w:tc>
          <w:tcPr>
            <w:tcW w:w="4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1420" w:type="dxa"/>
            <w:vAlign w:val="bottom"/>
          </w:tcPr>
          <w:p>
            <w:pPr>
              <w:spacing w:after="0"/>
              <w:rPr>
                <w:sz w:val="16"/>
                <w:szCs w:val="16"/>
                <w:color w:val="auto"/>
              </w:rPr>
            </w:pPr>
          </w:p>
        </w:tc>
      </w:tr>
      <w:tr>
        <w:trPr>
          <w:trHeight w:val="197"/>
        </w:trPr>
        <w:tc>
          <w:tcPr>
            <w:tcW w:w="4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Outside U.S.</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Mounjaro</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2,655.9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1,185.9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1,806.5</w:t>
            </w:r>
          </w:p>
        </w:tc>
        <w:tc>
          <w:tcPr>
            <w:tcW w:w="14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113</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Zepbound</w:t>
            </w:r>
          </w:p>
        </w:tc>
        <w:tc>
          <w:tcPr>
            <w:tcW w:w="32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2,305.4</w:t>
            </w:r>
          </w:p>
        </w:tc>
        <w:tc>
          <w:tcPr>
            <w:tcW w:w="26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b w:val="1"/>
                <w:bCs w:val="1"/>
                <w:color w:val="auto"/>
              </w:rPr>
              <w:t>6.5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517.4</w:t>
            </w:r>
          </w:p>
        </w:tc>
        <w:tc>
          <w:tcPr>
            <w:tcW w:w="1420" w:type="dxa"/>
            <w:vAlign w:val="bottom"/>
          </w:tcPr>
          <w:p>
            <w:pPr>
              <w:jc w:val="center"/>
              <w:ind w:left="53"/>
              <w:spacing w:after="0"/>
              <w:rPr>
                <w:sz w:val="20"/>
                <w:szCs w:val="20"/>
                <w:color w:val="auto"/>
              </w:rPr>
            </w:pPr>
            <w:r>
              <w:rPr>
                <w:rFonts w:ascii="Arial" w:cs="Arial" w:eastAsia="Arial" w:hAnsi="Arial"/>
                <w:sz w:val="18"/>
                <w:szCs w:val="18"/>
                <w:color w:val="auto"/>
                <w:w w:val="99"/>
              </w:rPr>
              <w:t>NM</w:t>
            </w:r>
          </w:p>
        </w:tc>
      </w:tr>
      <w:tr>
        <w:trPr>
          <w:trHeight w:val="27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657.6</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501.3</w:t>
            </w: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1,158.9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142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9"/>
              </w:rPr>
              <w:t>10</w:t>
            </w:r>
          </w:p>
        </w:tc>
      </w:tr>
      <w:tr>
        <w:trPr>
          <w:trHeight w:val="23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2,870.5</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2,545.4</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5,415.9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5,393.8</w:t>
            </w:r>
          </w:p>
        </w:tc>
        <w:tc>
          <w:tcPr>
            <w:tcW w:w="142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9"/>
              </w:rPr>
              <w:t>—</w:t>
            </w: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8,489.4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4,239.1</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12,728.5</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8,768.0</w:t>
            </w:r>
          </w:p>
        </w:tc>
        <w:tc>
          <w:tcPr>
            <w:tcW w:w="1420" w:type="dxa"/>
            <w:vAlign w:val="bottom"/>
            <w:tcBorders>
              <w:bottom w:val="single" w:sz="8" w:color="CCEEFF"/>
            </w:tcBorders>
            <w:shd w:val="clear" w:color="auto" w:fill="CCEEFF"/>
          </w:tcPr>
          <w:p>
            <w:pPr>
              <w:jc w:val="center"/>
              <w:ind w:left="53"/>
              <w:spacing w:after="0"/>
              <w:rPr>
                <w:sz w:val="20"/>
                <w:szCs w:val="20"/>
                <w:color w:val="auto"/>
              </w:rPr>
            </w:pPr>
            <w:r>
              <w:rPr>
                <w:rFonts w:ascii="Arial" w:cs="Arial" w:eastAsia="Arial" w:hAnsi="Arial"/>
                <w:sz w:val="18"/>
                <w:szCs w:val="18"/>
                <w:color w:val="auto"/>
                <w:w w:val="99"/>
              </w:rPr>
              <w:t>45</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38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Revenue of Mounjaro increased 75 percent in the U.S. during the three months ended March 31, 2025, reflecting continued strong demand, partially offset by lower realized prices. Revenue outside the U.S. during the three months ended March 31, 2025 was $ 1.19 billion compared to $286.2 million during the three months ended March 31, 2024, primarily driven by volume growth, including entry into new markets, partially offset by lower realized prices.</w:t>
      </w:r>
    </w:p>
    <w:p>
      <w:pPr>
        <w:spacing w:after="0" w:line="6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Revenue of Zepbound in the U.S. during the three months ended March 31, 2025 was $ 2.31 billion, compared to $517.4 million for the three months ended March 31, 2024, primarily driven by increased demand, partially offset by lower realized prices.</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Revenue of Verzenio increased 3 percent in the U.S. during the three months ended March 31, 2025, driven by higher realized prices. Increased demand was more than offset by wholesaler buying patterns and competitive dynamics. Revenue outside of the U.S. increased 22 percent during the three months ended March 31, 2025, primarily driven by volume growth, partially offset by the unfavorable impact of foreign exchange rates.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gross margin, costs, and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Borders>
              <w:bottom w:val="single" w:sz="8" w:color="auto"/>
            </w:tcBorders>
          </w:tcPr>
          <w:p>
            <w:pPr>
              <w:spacing w:after="0"/>
              <w:rPr>
                <w:sz w:val="17"/>
                <w:szCs w:val="17"/>
                <w:color w:val="auto"/>
              </w:rPr>
            </w:pPr>
          </w:p>
        </w:tc>
        <w:tc>
          <w:tcPr>
            <w:tcW w:w="900" w:type="dxa"/>
            <w:vAlign w:val="bottom"/>
          </w:tcPr>
          <w:p>
            <w:pPr>
              <w:jc w:val="center"/>
              <w:ind w:left="34"/>
              <w:spacing w:after="0"/>
              <w:rPr>
                <w:sz w:val="20"/>
                <w:szCs w:val="20"/>
                <w:color w:val="auto"/>
              </w:rPr>
            </w:pPr>
            <w:r>
              <w:rPr>
                <w:rFonts w:ascii="Arial" w:cs="Arial" w:eastAsia="Arial" w:hAnsi="Arial"/>
                <w:sz w:val="14"/>
                <w:szCs w:val="14"/>
                <w:b w:val="1"/>
                <w:bCs w:val="1"/>
                <w:color w:val="auto"/>
              </w:rPr>
              <w:t>Percent</w:t>
            </w:r>
          </w:p>
        </w:tc>
      </w:tr>
      <w:tr>
        <w:trPr>
          <w:trHeight w:val="197"/>
        </w:trPr>
        <w:tc>
          <w:tcPr>
            <w:tcW w:w="5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2025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Change</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6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10,504.3</w:t>
            </w:r>
          </w:p>
        </w:tc>
        <w:tc>
          <w:tcPr>
            <w:tcW w:w="13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7,094.5</w:t>
            </w:r>
          </w:p>
        </w:tc>
        <w:tc>
          <w:tcPr>
            <w:tcW w:w="9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48</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Gross margin as a percent of revenue</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82.5 %</w:t>
            </w:r>
          </w:p>
        </w:tc>
        <w:tc>
          <w:tcPr>
            <w:tcW w:w="1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80.9 %</w:t>
            </w:r>
          </w:p>
        </w:tc>
        <w:tc>
          <w:tcPr>
            <w:tcW w:w="90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6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2,733.7</w:t>
            </w:r>
          </w:p>
        </w:tc>
        <w:tc>
          <w:tcPr>
            <w:tcW w:w="13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2,522.8</w:t>
            </w:r>
          </w:p>
        </w:tc>
        <w:tc>
          <w:tcPr>
            <w:tcW w:w="9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8</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Marketing, selling, and administrative</w:t>
            </w:r>
          </w:p>
        </w:tc>
        <w:tc>
          <w:tcPr>
            <w:tcW w:w="520" w:type="dxa"/>
            <w:vAlign w:val="bottom"/>
          </w:tcPr>
          <w:p>
            <w:pPr>
              <w:spacing w:after="0"/>
              <w:rPr>
                <w:sz w:val="19"/>
                <w:szCs w:val="19"/>
                <w:color w:val="auto"/>
              </w:rPr>
            </w:pPr>
          </w:p>
        </w:tc>
        <w:tc>
          <w:tcPr>
            <w:tcW w:w="1680" w:type="dxa"/>
            <w:vAlign w:val="bottom"/>
          </w:tcPr>
          <w:p>
            <w:pPr>
              <w:jc w:val="right"/>
              <w:ind w:right="213"/>
              <w:spacing w:after="0"/>
              <w:rPr>
                <w:sz w:val="20"/>
                <w:szCs w:val="20"/>
                <w:color w:val="auto"/>
              </w:rPr>
            </w:pPr>
            <w:r>
              <w:rPr>
                <w:rFonts w:ascii="Arial" w:cs="Arial" w:eastAsia="Arial" w:hAnsi="Arial"/>
                <w:sz w:val="18"/>
                <w:szCs w:val="18"/>
                <w:b w:val="1"/>
                <w:bCs w:val="1"/>
                <w:color w:val="auto"/>
              </w:rPr>
              <w:t>2,468.8</w:t>
            </w:r>
          </w:p>
        </w:tc>
        <w:tc>
          <w:tcPr>
            <w:tcW w:w="1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1,952.2</w:t>
            </w:r>
          </w:p>
        </w:tc>
        <w:tc>
          <w:tcPr>
            <w:tcW w:w="900" w:type="dxa"/>
            <w:vAlign w:val="bottom"/>
          </w:tcPr>
          <w:p>
            <w:pPr>
              <w:jc w:val="center"/>
              <w:ind w:left="14"/>
              <w:spacing w:after="0"/>
              <w:rPr>
                <w:sz w:val="20"/>
                <w:szCs w:val="20"/>
                <w:color w:val="auto"/>
              </w:rPr>
            </w:pPr>
            <w:r>
              <w:rPr>
                <w:rFonts w:ascii="Arial" w:cs="Arial" w:eastAsia="Arial" w:hAnsi="Arial"/>
                <w:sz w:val="18"/>
                <w:szCs w:val="18"/>
                <w:color w:val="auto"/>
                <w:w w:val="99"/>
              </w:rPr>
              <w:t>26</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IPR&amp;D</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1,571.7</w:t>
            </w:r>
          </w:p>
        </w:tc>
        <w:tc>
          <w:tcPr>
            <w:tcW w:w="1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110.5</w:t>
            </w:r>
          </w:p>
        </w:tc>
        <w:tc>
          <w:tcPr>
            <w:tcW w:w="9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NM</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Asset impairment, restructuring, and other special charges</w:t>
            </w:r>
          </w:p>
        </w:tc>
        <w:tc>
          <w:tcPr>
            <w:tcW w:w="520" w:type="dxa"/>
            <w:vAlign w:val="bottom"/>
          </w:tcPr>
          <w:p>
            <w:pPr>
              <w:spacing w:after="0"/>
              <w:rPr>
                <w:sz w:val="19"/>
                <w:szCs w:val="19"/>
                <w:color w:val="auto"/>
              </w:rPr>
            </w:pPr>
          </w:p>
        </w:tc>
        <w:tc>
          <w:tcPr>
            <w:tcW w:w="1680" w:type="dxa"/>
            <w:vAlign w:val="bottom"/>
          </w:tcPr>
          <w:p>
            <w:pPr>
              <w:jc w:val="right"/>
              <w:ind w:right="213"/>
              <w:spacing w:after="0"/>
              <w:rPr>
                <w:sz w:val="20"/>
                <w:szCs w:val="20"/>
                <w:color w:val="auto"/>
              </w:rPr>
            </w:pPr>
            <w:r>
              <w:rPr>
                <w:rFonts w:ascii="Arial" w:cs="Arial" w:eastAsia="Arial" w:hAnsi="Arial"/>
                <w:sz w:val="18"/>
                <w:szCs w:val="18"/>
                <w:b w:val="1"/>
                <w:bCs w:val="1"/>
                <w:color w:val="auto"/>
              </w:rPr>
              <w:t>35.0</w:t>
            </w:r>
          </w:p>
        </w:tc>
        <w:tc>
          <w:tcPr>
            <w:tcW w:w="1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14"/>
              <w:spacing w:after="0"/>
              <w:rPr>
                <w:sz w:val="20"/>
                <w:szCs w:val="20"/>
                <w:color w:val="auto"/>
              </w:rPr>
            </w:pPr>
            <w:r>
              <w:rPr>
                <w:rFonts w:ascii="Arial" w:cs="Arial" w:eastAsia="Arial" w:hAnsi="Arial"/>
                <w:sz w:val="18"/>
                <w:szCs w:val="18"/>
                <w:color w:val="auto"/>
                <w:w w:val="99"/>
              </w:rPr>
              <w:t>NM</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Other–net, (income) expense</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239.0</w:t>
            </w:r>
          </w:p>
        </w:tc>
        <w:tc>
          <w:tcPr>
            <w:tcW w:w="1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(27.1)</w:t>
            </w:r>
          </w:p>
        </w:tc>
        <w:tc>
          <w:tcPr>
            <w:tcW w:w="9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NM</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520" w:type="dxa"/>
            <w:vAlign w:val="bottom"/>
          </w:tcPr>
          <w:p>
            <w:pPr>
              <w:spacing w:after="0"/>
              <w:rPr>
                <w:sz w:val="19"/>
                <w:szCs w:val="19"/>
                <w:color w:val="auto"/>
              </w:rPr>
            </w:pPr>
          </w:p>
        </w:tc>
        <w:tc>
          <w:tcPr>
            <w:tcW w:w="1680" w:type="dxa"/>
            <w:vAlign w:val="bottom"/>
          </w:tcPr>
          <w:p>
            <w:pPr>
              <w:jc w:val="right"/>
              <w:ind w:right="213"/>
              <w:spacing w:after="0"/>
              <w:rPr>
                <w:sz w:val="20"/>
                <w:szCs w:val="20"/>
                <w:color w:val="auto"/>
              </w:rPr>
            </w:pPr>
            <w:r>
              <w:rPr>
                <w:rFonts w:ascii="Arial" w:cs="Arial" w:eastAsia="Arial" w:hAnsi="Arial"/>
                <w:sz w:val="18"/>
                <w:szCs w:val="18"/>
                <w:b w:val="1"/>
                <w:bCs w:val="1"/>
                <w:color w:val="auto"/>
              </w:rPr>
              <w:t>696.8</w:t>
            </w:r>
          </w:p>
        </w:tc>
        <w:tc>
          <w:tcPr>
            <w:tcW w:w="1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293.2</w:t>
            </w:r>
          </w:p>
        </w:tc>
        <w:tc>
          <w:tcPr>
            <w:tcW w:w="900" w:type="dxa"/>
            <w:vAlign w:val="bottom"/>
          </w:tcPr>
          <w:p>
            <w:pPr>
              <w:jc w:val="center"/>
              <w:ind w:left="34"/>
              <w:spacing w:after="0"/>
              <w:rPr>
                <w:sz w:val="20"/>
                <w:szCs w:val="20"/>
                <w:color w:val="auto"/>
              </w:rPr>
            </w:pPr>
            <w:r>
              <w:rPr>
                <w:rFonts w:ascii="Arial" w:cs="Arial" w:eastAsia="Arial" w:hAnsi="Arial"/>
                <w:sz w:val="18"/>
                <w:szCs w:val="18"/>
                <w:color w:val="auto"/>
                <w:w w:val="99"/>
              </w:rPr>
              <w:t>138</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20.2 %</w:t>
            </w:r>
          </w:p>
        </w:tc>
        <w:tc>
          <w:tcPr>
            <w:tcW w:w="1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900" w:type="dxa"/>
            <w:vAlign w:val="bottom"/>
            <w:shd w:val="clear" w:color="auto" w:fill="CCEEFF"/>
          </w:tcPr>
          <w:p>
            <w:pPr>
              <w:spacing w:after="0"/>
              <w:rPr>
                <w:sz w:val="19"/>
                <w:szCs w:val="19"/>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Gross margin as a percent of revenue for the three months ended March 31, 2025 increased 1.6 percentage points compared with the three months ended March 31, 2024, primarily driven by improved cost of production and favorable product mix, partially offset by lower realized prices.</w:t>
      </w:r>
    </w:p>
    <w:p>
      <w:pPr>
        <w:spacing w:after="0" w:line="6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Research and development expenses increased 8 percent for the three months ended March 31, 2025, driven by continued investments in our early and late-stage portfolio.</w:t>
      </w:r>
    </w:p>
    <w:p>
      <w:pPr>
        <w:spacing w:after="0" w:line="4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Marketing, selling, and administrative expenses increased 26 percent for the three months ended March 31, 2025, primarily driven by promotional efforts supporting ongoing and future launches.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5" w:name="page36"/>
    <w:bookmarkEnd w:id="35"/>
    <w:p>
      <w:pPr>
        <w:ind w:right="200"/>
        <w:spacing w:after="0" w:line="287" w:lineRule="auto"/>
        <w:rPr>
          <w:sz w:val="20"/>
          <w:szCs w:val="20"/>
          <w:color w:val="auto"/>
        </w:rPr>
      </w:pPr>
      <w:r>
        <w:rPr>
          <w:rFonts w:ascii="Arial" w:cs="Arial" w:eastAsia="Arial" w:hAnsi="Arial"/>
          <w:sz w:val="18"/>
          <w:szCs w:val="18"/>
          <w:color w:val="auto"/>
        </w:rPr>
        <w:t>Acquired IPR&amp;D charges for the three months ended March 31, 2025 were primarily related to the acquisition of Scorpion's PI3Kα inhibitor program STX-478.</w:t>
      </w:r>
    </w:p>
    <w:p>
      <w:pPr>
        <w:spacing w:after="0" w:line="4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effective tax rate was 20.2 percent for the three months ended March 31, 2025 compared to 11.6 percent for the three months ended March 31, 2024, primarily driven by the unfavorable tax impact of a non-deductible acquired IPR&amp;D charge in 2025. The 2025 and 2024 effective tax rates were impacted by net discrete tax benefits in each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for other-net, (income) expense, see Note 11 to the consolidated condensed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 AND LIQUIDITY</w:t>
      </w:r>
    </w:p>
    <w:p>
      <w:pPr>
        <w:spacing w:after="0" w:line="117" w:lineRule="exact"/>
        <w:rPr>
          <w:sz w:val="20"/>
          <w:szCs w:val="20"/>
          <w:color w:val="auto"/>
        </w:rPr>
      </w:pPr>
    </w:p>
    <w:p>
      <w:pPr>
        <w:ind w:right="120"/>
        <w:spacing w:after="0" w:line="262" w:lineRule="auto"/>
        <w:rPr>
          <w:rFonts w:ascii="Arial" w:cs="Arial" w:eastAsia="Arial" w:hAnsi="Arial"/>
          <w:sz w:val="18"/>
          <w:szCs w:val="18"/>
          <w:color w:val="0000FF"/>
        </w:rPr>
      </w:pPr>
      <w:r>
        <w:rPr>
          <w:rFonts w:ascii="Arial" w:cs="Arial" w:eastAsia="Arial" w:hAnsi="Arial"/>
          <w:sz w:val="18"/>
          <w:szCs w:val="18"/>
          <w:color w:val="auto"/>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2024.</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making investments in global facilities to manufacture existing and future products. These investments, and other capital investments that support our operations, have increased our capital expenditures and will result in meaningfully higher capital expenditures over the next several years.</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we expand our manufacturing capacity in order to meet existing and expected demand of our medicines, we have entered, and expect to continue to enter, into various agreements for contract manufacturing and for supply of materials. Executed agreements related to our medicines in development could, under certain circumstances, require us to pay up to approximately $8 billion if we do not purchase specified amounts of goods or services over the durations of the agreements, which are generally up to 8 years.</w:t>
      </w:r>
    </w:p>
    <w:p>
      <w:pPr>
        <w:spacing w:after="0" w:line="6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Cash and cash equivalents decreased to $ 3.09 billion as of March 31, 2025, compared with $3.27 billion as of December 31, 2024. Refer to the consolidated condensed statements of cash flows for additional information on the significant sources and uses of cash for the three months ended March 31, 2025 and 2024.</w:t>
      </w:r>
    </w:p>
    <w:p>
      <w:pPr>
        <w:spacing w:after="0" w:line="63"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In addition to our cash and cash equivalents, we held total investments of $3.35 billion and $3.37 billion as of March 31, 2025 and December 31, 2024, respectively. See Note 6 to the consolidated condensed financial statements for additional information.</w:t>
      </w:r>
    </w:p>
    <w:p>
      <w:pPr>
        <w:spacing w:after="0" w:line="4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 investments that were accounted for as asset acquisitions, we paid $1.76 billion in 2025 for acquired IPR&amp;D primarily related to the acquisition of Scorpion's PI3Kα inhibitor program STX-478. See Note 3 to the consolidated condensed financial statements for additional information.</w:t>
      </w:r>
    </w:p>
    <w:p>
      <w:pPr>
        <w:spacing w:after="0" w:line="6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of March 31, 2025, total debt was $38.52 billion, an increase of $4.87 billion compared with $33.64 billion as of December 31, 2024. In February 2025, we issued $6.50 billion of fixed-rate notes and used the net cash proceeds to fund the acquisition of Scorpion's PI3Kα inhibitor program STX-478 and related fees and expenses and for general business purposes, including the repayment of outstanding commercial paper. See Note 6 to the consolidated condensed financial statements for additional information.</w:t>
      </w:r>
    </w:p>
    <w:p>
      <w:pPr>
        <w:spacing w:after="0" w:line="6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As of March 31, 2025, we had a total of $8.42 billion of unused committed bank credit facilities, $8.00 billion of which is available to support our commercial paper program. See Note 6 to the consolidated condensed financial statements for additional information. We believe that amounts accessible through existing commercial paper markets should be adequate to fund short-term borrowing needs.</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During the three months ended March 31, 2025, we repurchased $1.20 billion of shares under our $15.00 billion share repurchase program authorized in December 2024. As of March 31, 2025, we had $13.80 billion remaining under this program.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2025, we paid dividends of $1.35 billion, or $1.50 per share,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6" w:name="page37"/>
    <w:bookmarkEnd w:id="36"/>
    <w:p>
      <w:pPr>
        <w:ind w:right="20"/>
        <w:spacing w:after="0" w:line="262" w:lineRule="auto"/>
        <w:rPr>
          <w:sz w:val="20"/>
          <w:szCs w:val="20"/>
          <w:color w:val="auto"/>
        </w:rPr>
      </w:pPr>
      <w:r>
        <w:rPr>
          <w:rFonts w:ascii="Arial" w:cs="Arial" w:eastAsia="Arial" w:hAnsi="Arial"/>
          <w:sz w:val="18"/>
          <w:szCs w:val="18"/>
          <w:color w:val="auto"/>
        </w:rPr>
        <w:t>Both domestically and abroad, we monitor the potential impacts of the economic environment and international tension and conflicts; the creditworthiness of our wholesalers and other customers, including foreign government-backed agencies and suppliers; the uncertain impact of healthcare legislation; various international government funding levels; and fluctuations in interest rates, foreign currency exchange rates (see "Executive Overview—Other Matters—Foreign Currency Exchange Rates"), and fair values of equity securities.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17" w:lineRule="exact"/>
        <w:rPr>
          <w:sz w:val="20"/>
          <w:szCs w:val="20"/>
          <w:color w:val="auto"/>
        </w:rPr>
      </w:pPr>
    </w:p>
    <w:p>
      <w:pPr>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For a discussion of our critical accounting estimates, refer to "Management's Discussion and Analysis of Results of Operations and Financial Condition" in Part II, Item 7 and the notes to our consolidated financial statements in Part II, Item 8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2024. See also Note 1 to the consolidated condensed financial statements. There have been no material changes to our critical accounting estimates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17"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w:t>
      </w:r>
    </w:p>
    <w:p>
      <w:pPr>
        <w:spacing w:after="0" w:line="11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routinely post important information for investors in the “Investors” section of our website, www.lilly.com.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and our executive officers may also use social media channels to communicate with investors and the public about our business, products and other matters, and those communications could be deemed to be material information. The information contained on, or that may be accessed through, our website or our or our executive officers' social media channels, is not incorporated by reference into, and is not a part of, this Quarterly Report on Form 10-Q.</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15" w:lineRule="exact"/>
        <w:rPr>
          <w:sz w:val="20"/>
          <w:szCs w:val="20"/>
          <w:color w:val="auto"/>
        </w:rPr>
      </w:pPr>
    </w:p>
    <w:p>
      <w:pPr>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discussion of our market risk, see “Quantitative and Qualitative Disclosures About Market Risk” in Part II, Item 7A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15" w:lineRule="exact"/>
        <w:rPr>
          <w:sz w:val="20"/>
          <w:szCs w:val="20"/>
          <w:color w:val="auto"/>
        </w:rPr>
      </w:pPr>
    </w:p>
    <w:p>
      <w:pPr>
        <w:ind w:left="660" w:right="20" w:hanging="652"/>
        <w:spacing w:after="0" w:line="259"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spacing w:after="0" w:line="71" w:lineRule="exact"/>
        <w:rPr>
          <w:rFonts w:ascii="Arial" w:cs="Arial" w:eastAsia="Arial" w:hAnsi="Arial"/>
          <w:sz w:val="18"/>
          <w:szCs w:val="18"/>
          <w:color w:val="auto"/>
        </w:rPr>
      </w:pPr>
    </w:p>
    <w:p>
      <w:pPr>
        <w:ind w:left="660" w:right="260"/>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Our management, with the participation of David Ricks, president and chief executive officer, and Lucas Montarce, executive vice president and chief financial officer, evaluated our disclosure controls and procedures (as such terms are defined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2024) as of March 31, 2025, and concluded that they were effective.</w:t>
      </w:r>
    </w:p>
    <w:p>
      <w:pPr>
        <w:spacing w:after="0" w:line="44" w:lineRule="exact"/>
        <w:rPr>
          <w:rFonts w:ascii="Arial" w:cs="Arial" w:eastAsia="Arial" w:hAnsi="Arial"/>
          <w:sz w:val="17"/>
          <w:szCs w:val="17"/>
          <w:color w:val="auto"/>
        </w:rPr>
      </w:pPr>
    </w:p>
    <w:p>
      <w:pPr>
        <w:ind w:left="660" w:right="180" w:hanging="652"/>
        <w:spacing w:after="0" w:line="287"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During the first quarter of 2025,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0" w:right="399" w:bottom="1440" w:gutter="0" w:footer="0" w:header="0"/>
        </w:sectPr>
      </w:pPr>
    </w:p>
    <w:bookmarkStart w:id="38" w:name="page39"/>
    <w:bookmarkEnd w:id="38"/>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6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See Note 9 to the consolidated condensed financial statements for information on various legal proceedings.</w:t>
      </w:r>
    </w:p>
    <w:p>
      <w:pPr>
        <w:spacing w:after="0" w:line="99" w:lineRule="exact"/>
        <w:rPr>
          <w:sz w:val="20"/>
          <w:szCs w:val="20"/>
          <w:color w:val="auto"/>
        </w:rPr>
      </w:pPr>
    </w:p>
    <w:p>
      <w:pPr>
        <w:ind w:right="38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"Legal Proceedings" in Part I, Item 3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6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w:t>
      </w:r>
    </w:p>
    <w:p>
      <w:pPr>
        <w:spacing w:after="0" w:line="27" w:lineRule="exact"/>
        <w:rPr>
          <w:sz w:val="20"/>
          <w:szCs w:val="20"/>
          <w:color w:val="auto"/>
        </w:rPr>
      </w:pPr>
    </w:p>
    <w:p>
      <w:pPr>
        <w:ind w:right="8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December 31, 2024. There have been no material changes from the risk factors previously disclosed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March 31, 2025:</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 Number of Shares</w:t>
            </w:r>
          </w:p>
        </w:tc>
        <w:tc>
          <w:tcPr>
            <w:tcW w:w="2220" w:type="dxa"/>
            <w:vAlign w:val="bottom"/>
          </w:tcPr>
          <w:p>
            <w:pPr>
              <w:jc w:val="center"/>
              <w:ind w:right="61"/>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Total Number of</w:t>
            </w:r>
          </w:p>
        </w:tc>
        <w:tc>
          <w:tcPr>
            <w:tcW w:w="1720" w:type="dxa"/>
            <w:vAlign w:val="bottom"/>
          </w:tcPr>
          <w:p>
            <w:pPr>
              <w:spacing w:after="0"/>
              <w:rPr>
                <w:sz w:val="12"/>
                <w:szCs w:val="12"/>
                <w:color w:val="auto"/>
              </w:rPr>
            </w:pPr>
          </w:p>
        </w:tc>
        <w:tc>
          <w:tcPr>
            <w:tcW w:w="2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Purchased as Part of</w:t>
            </w:r>
          </w:p>
        </w:tc>
        <w:tc>
          <w:tcPr>
            <w:tcW w:w="22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7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Average Price Paid</w:t>
            </w:r>
          </w:p>
        </w:tc>
        <w:tc>
          <w:tcPr>
            <w:tcW w:w="25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Publicly Announced</w:t>
            </w:r>
          </w:p>
        </w:tc>
        <w:tc>
          <w:tcPr>
            <w:tcW w:w="222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rPr>
              <w:t>Purchased Under the Plans or</w:t>
            </w:r>
          </w:p>
        </w:tc>
        <w:tc>
          <w:tcPr>
            <w:tcW w:w="0" w:type="dxa"/>
            <w:vAlign w:val="bottom"/>
          </w:tcPr>
          <w:p>
            <w:pPr>
              <w:spacing w:after="0"/>
              <w:rPr>
                <w:sz w:val="1"/>
                <w:szCs w:val="1"/>
                <w:color w:val="auto"/>
              </w:rPr>
            </w:pPr>
          </w:p>
        </w:tc>
      </w:tr>
      <w:tr>
        <w:trPr>
          <w:trHeight w:val="139"/>
        </w:trPr>
        <w:tc>
          <w:tcPr>
            <w:tcW w:w="2700" w:type="dxa"/>
            <w:vAlign w:val="bottom"/>
          </w:tcPr>
          <w:p>
            <w:pPr>
              <w:spacing w:after="0"/>
              <w:rPr>
                <w:sz w:val="12"/>
                <w:szCs w:val="12"/>
                <w:color w:val="auto"/>
              </w:rPr>
            </w:pPr>
          </w:p>
        </w:tc>
        <w:tc>
          <w:tcPr>
            <w:tcW w:w="20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Shares Purchased</w:t>
            </w:r>
          </w:p>
        </w:tc>
        <w:tc>
          <w:tcPr>
            <w:tcW w:w="1720" w:type="dxa"/>
            <w:vAlign w:val="bottom"/>
            <w:vMerge w:val="continue"/>
          </w:tcPr>
          <w:p>
            <w:pPr>
              <w:spacing w:after="0"/>
              <w:rPr>
                <w:sz w:val="12"/>
                <w:szCs w:val="12"/>
                <w:color w:val="auto"/>
              </w:rPr>
            </w:pPr>
          </w:p>
        </w:tc>
        <w:tc>
          <w:tcPr>
            <w:tcW w:w="254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Plans or Programs</w:t>
            </w:r>
          </w:p>
        </w:tc>
        <w:tc>
          <w:tcPr>
            <w:tcW w:w="2220" w:type="dxa"/>
            <w:vAlign w:val="bottom"/>
          </w:tcPr>
          <w:p>
            <w:pPr>
              <w:jc w:val="center"/>
              <w:ind w:right="101"/>
              <w:spacing w:after="0" w:line="139"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5"/>
        </w:trPr>
        <w:tc>
          <w:tcPr>
            <w:tcW w:w="27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per Share</w:t>
            </w:r>
          </w:p>
        </w:tc>
        <w:tc>
          <w:tcPr>
            <w:tcW w:w="2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2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2025</w:t>
            </w:r>
          </w:p>
        </w:tc>
        <w:tc>
          <w:tcPr>
            <w:tcW w:w="20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25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  $</w:t>
            </w: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February 2025</w:t>
            </w:r>
          </w:p>
        </w:tc>
        <w:tc>
          <w:tcPr>
            <w:tcW w:w="1740" w:type="dxa"/>
            <w:vAlign w:val="bottom"/>
          </w:tcPr>
          <w:p>
            <w:pPr>
              <w:jc w:val="right"/>
              <w:spacing w:after="0"/>
              <w:rPr>
                <w:sz w:val="20"/>
                <w:szCs w:val="20"/>
                <w:color w:val="auto"/>
              </w:rPr>
            </w:pPr>
            <w:r>
              <w:rPr>
                <w:rFonts w:ascii="Arial" w:cs="Arial" w:eastAsia="Arial" w:hAnsi="Arial"/>
                <w:sz w:val="18"/>
                <w:szCs w:val="18"/>
                <w:color w:val="auto"/>
              </w:rPr>
              <w:t>1,277</w:t>
            </w:r>
          </w:p>
        </w:tc>
        <w:tc>
          <w:tcPr>
            <w:tcW w:w="280" w:type="dxa"/>
            <w:vAlign w:val="bottom"/>
          </w:tcPr>
          <w:p>
            <w:pPr>
              <w:spacing w:after="0"/>
              <w:rPr>
                <w:sz w:val="19"/>
                <w:szCs w:val="19"/>
                <w:color w:val="auto"/>
              </w:rPr>
            </w:pP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881.03</w:t>
            </w:r>
          </w:p>
        </w:tc>
        <w:tc>
          <w:tcPr>
            <w:tcW w:w="2300" w:type="dxa"/>
            <w:vAlign w:val="bottom"/>
          </w:tcPr>
          <w:p>
            <w:pPr>
              <w:jc w:val="right"/>
              <w:spacing w:after="0"/>
              <w:rPr>
                <w:sz w:val="20"/>
                <w:szCs w:val="20"/>
                <w:color w:val="auto"/>
              </w:rPr>
            </w:pPr>
            <w:r>
              <w:rPr>
                <w:rFonts w:ascii="Arial" w:cs="Arial" w:eastAsia="Arial" w:hAnsi="Arial"/>
                <w:sz w:val="18"/>
                <w:szCs w:val="18"/>
                <w:color w:val="auto"/>
              </w:rPr>
              <w:t>1,277</w:t>
            </w:r>
          </w:p>
        </w:tc>
        <w:tc>
          <w:tcPr>
            <w:tcW w:w="240" w:type="dxa"/>
            <w:vAlign w:val="bottom"/>
          </w:tcPr>
          <w:p>
            <w:pPr>
              <w:spacing w:after="0"/>
              <w:rPr>
                <w:sz w:val="19"/>
                <w:szCs w:val="19"/>
                <w:color w:val="auto"/>
              </w:rPr>
            </w:pPr>
          </w:p>
        </w:tc>
        <w:tc>
          <w:tcPr>
            <w:tcW w:w="2220" w:type="dxa"/>
            <w:vAlign w:val="bottom"/>
          </w:tcPr>
          <w:p>
            <w:pPr>
              <w:jc w:val="right"/>
              <w:ind w:right="1"/>
              <w:spacing w:after="0"/>
              <w:rPr>
                <w:sz w:val="20"/>
                <w:szCs w:val="20"/>
                <w:color w:val="auto"/>
              </w:rPr>
            </w:pPr>
            <w:r>
              <w:rPr>
                <w:rFonts w:ascii="Arial" w:cs="Arial" w:eastAsia="Arial" w:hAnsi="Arial"/>
                <w:sz w:val="18"/>
                <w:szCs w:val="18"/>
                <w:color w:val="auto"/>
              </w:rPr>
              <w:t>13,875.0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917.61</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13,800.0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280" w:type="dxa"/>
            <w:vAlign w:val="bottom"/>
          </w:tcPr>
          <w:p>
            <w:pPr>
              <w:spacing w:after="0"/>
              <w:rPr>
                <w:sz w:val="20"/>
                <w:szCs w:val="20"/>
                <w:color w:val="auto"/>
              </w:rPr>
            </w:pP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883.23</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During the three months ended March 31, 2025, we repurchased $1.20 billion of shares under our $15.00 billion share repurchase program authorized in December 2024.</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16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 February 12, 2025, Ilya Yuffa, executive vice president and president, Lilly international, adopted a sales plan (Plan). The Plan was entered into during an open trading window and is intended to satisfy the affirmative defense conditions of Rule 10b5-1(c) of the Exchange Act of 1934 and our policies regarding trading in our securities. The Plan calls for the sale of up to 2,500 shares of company common stock between May 14, 2025 and August 13, 2025 subject to the terms and conditions of the Plan.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Quarterly Report:</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38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1300" w:type="dxa"/>
            <w:vAlign w:val="bottom"/>
          </w:tcPr>
          <w:p>
            <w:pPr>
              <w:spacing w:after="0"/>
              <w:rPr>
                <w:sz w:val="18"/>
                <w:szCs w:val="18"/>
                <w:color w:val="auto"/>
              </w:rPr>
            </w:pPr>
          </w:p>
        </w:tc>
        <w:tc>
          <w:tcPr>
            <w:tcW w:w="9380" w:type="dxa"/>
            <w:vAlign w:val="bottom"/>
            <w:gridSpan w:val="9"/>
          </w:tcPr>
          <w:p>
            <w:pPr>
              <w:spacing w:after="0"/>
              <w:rPr>
                <w:rFonts w:ascii="Arial" w:cs="Arial" w:eastAsia="Arial" w:hAnsi="Arial"/>
                <w:sz w:val="18"/>
                <w:szCs w:val="18"/>
                <w:color w:val="0000FF"/>
              </w:rPr>
            </w:pPr>
            <w:hyperlink r:id="rId59">
              <w:r>
                <w:rPr>
                  <w:rFonts w:ascii="Arial" w:cs="Arial" w:eastAsia="Arial" w:hAnsi="Arial"/>
                  <w:sz w:val="18"/>
                  <w:szCs w:val="18"/>
                  <w:color w:val="0000FF"/>
                </w:rPr>
                <w:t>Amended Articles of Incorporation, incorporated by reference to Exhibit 3.1 to the Company's Current Report on Form</w:t>
              </w:r>
            </w:hyperlink>
          </w:p>
        </w:tc>
      </w:tr>
      <w:tr>
        <w:trPr>
          <w:trHeight w:val="156"/>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59">
              <w:r>
                <w:rPr>
                  <w:rFonts w:ascii="Arial" w:cs="Arial" w:eastAsia="Arial" w:hAnsi="Arial"/>
                  <w:sz w:val="18"/>
                  <w:szCs w:val="18"/>
                  <w:color w:val="0000FF"/>
                  <w:w w:val="99"/>
                </w:rPr>
                <w:t>8-K filed on May 4, 2022</w:t>
              </w:r>
            </w:hyperlink>
          </w:p>
        </w:tc>
        <w:tc>
          <w:tcPr>
            <w:tcW w:w="74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9380" w:type="dxa"/>
            <w:vAlign w:val="bottom"/>
            <w:gridSpan w:val="9"/>
          </w:tcPr>
          <w:p>
            <w:pPr>
              <w:spacing w:after="0"/>
              <w:rPr>
                <w:rFonts w:ascii="Arial" w:cs="Arial" w:eastAsia="Arial" w:hAnsi="Arial"/>
                <w:sz w:val="18"/>
                <w:szCs w:val="18"/>
                <w:color w:val="0000FF"/>
              </w:rPr>
            </w:pPr>
            <w:hyperlink r:id="rId60">
              <w:r>
                <w:rPr>
                  <w:rFonts w:ascii="Arial" w:cs="Arial" w:eastAsia="Arial" w:hAnsi="Arial"/>
                  <w:sz w:val="18"/>
                  <w:szCs w:val="18"/>
                  <w:color w:val="0000FF"/>
                </w:rPr>
                <w:t>Bylaws, as amended, incorporated by reference to Exhibit 3.2 to the Company's Current Report on Form 8-K filed on</w:t>
              </w:r>
            </w:hyperlink>
          </w:p>
        </w:tc>
      </w:tr>
      <w:tr>
        <w:trPr>
          <w:trHeight w:val="156"/>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60">
              <w:r>
                <w:rPr>
                  <w:rFonts w:ascii="Arial" w:cs="Arial" w:eastAsia="Arial" w:hAnsi="Arial"/>
                  <w:sz w:val="18"/>
                  <w:szCs w:val="18"/>
                  <w:color w:val="0000FF"/>
                  <w:w w:val="98"/>
                </w:rPr>
                <w:t>May 4, 2022</w:t>
              </w:r>
            </w:hyperlink>
          </w:p>
        </w:tc>
        <w:tc>
          <w:tcPr>
            <w:tcW w:w="8260" w:type="dxa"/>
            <w:vAlign w:val="bottom"/>
            <w:tcBorders>
              <w:top w:val="single" w:sz="8" w:color="0000FF"/>
            </w:tcBorders>
            <w:gridSpan w:val="5"/>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0000FF"/>
              </w:rPr>
              <w:t>Rule 13a-14(a) Certification of David Ricks, Chair, President, and Chief Executive Officer*</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31.2</w:t>
            </w:r>
          </w:p>
        </w:tc>
        <w:tc>
          <w:tcPr>
            <w:tcW w:w="1300" w:type="dxa"/>
            <w:vAlign w:val="bottom"/>
          </w:tcPr>
          <w:p>
            <w:pPr>
              <w:spacing w:after="0"/>
              <w:rPr>
                <w:sz w:val="24"/>
                <w:szCs w:val="24"/>
                <w:color w:val="auto"/>
              </w:rPr>
            </w:pPr>
          </w:p>
        </w:tc>
        <w:tc>
          <w:tcPr>
            <w:tcW w:w="80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Rule 13a-14(a) Certification of Lucas Montarce, Executive Vice President and Chief Financial Officer*</w:t>
            </w:r>
          </w:p>
        </w:tc>
        <w:tc>
          <w:tcPr>
            <w:tcW w:w="1320" w:type="dxa"/>
            <w:vAlign w:val="bottom"/>
            <w:gridSpan w:val="3"/>
          </w:tcPr>
          <w:p>
            <w:pPr>
              <w:spacing w:after="0"/>
              <w:rPr>
                <w:sz w:val="24"/>
                <w:szCs w:val="24"/>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0000FF"/>
              </w:rPr>
              <w:t>Section 1350 Certification*</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7260" w:type="dxa"/>
            <w:vAlign w:val="bottom"/>
            <w:gridSpan w:val="5"/>
          </w:tcPr>
          <w:p>
            <w:pPr>
              <w:spacing w:after="0" w:line="20" w:lineRule="exact"/>
              <w:rPr>
                <w:sz w:val="1"/>
                <w:szCs w:val="1"/>
                <w:color w:val="auto"/>
              </w:rPr>
            </w:pPr>
          </w:p>
        </w:tc>
      </w:tr>
      <w:tr>
        <w:trPr>
          <w:trHeight w:val="349"/>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Interactive Data Files (embedded within the Inline XBRL document)*</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90"/>
        </w:trPr>
        <w:tc>
          <w:tcPr>
            <w:tcW w:w="1840" w:type="dxa"/>
            <w:vAlign w:val="bottom"/>
            <w:gridSpan w:val="2"/>
          </w:tcPr>
          <w:p>
            <w:pPr>
              <w:spacing w:after="0"/>
              <w:rPr>
                <w:sz w:val="20"/>
                <w:szCs w:val="20"/>
                <w:color w:val="auto"/>
              </w:rPr>
            </w:pPr>
            <w:r>
              <w:rPr>
                <w:rFonts w:ascii="Arial" w:cs="Arial" w:eastAsia="Arial" w:hAnsi="Arial"/>
                <w:sz w:val="14"/>
                <w:szCs w:val="14"/>
                <w:color w:val="auto"/>
              </w:rPr>
              <w:t>* Filed herewith.</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Long-term debt instruments under which the total amount of securities authorized does not exceed 10 percent of our consolidated assets are not filed as exhibits to this Quarterly Report. We will furnish a copy of these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ELI LILLY AND COMPANY</w:t>
            </w:r>
          </w:p>
        </w:tc>
        <w:tc>
          <w:tcPr>
            <w:tcW w:w="6320" w:type="dxa"/>
            <w:vAlign w:val="bottom"/>
          </w:tcPr>
          <w:p>
            <w:pPr>
              <w:spacing w:after="0"/>
              <w:rPr>
                <w:sz w:val="18"/>
                <w:szCs w:val="18"/>
                <w:color w:val="auto"/>
              </w:rPr>
            </w:pPr>
          </w:p>
        </w:tc>
      </w:tr>
      <w:tr>
        <w:trPr>
          <w:trHeight w:val="254"/>
        </w:trPr>
        <w:tc>
          <w:tcPr>
            <w:tcW w:w="5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49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Pr>
          <w:p>
            <w:pPr>
              <w:ind w:left="120"/>
              <w:spacing w:after="0"/>
              <w:rPr>
                <w:sz w:val="20"/>
                <w:szCs w:val="20"/>
                <w:color w:val="auto"/>
              </w:rPr>
            </w:pPr>
            <w:r>
              <w:rPr>
                <w:rFonts w:ascii="Arial" w:cs="Arial" w:eastAsia="Arial" w:hAnsi="Arial"/>
                <w:sz w:val="18"/>
                <w:szCs w:val="18"/>
                <w:color w:val="auto"/>
              </w:rPr>
              <w:t>May 1, 2025</w:t>
            </w:r>
          </w:p>
        </w:tc>
        <w:tc>
          <w:tcPr>
            <w:tcW w:w="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Lucas Montarce</w:t>
            </w:r>
          </w:p>
        </w:tc>
      </w:tr>
      <w:tr>
        <w:trPr>
          <w:trHeight w:val="218"/>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Lucas Montarce</w:t>
            </w:r>
          </w:p>
        </w:tc>
      </w:tr>
      <w:tr>
        <w:trPr>
          <w:trHeight w:val="230"/>
        </w:trPr>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Pr>
          <w:p>
            <w:pPr>
              <w:ind w:left="120"/>
              <w:spacing w:after="0"/>
              <w:rPr>
                <w:sz w:val="20"/>
                <w:szCs w:val="20"/>
                <w:color w:val="auto"/>
              </w:rPr>
            </w:pPr>
            <w:r>
              <w:rPr>
                <w:rFonts w:ascii="Arial" w:cs="Arial" w:eastAsia="Arial" w:hAnsi="Arial"/>
                <w:sz w:val="18"/>
                <w:szCs w:val="18"/>
                <w:color w:val="auto"/>
              </w:rPr>
              <w:t>May 1, 2025</w:t>
            </w:r>
          </w:p>
        </w:tc>
        <w:tc>
          <w:tcPr>
            <w:tcW w:w="2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Zakrowski</w:t>
            </w:r>
          </w:p>
        </w:tc>
      </w:tr>
      <w:tr>
        <w:trPr>
          <w:trHeight w:val="218"/>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Donald Zakrowski</w:t>
            </w:r>
          </w:p>
        </w:tc>
      </w:tr>
      <w:tr>
        <w:trPr>
          <w:trHeight w:val="239"/>
        </w:trPr>
        <w:tc>
          <w:tcPr>
            <w:tcW w:w="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Accounting Officer</w:t>
            </w:r>
          </w:p>
        </w:tc>
      </w:tr>
      <w:tr>
        <w:trPr>
          <w:trHeight w:val="864"/>
        </w:trPr>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500" w:type="dxa"/>
            <w:vAlign w:val="bottom"/>
            <w:gridSpan w:val="3"/>
          </w:tcPr>
          <w:p>
            <w:pPr>
              <w:jc w:val="right"/>
              <w:ind w:right="552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240"/>
          </w:cols>
          <w:pgMar w:left="320" w:top="100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31.1 Rule 13a-14(a) Certification of David Ricks, Chair,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Ricks, Chair, President, and Chief Executive Officer, certify that:</w:t>
      </w:r>
    </w:p>
    <w:p>
      <w:pPr>
        <w:spacing w:after="0" w:line="17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40" w:hanging="332"/>
        <w:spacing w:after="0" w:line="318" w:lineRule="auto"/>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20" w:hanging="324"/>
        <w:spacing w:after="0" w:line="268"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1"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May 1, 2025</w:t>
            </w:r>
          </w:p>
        </w:tc>
      </w:tr>
      <w:tr>
        <w:trPr>
          <w:trHeight w:val="495"/>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David Ricks</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David Ricks</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20"/>
          </w:cols>
          <w:pgMar w:left="320" w:top="105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EXHIBIT 31.2 Rule 13a-14(a) Certification of Lucas Montarce, Executive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Lucas Montarce, Executive Vice President and Chief Financial Officer, certify that:</w:t>
      </w:r>
    </w:p>
    <w:p>
      <w:pPr>
        <w:spacing w:after="0" w:line="17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40" w:hanging="332"/>
        <w:spacing w:after="0" w:line="318"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20" w:hanging="324"/>
        <w:spacing w:after="0" w:line="268"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1"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May 1, 2025</w:t>
            </w:r>
          </w:p>
        </w:tc>
      </w:tr>
      <w:tr>
        <w:trPr>
          <w:trHeight w:val="495"/>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Lucas Montarce</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Lucas Montarce</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20"/>
          </w:cols>
          <w:pgMar w:left="320" w:top="1147"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EXHIBIT 32 Section 1350 Certification</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Quarterly Report on Form 10-Q for the quarter ended March 31, 2025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May 1, 2025</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David Ricks</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David Ricks</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Chair,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May 1, 2025</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Lucas Montarce</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Lucas Montarce</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05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15" Type="http://schemas.openxmlformats.org/officeDocument/2006/relationships/hyperlink" Target="https://www.sec.gov/Archives/edgar/data/59478/000005947825000067/lly-20241231.htm" TargetMode="External"/><Relationship Id="rId59" Type="http://schemas.openxmlformats.org/officeDocument/2006/relationships/hyperlink" Target="https://www.sec.gov/Archives/edgar/data/59478/000005947822000138/articlesofincorporationlly.htm" TargetMode="External"/><Relationship Id="rId60" Type="http://schemas.openxmlformats.org/officeDocument/2006/relationships/hyperlink" Target="https://www.sec.gov/Archives/edgar/data/59478/000005947822000138/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2025-05-01T10:38:10Z</dcterms:created>
  <dcterms:modified xsi:type="dcterms:W3CDTF">2025-05-01T10:38:10Z</dcterms:modified>
</cp:coreProperties>
</file>