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August 5, 2024: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950,425,778</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300" w:type="dxa"/>
            <w:vAlign w:val="bottom"/>
            <w:gridSpan w:val="3"/>
          </w:tcPr>
          <w:p>
            <w:pPr>
              <w:jc w:val="center"/>
              <w:ind w:left="30"/>
              <w:spacing w:after="0"/>
              <w:rPr>
                <w:sz w:val="20"/>
                <w:szCs w:val="20"/>
                <w:color w:val="auto"/>
              </w:rPr>
            </w:pPr>
            <w:r>
              <w:rPr>
                <w:rFonts w:ascii="Arial" w:cs="Arial" w:eastAsia="Arial" w:hAnsi="Arial"/>
                <w:sz w:val="18"/>
                <w:szCs w:val="18"/>
                <w:color w:val="0000FF"/>
                <w:w w:val="89"/>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49</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products;</w:t>
      </w:r>
    </w:p>
    <w:p>
      <w:pPr>
        <w:spacing w:after="0" w:line="63" w:lineRule="exact"/>
        <w:rPr>
          <w:rFonts w:ascii="Arial" w:cs="Arial" w:eastAsia="Arial" w:hAnsi="Arial"/>
          <w:sz w:val="18"/>
          <w:szCs w:val="18"/>
          <w:color w:val="auto"/>
        </w:rPr>
      </w:pPr>
    </w:p>
    <w:p>
      <w:pPr>
        <w:ind w:left="340" w:right="9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an increasingly consolidated supply chain;</w:t>
      </w:r>
    </w:p>
    <w:p>
      <w:pPr>
        <w:spacing w:after="0" w:line="1" w:lineRule="exact"/>
        <w:rPr>
          <w:rFonts w:ascii="Arial" w:cs="Arial" w:eastAsia="Arial" w:hAnsi="Arial"/>
          <w:sz w:val="18"/>
          <w:szCs w:val="18"/>
          <w:color w:val="auto"/>
        </w:rPr>
      </w:pPr>
    </w:p>
    <w:p>
      <w:pPr>
        <w:ind w:left="340" w:right="4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 and risks from the proliferation of counterfeit or illegally compounded products;</w:t>
      </w:r>
    </w:p>
    <w:p>
      <w:pPr>
        <w:spacing w:after="0" w:line="1"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260" w:hanging="332"/>
        <w:spacing w:after="0" w:line="298" w:lineRule="auto"/>
        <w:tabs>
          <w:tab w:leader="none" w:pos="33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or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our actual results or events to differ from those expressed in forward 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particularly under Part I, Item 1A,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be a complete statement of all potential risks and uncertainties.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2" w:right="45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11,302.8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8,312.1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20,070.8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2,170.2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1,807.4</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3,843.7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3,434.1</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2,711.2</w:t>
            </w:r>
          </w:p>
        </w:tc>
        <w:tc>
          <w:tcPr>
            <w:tcW w:w="4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2,356.5</w:t>
            </w:r>
          </w:p>
        </w:tc>
        <w:tc>
          <w:tcPr>
            <w:tcW w:w="42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5,234.0</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4,341.6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2,117.3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1,925.4</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4,069.5</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34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154.3</w:t>
            </w:r>
          </w:p>
        </w:tc>
        <w:tc>
          <w:tcPr>
            <w:tcW w:w="4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97.1</w:t>
            </w:r>
          </w:p>
        </w:tc>
        <w:tc>
          <w:tcPr>
            <w:tcW w:w="42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264.8</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4"/>
        </w:trPr>
        <w:tc>
          <w:tcPr>
            <w:tcW w:w="48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435.0</w:t>
            </w: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435.0</w:t>
            </w:r>
          </w:p>
        </w:tc>
        <w:tc>
          <w:tcPr>
            <w:tcW w:w="4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5)</w:t>
            </w:r>
          </w:p>
        </w:tc>
        <w:tc>
          <w:tcPr>
            <w:tcW w:w="34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12)</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197.6</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36.8</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170.5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7,785.6</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6,223.2</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14,017.5</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11,653.5</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3,517.2</w:t>
            </w:r>
          </w:p>
        </w:tc>
        <w:tc>
          <w:tcPr>
            <w:tcW w:w="42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2,088.9</w:t>
            </w:r>
          </w:p>
        </w:tc>
        <w:tc>
          <w:tcPr>
            <w:tcW w:w="42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6,053.3</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550.2</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325.7</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843.4</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2,967.0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1,763.2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5,209.9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5.78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b w:val="1"/>
                <w:bCs w:val="1"/>
                <w:color w:val="auto"/>
              </w:rPr>
              <w:t>3.28</w:t>
            </w:r>
          </w:p>
        </w:tc>
        <w:tc>
          <w:tcPr>
            <w:tcW w:w="4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1.95</w:t>
            </w:r>
          </w:p>
        </w:tc>
        <w:tc>
          <w:tcPr>
            <w:tcW w:w="4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b w:val="1"/>
                <w:bCs w:val="1"/>
                <w:color w:val="auto"/>
              </w:rPr>
              <w:t>5.76</w:t>
            </w:r>
          </w:p>
        </w:tc>
        <w:tc>
          <w:tcPr>
            <w:tcW w:w="4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900.9</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900.8</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47"/>
        </w:trPr>
        <w:tc>
          <w:tcPr>
            <w:tcW w:w="48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904.2</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902.7</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904.0</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2,967.0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1,763.2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5,209.9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2,888.0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1,751.8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5,158.4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(Note 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3,223.6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Short-term investments (Note 7)</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140.4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$14.4 (2024)</w:t>
            </w:r>
            <w:r>
              <w:rPr>
                <w:rFonts w:ascii="Arial" w:cs="Arial" w:eastAsia="Arial" w:hAnsi="Arial"/>
                <w:sz w:val="18"/>
                <w:szCs w:val="18"/>
                <w:color w:val="auto"/>
              </w:rPr>
              <w:t xml:space="preserve"> and $14.8 (2023)</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11,027.9</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9,090.5</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2,051.1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2,245.7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(Note 6)</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6,481.5</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7,137.6</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5,540.8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142.2</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30,204.3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25,727.0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Investments (Note 7)</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2,877.6</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5,768.2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6,636.1</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6,655.3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5,477.3</w:t>
            </w: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$11,427.8 (2024)</w:t>
            </w:r>
            <w:r>
              <w:rPr>
                <w:rFonts w:ascii="Arial" w:cs="Arial" w:eastAsia="Arial" w:hAnsi="Arial"/>
                <w:sz w:val="18"/>
                <w:szCs w:val="18"/>
                <w:color w:val="auto"/>
              </w:rPr>
              <w:t xml:space="preserve"> and $11,099.3</w:t>
            </w:r>
          </w:p>
        </w:tc>
        <w:tc>
          <w:tcPr>
            <w:tcW w:w="2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14,829.4</w:t>
            </w:r>
          </w:p>
        </w:tc>
        <w:tc>
          <w:tcPr>
            <w:tcW w:w="2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12,913.6</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4,903.9</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71,874.8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5,161.6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6,904.5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2,924.8</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Employee compensation</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1,168.3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rebates and discounts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12,446.8</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11,689.0</w:t>
            </w:r>
          </w:p>
        </w:tc>
        <w:tc>
          <w:tcPr>
            <w:tcW w:w="0" w:type="dxa"/>
            <w:vAlign w:val="bottom"/>
          </w:tcPr>
          <w:p>
            <w:pPr>
              <w:spacing w:after="0"/>
              <w:rPr>
                <w:sz w:val="1"/>
                <w:szCs w:val="1"/>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1,170.5</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4,249.2</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27,121.2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27,293.2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23,730.4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18,320.8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1,420.4</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3,496.6</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2,470.7</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31,118.1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25,849.4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 and Contingencies (Note 10)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i w:val="1"/>
                <w:iCs w:val="1"/>
                <w:color w:val="auto"/>
              </w:rPr>
              <w:t>Eli Lilly and Company Shareholders' Equity</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594.2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7,214.2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13,178.0</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10,312.3</w:t>
            </w: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Arial" w:cs="Arial" w:eastAsia="Arial" w:hAnsi="Arial"/>
                <w:sz w:val="18"/>
                <w:szCs w:val="18"/>
                <w:color w:val="auto"/>
              </w:rPr>
              <w:t>Employee benefit trust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(3,013.2)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(4,378.5)</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13,562.0</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10,771.9</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73.5</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13,635.5</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71,874.8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7" w:right="3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7" w:lineRule="exact"/>
        <w:rPr>
          <w:sz w:val="20"/>
          <w:szCs w:val="20"/>
          <w:color w:val="auto"/>
        </w:rPr>
      </w:pPr>
    </w:p>
    <w:tbl>
      <w:tblPr>
        <w:tblLayout w:type="fixed"/>
        <w:tblInd w:w="3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1640" w:type="dxa"/>
            <w:vAlign w:val="bottom"/>
            <w:gridSpan w:val="2"/>
          </w:tcPr>
          <w:p>
            <w:pPr>
              <w:ind w:left="420"/>
              <w:spacing w:after="0"/>
              <w:rPr>
                <w:sz w:val="20"/>
                <w:szCs w:val="20"/>
                <w:color w:val="auto"/>
              </w:rPr>
            </w:pPr>
            <w:r>
              <w:rPr>
                <w:rFonts w:ascii="Arial" w:cs="Arial" w:eastAsia="Arial" w:hAnsi="Arial"/>
                <w:sz w:val="11"/>
                <w:szCs w:val="11"/>
                <w:b w:val="1"/>
                <w:bCs w:val="1"/>
                <w:color w:val="auto"/>
              </w:rPr>
              <w:t>Common Stock</w:t>
            </w: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6"/>
              </w:rPr>
              <w:t>Additional</w:t>
            </w:r>
          </w:p>
        </w:tc>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Common Stock in Treasury</w:t>
            </w:r>
            <w:r>
              <w:rPr>
                <w:rFonts w:ascii="Arial" w:cs="Arial" w:eastAsia="Arial" w:hAnsi="Arial"/>
                <w:sz w:val="16"/>
                <w:szCs w:val="16"/>
                <w:b w:val="1"/>
                <w:bCs w:val="1"/>
                <w:color w:val="auto"/>
                <w:w w:val="98"/>
                <w:vertAlign w:val="superscript"/>
              </w:rPr>
              <w:t>(1)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vMerge w:val="restart"/>
          </w:tcPr>
          <w:p>
            <w:pPr>
              <w:jc w:val="center"/>
              <w:ind w:left="148"/>
              <w:spacing w:after="0" w:line="95" w:lineRule="exact"/>
              <w:rPr>
                <w:sz w:val="20"/>
                <w:szCs w:val="20"/>
                <w:color w:val="auto"/>
              </w:rPr>
            </w:pPr>
            <w:r>
              <w:rPr>
                <w:rFonts w:ascii="Arial" w:cs="Arial" w:eastAsia="Arial" w:hAnsi="Arial"/>
                <w:sz w:val="10"/>
                <w:szCs w:val="10"/>
                <w:b w:val="1"/>
                <w:bCs w:val="1"/>
                <w:color w:val="auto"/>
              </w:rPr>
              <w:t>Paid-in</w:t>
            </w:r>
          </w:p>
        </w:tc>
        <w:tc>
          <w:tcPr>
            <w:tcW w:w="1020" w:type="dxa"/>
            <w:vAlign w:val="bottom"/>
            <w:vMerge w:val="restart"/>
          </w:tcPr>
          <w:p>
            <w:pPr>
              <w:ind w:left="380"/>
              <w:spacing w:after="0" w:line="95" w:lineRule="exact"/>
              <w:rPr>
                <w:sz w:val="20"/>
                <w:szCs w:val="20"/>
                <w:color w:val="auto"/>
              </w:rPr>
            </w:pPr>
            <w:r>
              <w:rPr>
                <w:rFonts w:ascii="Arial" w:cs="Arial" w:eastAsia="Arial" w:hAnsi="Arial"/>
                <w:sz w:val="10"/>
                <w:szCs w:val="10"/>
                <w:b w:val="1"/>
                <w:bCs w:val="1"/>
                <w:color w:val="auto"/>
              </w:rPr>
              <w:t>Retained</w:t>
            </w:r>
          </w:p>
        </w:tc>
        <w:tc>
          <w:tcPr>
            <w:tcW w:w="940" w:type="dxa"/>
            <w:vAlign w:val="bottom"/>
            <w:vMerge w:val="restart"/>
          </w:tcPr>
          <w:p>
            <w:pPr>
              <w:jc w:val="center"/>
              <w:ind w:left="9"/>
              <w:spacing w:after="0" w:line="95" w:lineRule="exact"/>
              <w:rPr>
                <w:sz w:val="20"/>
                <w:szCs w:val="20"/>
                <w:color w:val="auto"/>
              </w:rPr>
            </w:pPr>
            <w:r>
              <w:rPr>
                <w:rFonts w:ascii="Arial" w:cs="Arial" w:eastAsia="Arial" w:hAnsi="Arial"/>
                <w:sz w:val="10"/>
                <w:szCs w:val="10"/>
                <w:b w:val="1"/>
                <w:bCs w:val="1"/>
                <w:color w:val="auto"/>
              </w:rPr>
              <w:t>Employee</w:t>
            </w:r>
          </w:p>
        </w:tc>
        <w:tc>
          <w:tcPr>
            <w:tcW w:w="12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Comprehensive</w:t>
            </w: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20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continue"/>
          </w:tcPr>
          <w:p>
            <w:pPr>
              <w:spacing w:after="0" w:line="20" w:lineRule="exact"/>
              <w:rPr>
                <w:sz w:val="1"/>
                <w:szCs w:val="1"/>
                <w:color w:val="auto"/>
              </w:rPr>
            </w:pPr>
          </w:p>
        </w:tc>
        <w:tc>
          <w:tcPr>
            <w:tcW w:w="8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8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tcPr>
          <w:p>
            <w:pPr>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8"/>
              </w:rPr>
              <w:t>Capital</w:t>
            </w:r>
          </w:p>
        </w:tc>
        <w:tc>
          <w:tcPr>
            <w:tcW w:w="1020" w:type="dxa"/>
            <w:vAlign w:val="bottom"/>
          </w:tcPr>
          <w:p>
            <w:pPr>
              <w:ind w:left="380"/>
              <w:spacing w:after="0"/>
              <w:rPr>
                <w:sz w:val="20"/>
                <w:szCs w:val="20"/>
                <w:color w:val="auto"/>
              </w:rPr>
            </w:pPr>
            <w:r>
              <w:rPr>
                <w:rFonts w:ascii="Arial" w:cs="Arial" w:eastAsia="Arial" w:hAnsi="Arial"/>
                <w:sz w:val="11"/>
                <w:szCs w:val="11"/>
                <w:b w:val="1"/>
                <w:bCs w:val="1"/>
                <w:color w:val="auto"/>
              </w:rPr>
              <w:t>Earnings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Benefit Trust</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3"/>
              </w:rPr>
              <w:t>Loss</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ind w:left="209"/>
              <w:spacing w:after="0"/>
              <w:rPr>
                <w:sz w:val="20"/>
                <w:szCs w:val="20"/>
                <w:color w:val="auto"/>
              </w:rPr>
            </w:pPr>
            <w:r>
              <w:rPr>
                <w:rFonts w:ascii="Arial" w:cs="Arial" w:eastAsia="Arial" w:hAnsi="Arial"/>
                <w:sz w:val="11"/>
                <w:szCs w:val="11"/>
                <w:b w:val="1"/>
                <w:bCs w:val="1"/>
                <w:color w:val="auto"/>
                <w:w w:val="95"/>
              </w:rPr>
              <w:t>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wp:posOffset>
            </wp:positionV>
            <wp:extent cx="711517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p>
      <w:pPr>
        <w:spacing w:after="0" w:line="23"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April 1, 2023</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Net income (loss)</w:t>
      </w:r>
    </w:p>
    <w:p>
      <w:pPr>
        <w:spacing w:after="0" w:line="26" w:lineRule="exact"/>
        <w:rPr>
          <w:sz w:val="20"/>
          <w:szCs w:val="20"/>
          <w:color w:val="auto"/>
        </w:rPr>
      </w:pPr>
    </w:p>
    <w:p>
      <w:pPr>
        <w:ind w:left="32" w:right="280"/>
        <w:spacing w:after="0" w:line="305" w:lineRule="auto"/>
        <w:rPr>
          <w:sz w:val="20"/>
          <w:szCs w:val="20"/>
          <w:color w:val="auto"/>
        </w:rPr>
      </w:pPr>
      <w:r>
        <w:rPr>
          <w:rFonts w:ascii="Arial" w:cs="Arial" w:eastAsia="Arial" w:hAnsi="Arial"/>
          <w:sz w:val="12"/>
          <w:szCs w:val="12"/>
          <w:color w:val="auto"/>
        </w:rPr>
        <w:t>Other comprehensive loss, net of tax Cash dividends declared per share: $2.26</w:t>
      </w: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June 30, 2023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949,669</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593.5</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6,793.1</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10,639.3</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(3,777.3)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402</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(45.0)</w:t>
            </w:r>
          </w:p>
        </w:tc>
        <w:tc>
          <w:tcPr>
            <w:tcW w:w="4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104.5</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1,763.2</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(11.4)</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(2,034.0)</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0"/>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3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26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161.5</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r>
      <w:tr>
        <w:trPr>
          <w:trHeight w:val="183"/>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949,688</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593.6</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6,948.6</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10,368.5</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(3,788.7)</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402</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(45.0)</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-779145</wp:posOffset>
            </wp:positionV>
            <wp:extent cx="7115175"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-556895</wp:posOffset>
            </wp:positionV>
            <wp:extent cx="7115175"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15175" cy="19748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-247650</wp:posOffset>
            </wp:positionV>
            <wp:extent cx="7115175"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-7620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652" w:space="80"/>
            <w:col w:w="8480"/>
          </w:cols>
          <w:pgMar w:left="328" w:top="890" w:right="359" w:bottom="1440" w:gutter="0" w:footer="0" w:header="0"/>
          <w:type w:val="continuous"/>
        </w:sectPr>
      </w:pPr>
    </w:p>
    <w:p>
      <w:pPr>
        <w:ind w:left="32"/>
        <w:spacing w:after="0"/>
        <w:rPr>
          <w:sz w:val="20"/>
          <w:szCs w:val="20"/>
          <w:color w:val="auto"/>
        </w:rPr>
      </w:pPr>
      <w:r>
        <w:rPr>
          <w:rFonts w:ascii="Arial" w:cs="Arial" w:eastAsia="Arial" w:hAnsi="Arial"/>
          <w:sz w:val="13"/>
          <w:szCs w:val="13"/>
          <w:color w:val="auto"/>
        </w:rPr>
        <w:t>Balance at April 1, 2024</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Net income (loss)</w:t>
      </w:r>
    </w:p>
    <w:p>
      <w:pPr>
        <w:spacing w:after="0" w:line="26" w:lineRule="exact"/>
        <w:rPr>
          <w:sz w:val="20"/>
          <w:szCs w:val="20"/>
          <w:color w:val="auto"/>
        </w:rPr>
      </w:pPr>
    </w:p>
    <w:p>
      <w:pPr>
        <w:ind w:left="32" w:right="280"/>
        <w:spacing w:after="0" w:line="305" w:lineRule="auto"/>
        <w:rPr>
          <w:sz w:val="20"/>
          <w:szCs w:val="20"/>
          <w:color w:val="auto"/>
        </w:rPr>
      </w:pPr>
      <w:r>
        <w:rPr>
          <w:rFonts w:ascii="Arial" w:cs="Arial" w:eastAsia="Arial" w:hAnsi="Arial"/>
          <w:sz w:val="12"/>
          <w:szCs w:val="12"/>
          <w:color w:val="auto"/>
        </w:rPr>
        <w:t>Other comprehensive loss, net of tax Cash dividends declared per share: $2.60</w:t>
      </w: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950,768</w:t>
            </w: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594.2</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7,009.5</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12,553.9</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b w:val="1"/>
                <w:bCs w:val="1"/>
                <w:color w:val="auto"/>
              </w:rPr>
              <w:t>(4,299.5)</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365</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b w:val="1"/>
                <w:bCs w:val="1"/>
                <w:color w:val="auto"/>
              </w:rPr>
              <w:t>(32.7)</w:t>
            </w:r>
          </w:p>
        </w:tc>
        <w:tc>
          <w:tcPr>
            <w:tcW w:w="48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85.2</w:t>
            </w: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2,967.0</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(9.9)</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3"/>
                <w:szCs w:val="13"/>
                <w:b w:val="1"/>
                <w:bCs w:val="1"/>
                <w:color w:val="auto"/>
              </w:rPr>
              <w:t>(79.0)</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(2,342.9)</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10"/>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(6.4)</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211.1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w:t>
            </w:r>
          </w:p>
        </w:tc>
      </w:tr>
      <w:tr>
        <w:trPr>
          <w:trHeight w:val="180"/>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950,781</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594.2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7,214.2</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13,178.0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(4,378.5)</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365</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(32.7)</w:t>
            </w: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-890905</wp:posOffset>
            </wp:positionV>
            <wp:extent cx="711517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-668020</wp:posOffset>
            </wp:positionV>
            <wp:extent cx="711517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-359410</wp:posOffset>
            </wp:positionV>
            <wp:extent cx="711517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-136525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52" w:space="80"/>
            <w:col w:w="8480"/>
          </w:cols>
          <w:pgMar w:left="328" w:top="890" w:right="359" w:bottom="1440" w:gutter="0" w:footer="0" w:header="0"/>
          <w:type w:val="continuous"/>
        </w:sect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June 30, 2024, there was $2.50 billion remaining under our $5.00 billion share repurchase program authorized in May 2021.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type w:val="continuous"/>
        </w:sectPr>
      </w:pPr>
    </w:p>
    <w:bookmarkStart w:id="8" w:name="page9"/>
    <w:bookmarkEnd w:id="8"/>
    <w:tbl>
      <w:tblPr>
        <w:tblLayout w:type="fixed"/>
        <w:tblInd w:w="12"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6"/>
          </w:tcPr>
          <w:p>
            <w:pPr>
              <w:jc w:val="right"/>
              <w:ind w:right="802"/>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w w:val="96"/>
              </w:rPr>
              <w:t>Additional</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restart"/>
          </w:tcPr>
          <w:p>
            <w:pPr>
              <w:jc w:val="right"/>
              <w:ind w:right="102"/>
              <w:spacing w:after="0" w:line="95" w:lineRule="exact"/>
              <w:rPr>
                <w:sz w:val="20"/>
                <w:szCs w:val="20"/>
                <w:color w:val="auto"/>
              </w:rPr>
            </w:pPr>
            <w:r>
              <w:rPr>
                <w:rFonts w:ascii="Arial" w:cs="Arial" w:eastAsia="Arial" w:hAnsi="Arial"/>
                <w:sz w:val="10"/>
                <w:szCs w:val="10"/>
                <w:b w:val="1"/>
                <w:bCs w:val="1"/>
                <w:color w:val="auto"/>
              </w:rPr>
              <w:t>Paid-in</w:t>
            </w:r>
          </w:p>
        </w:tc>
        <w:tc>
          <w:tcPr>
            <w:tcW w:w="300" w:type="dxa"/>
            <w:vAlign w:val="bottom"/>
          </w:tcPr>
          <w:p>
            <w:pPr>
              <w:spacing w:after="0"/>
              <w:rPr>
                <w:sz w:val="4"/>
                <w:szCs w:val="4"/>
                <w:color w:val="auto"/>
              </w:rPr>
            </w:pPr>
          </w:p>
        </w:tc>
        <w:tc>
          <w:tcPr>
            <w:tcW w:w="72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20" w:type="dxa"/>
            <w:vAlign w:val="bottom"/>
            <w:vMerge w:val="restart"/>
          </w:tcPr>
          <w:p>
            <w:pPr>
              <w:jc w:val="right"/>
              <w:ind w:right="122"/>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62"/>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81"/>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20" w:type="dxa"/>
            <w:vAlign w:val="bottom"/>
            <w:vMerge w:val="continue"/>
          </w:tcPr>
          <w:p>
            <w:pPr>
              <w:spacing w:after="0" w:line="20" w:lineRule="exact"/>
              <w:rPr>
                <w:sz w:val="1"/>
                <w:szCs w:val="1"/>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Capital</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90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2023</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950,632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6,921.4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10,042.6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rPr>
              <w:t>(3,844.6)</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3,108.1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3"/>
                <w:szCs w:val="13"/>
                <w:color w:val="auto"/>
              </w:rPr>
              <w:t>55.9</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Cash dividends declared per share: $2.26</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Arial" w:cs="Arial" w:eastAsia="Arial" w:hAnsi="Arial"/>
                <w:sz w:val="13"/>
                <w:szCs w:val="13"/>
                <w:color w:val="auto"/>
              </w:rPr>
              <w:t>(2,034.0)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(748.6)</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(2,299)</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auto"/>
              </w:rPr>
              <w:t>2,299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1,355</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(265.5)</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292.7</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2023</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949,688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10,368.5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color w:val="auto"/>
              </w:rPr>
              <w:t>(3,788.7)</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2"/>
          </w:cols>
          <w:pgMar w:left="328" w:top="1031" w:right="359" w:bottom="1440" w:gutter="0" w:footer="0" w:header="0"/>
        </w:sectPr>
      </w:pPr>
    </w:p>
    <w:p>
      <w:pPr>
        <w:ind w:left="32" w:right="1080"/>
        <w:spacing w:after="0" w:line="278" w:lineRule="auto"/>
        <w:rPr>
          <w:sz w:val="20"/>
          <w:szCs w:val="20"/>
          <w:color w:val="auto"/>
        </w:rPr>
      </w:pPr>
      <w:r>
        <w:rPr>
          <w:rFonts w:ascii="Arial" w:cs="Arial" w:eastAsia="Arial" w:hAnsi="Arial"/>
          <w:sz w:val="13"/>
          <w:szCs w:val="13"/>
          <w:color w:val="auto"/>
        </w:rPr>
        <w:t>Balance at January 1, 2024 Net income (loss)</w:t>
      </w:r>
    </w:p>
    <w:p>
      <w:pPr>
        <w:ind w:left="32" w:right="280"/>
        <w:spacing w:after="0" w:line="305" w:lineRule="auto"/>
        <w:rPr>
          <w:sz w:val="20"/>
          <w:szCs w:val="20"/>
          <w:color w:val="auto"/>
        </w:rPr>
      </w:pPr>
      <w:r>
        <w:rPr>
          <w:rFonts w:ascii="Arial" w:cs="Arial" w:eastAsia="Arial" w:hAnsi="Arial"/>
          <w:sz w:val="12"/>
          <w:szCs w:val="12"/>
          <w:color w:val="auto"/>
        </w:rPr>
        <w:t>Other comprehensive loss, net of tax Cash dividends declared per share: $2.60</w:t>
      </w: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949,781</w:t>
            </w: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593.6</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7,250.4</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10,312.3</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b w:val="1"/>
                <w:bCs w:val="1"/>
                <w:color w:val="auto"/>
              </w:rPr>
              <w:t>(4,327.0)</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402</w:t>
            </w:r>
          </w:p>
        </w:tc>
        <w:tc>
          <w:tcPr>
            <w:tcW w:w="3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(44.2)</w:t>
            </w:r>
          </w:p>
        </w:tc>
        <w:tc>
          <w:tcPr>
            <w:tcW w:w="4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91.8</w:t>
            </w:r>
          </w:p>
        </w:tc>
      </w:tr>
      <w:tr>
        <w:trPr>
          <w:trHeight w:val="172"/>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5,209.9</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(15.0)</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3"/>
                <w:szCs w:val="13"/>
                <w:b w:val="1"/>
                <w:bCs w:val="1"/>
                <w:color w:val="auto"/>
              </w:rPr>
              <w:t>(51.5)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(2,342.9)</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0"/>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w:t>
            </w:r>
          </w:p>
        </w:tc>
        <w:tc>
          <w:tcPr>
            <w:tcW w:w="3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w:t>
            </w:r>
          </w:p>
        </w:tc>
        <w:tc>
          <w:tcPr>
            <w:tcW w:w="26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(406.7)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(37)</w:t>
            </w:r>
          </w:p>
        </w:tc>
        <w:tc>
          <w:tcPr>
            <w:tcW w:w="300" w:type="dxa"/>
            <w:vAlign w:val="bottom"/>
          </w:tcPr>
          <w:p>
            <w:pPr>
              <w:spacing w:after="0"/>
              <w:rPr>
                <w:sz w:val="24"/>
                <w:szCs w:val="24"/>
                <w:color w:val="auto"/>
              </w:rPr>
            </w:pPr>
          </w:p>
        </w:tc>
        <w:tc>
          <w:tcPr>
            <w:tcW w:w="560" w:type="dxa"/>
            <w:vAlign w:val="bottom"/>
          </w:tcPr>
          <w:p>
            <w:pPr>
              <w:jc w:val="center"/>
              <w:ind w:left="17"/>
              <w:spacing w:after="0"/>
              <w:rPr>
                <w:sz w:val="20"/>
                <w:szCs w:val="20"/>
                <w:color w:val="auto"/>
              </w:rPr>
            </w:pPr>
            <w:r>
              <w:rPr>
                <w:rFonts w:ascii="Arial" w:cs="Arial" w:eastAsia="Arial" w:hAnsi="Arial"/>
                <w:sz w:val="13"/>
                <w:szCs w:val="13"/>
                <w:b w:val="1"/>
                <w:bCs w:val="1"/>
                <w:color w:val="auto"/>
                <w:w w:val="94"/>
              </w:rPr>
              <w:t>11.5</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370.5</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w:t>
            </w:r>
          </w:p>
        </w:tc>
      </w:tr>
      <w:tr>
        <w:trPr>
          <w:trHeight w:val="180"/>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950,781</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594.2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7,214.2</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13,178.0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(4,378.5)</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(32.7)</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-890905</wp:posOffset>
            </wp:positionV>
            <wp:extent cx="711517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-668020</wp:posOffset>
            </wp:positionV>
            <wp:extent cx="7115175"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-359410</wp:posOffset>
            </wp:positionV>
            <wp:extent cx="7115175"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-136525</wp:posOffset>
            </wp:positionV>
            <wp:extent cx="711517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52" w:space="80"/>
            <w:col w:w="8480"/>
          </w:cols>
          <w:pgMar w:left="328" w:top="1031" w:right="359" w:bottom="1440" w:gutter="0" w:footer="0" w:header="0"/>
          <w:type w:val="continuous"/>
        </w:sectPr>
      </w:pPr>
    </w:p>
    <w:p>
      <w:pPr>
        <w:ind w:left="132" w:hanging="132"/>
        <w:spacing w:after="0"/>
        <w:tabs>
          <w:tab w:leader="none" w:pos="132"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As of June 30, 2024, there was $2.50 billion remaining under our $5.00 billion share repurchase program authorized in May 2021.</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Six Months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5,209.9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3,108.1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815.0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(1,286.6)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370.5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142.2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264.8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(3,150.3)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266.7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2,632.2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(2,211.1)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75.4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250.1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388.4</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(250.1)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(947.7)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(274.5)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30.4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(3,376.3)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(2,341.6)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(1,804.7)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(1,498.0)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6,452.5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(664.2)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(397.8)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1,244.2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(95.1)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405.0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2,818.6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2,067.0</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3,223.6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2,694.5</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Early adoption is permitted.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requires disclosures about significant segment expenses and additional interim disclosure requirements. This standard also requires a single reportable segment to provide all disclosures required by Accounting Standards Codification Topic 280. This standard is effective for fiscal years beginning after December 15, 2023, and interim periods within fiscal years beginning after December 15, 2024. Early adoption is permitted, and the amendments should be applied retrospectively for all prior periods presented in the consolidated financial statements. We intend to adopt this standard in our Annual Report on Form 10-K for the year ending December 31, 2024.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10,354.9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6,979.8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18,151.4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13,218.0</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947.9</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1,332.3</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1,919.4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11,302.8</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8,312.1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20,070.8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15,272.1</w:t>
            </w:r>
          </w:p>
        </w:tc>
      </w:tr>
    </w:tbl>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Trajenta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families of products resulting from our collaboration with Boehringer Ingelheim and from the 2023 sale of rights for Baqsimi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discussed in Note 4. Substantially all of the remainder of collaboration and other revenue is related to contracts accounted for as contracts with customers. Collaboration and other revenue associated with intellectual property licensed in prior periods was not material during the three and six months ended June 30, 2024 and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4 percent and 3 percent of U.S. revenue during the three and six months ended June 30, 2024, respectively, and less than 1 percent of U.S. revenue during the three and six months ended June 30,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180.1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bl>
    <w:p>
      <w:pPr>
        <w:spacing w:after="0" w:line="184"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During the three and six months ended June 30, 2024 and 2023,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June 30,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Mounjaro</w:t>
            </w:r>
            <w:r>
              <w:rPr>
                <w:rFonts w:ascii="Arial" w:cs="Arial" w:eastAsia="Arial" w:hAnsi="Arial"/>
                <w:sz w:val="23"/>
                <w:szCs w:val="23"/>
                <w:i w:val="1"/>
                <w:iCs w:val="1"/>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3,090.8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979.7</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1,245.6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1,243.2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1,243.2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769.6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434.7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631.6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440.4</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 (3)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180.8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Baqsimi</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117.0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5,716.1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7,514.6</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5,010.9</w:t>
            </w:r>
          </w:p>
        </w:tc>
      </w:tr>
      <w:tr>
        <w:trPr>
          <w:trHeight w:val="94"/>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861.4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470.5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1,331.9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926.8</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248.9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155.8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123.0</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oncology</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299.1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oncology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2,158.7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w:t>
            </w:r>
          </w:p>
        </w:tc>
      </w:tr>
      <w:tr>
        <w:trPr>
          <w:trHeight w:val="95"/>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Immunology: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539.4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285.3</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824.7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703.9</w:t>
            </w:r>
          </w:p>
        </w:tc>
      </w:tr>
      <w:tr>
        <w:trPr>
          <w:trHeight w:val="230"/>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1,082.4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r>
      <w:tr>
        <w:trPr>
          <w:trHeight w:val="95"/>
        </w:trPr>
        <w:tc>
          <w:tcPr>
            <w:tcW w:w="3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137.6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192.0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neuroscience</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neuroscience</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191.9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339.5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95"/>
        </w:trPr>
        <w:tc>
          <w:tcPr>
            <w:tcW w:w="38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69.9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207.6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11,302.8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20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six months ended June 30,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3,934.0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963.4</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4,897.4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1,548.2</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1,958.6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2,701.9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3,789.6</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Zepbound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1,760.6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1,760.6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1,456.1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r>
      <w:tr>
        <w:trPr>
          <w:trHeight w:val="230"/>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773.0</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397.3</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1,170.3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901.4</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Humulin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429.8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r>
      <w:tr>
        <w:trPr>
          <w:trHeight w:val="229"/>
        </w:trPr>
        <w:tc>
          <w:tcPr>
            <w:tcW w:w="3860" w:type="dxa"/>
            <w:vAlign w:val="bottom"/>
          </w:tcPr>
          <w:p>
            <w:pPr>
              <w:ind w:left="56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188.4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149.9</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338.3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Baqsimi</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241.7</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9,806.1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3,201.6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13,007.6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9,201.3</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1,499.6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882.6</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2,382.2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1,677.7</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Cyramza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478.7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Erbitux</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275.0</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300.4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Tyvyt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275.6</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567.7</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2,273.5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3,968.7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3,027.0</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886.4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542.3</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1,428.8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1,230.8</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Olumiant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445.1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1,916.3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w:t>
            </w:r>
          </w:p>
        </w:tc>
      </w:tr>
      <w:tr>
        <w:trPr>
          <w:trHeight w:val="94"/>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Emgality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262.7</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155.1</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417.8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310.8</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neuroscience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355.1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373.5</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728.6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95"/>
        </w:trPr>
        <w:tc>
          <w:tcPr>
            <w:tcW w:w="3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9"/>
        </w:trPr>
        <w:tc>
          <w:tcPr>
            <w:tcW w:w="38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Cialis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Forteo</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131.2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270.3</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351.6</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449.6</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w:t>
            </w: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13,529.6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6,541.2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20,070.8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60" w:hanging="152"/>
        <w:spacing w:after="0" w:line="204"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Basaglar revenue includes Rezvoglar.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7,835.2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5,531.4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13,529.6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9,967.6</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1,403.7</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1,177.6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2,844.4</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462.7</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455.6</w:t>
            </w:r>
          </w:p>
        </w:tc>
        <w:tc>
          <w:tcPr>
            <w:tcW w:w="4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826.6</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842.8</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395.1</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399.0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771.3</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1,206.1</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748.5</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2,098.9</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1,421.5</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11,302.8</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8,312.1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20,070.8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 or other party.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2024, we acquired all outstanding membership interests of NexPharm Parent HoldCo, LLC and Isopro Holdings, LLC, which together own the assets of a manufacturing site in Pleasant Prairie, Wisconsin, for a purchase price of $924.7 million, net of cash acquired. The facility is intended to further expand our global parenteral (injectable) product manufacturing network.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May 23,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bl>
    <w:p>
      <w:pPr>
        <w:spacing w:after="0" w:line="85" w:lineRule="exact"/>
        <w:rPr>
          <w:sz w:val="20"/>
          <w:szCs w:val="20"/>
          <w:color w:val="auto"/>
        </w:rPr>
      </w:pPr>
    </w:p>
    <w:p>
      <w:pPr>
        <w:ind w:left="180" w:right="480" w:hanging="172"/>
        <w:spacing w:after="0" w:line="229"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synergies between the manufacturing capabilities of the site and our products as well as the assembled workforce of the site, which is deductible for tax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this acquisition for the three and six months ended June 30, 2024 were not material.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six months ended June 30,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December 2023, we acquired all shares of POINT Biopharma Global Inc. (POINT) for a purchase price of $12.50 per share in cash (or an aggregate of $ 1.04 billion, net of cash acquired). POINT has capabilities in radiopharmaceutical discovery, development, and manufacturing efforts, as well as clinical and pre-clinical radioligand therapies in development for the treatment of cancer.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and Liabilities Assumed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access to POINT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 (IPR&amp;D)</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8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bl>
    <w:p>
      <w:pPr>
        <w:spacing w:after="0" w:line="85" w:lineRule="exact"/>
        <w:rPr>
          <w:sz w:val="20"/>
          <w:szCs w:val="20"/>
          <w:color w:val="auto"/>
        </w:rPr>
      </w:pPr>
    </w:p>
    <w:p>
      <w:pPr>
        <w:ind w:left="180" w:right="200" w:hanging="172"/>
        <w:spacing w:after="0" w:line="238"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radiopharmaceutical discovery, development, and manufacturing capabilities and the assembled workforce for POINT, which is not deductible for tax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results of operations attributable to POINT for the three and six months ended June 30, 2024 were not material.</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six months ended June 30,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$154.3 million and $264.8 million for the three and six months ended June 30, 2024, respectively, and $97.1 million and $202.1 million for the three and six months ended June 30, 2023,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July 2024, we announced an agreement to acquire Morphic Holding, Inc. (Morphic) for a purchase price of $57.00 per share in cash (an aggregate of approximately $3.2 billion) payable at closing. The proposed acquisition is subject to customary closing conditions, including the tender of a majority of the outstanding shares of Morphic's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Similar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Currently included in the collaboration are Boehringer Ingelheim's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products: Basaglar and Rezvoglar. Glyxambi, Synjardy, and Trijardy XR are included in the Jardiance product family. Jentadueto is included in the Trajenta product family. Rezvoglar is included in the Basaglar product family.</w:t>
      </w:r>
    </w:p>
    <w:p>
      <w:pPr>
        <w:spacing w:after="0" w:line="8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Net milestones capitalized with respect to Jardiance and Trajenta and net milestones deferred with respect to Basaglar are not material.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 The following table summarizes our revenue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769.6</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668.3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1,456.1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Basaglar</w:t>
            </w:r>
          </w:p>
        </w:tc>
        <w:tc>
          <w:tcPr>
            <w:tcW w:w="9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180.8</w:t>
            </w:r>
          </w:p>
        </w:tc>
        <w:tc>
          <w:tcPr>
            <w:tcW w:w="10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154.2</w:t>
            </w:r>
          </w:p>
        </w:tc>
        <w:tc>
          <w:tcPr>
            <w:tcW w:w="44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b w:val="1"/>
                <w:bCs w:val="1"/>
                <w:color w:val="auto"/>
              </w:rPr>
              <w:t>338.3</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76.6</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103.6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165.5</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4"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were capitalized as intangible assets and are being amortized to cost of sales through the term of the collaboration. Net milestones capitalized are not material. As of June 30, 2024, Incyte is eligible to receive up to $100.0 million of additional payments from us in potential sales-based milestones.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227.7</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218.9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445.1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239.7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Ebglyss</w:t>
      </w:r>
      <w:r>
        <w:rPr>
          <w:rFonts w:ascii="Times New Roman" w:cs="Times New Roman" w:eastAsia="Times New Roman" w:hAnsi="Times New Roman"/>
          <w:sz w:val="23"/>
          <w:szCs w:val="23"/>
          <w:b w:val="1"/>
          <w:bCs w:val="1"/>
          <w:color w:val="auto"/>
          <w:vertAlign w:val="superscript"/>
        </w:rPr>
        <w:t>®</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June 30, 2024, Roche is eligible to receive additional payments from us, including up to $100.0 million contingent upon the achievement of additional success-based regulatory milestones and up to $1.03 billion in potential sales-based milestones. During the three and six months ended June 30, 2024 and 2023, milestone payments to Roche were not material.</w:t>
      </w:r>
    </w:p>
    <w:p>
      <w:pPr>
        <w:spacing w:after="0" w:line="7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lebrikizumab, which is branded and trademarked as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and six months ended June 30, 2024 and 2023, collaboration and other revenue recognized under this license agreement was not material. As of June 30, 2024,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 single digits to low teens if the product is successfully commercialized. As of June 30, 2024, Chugai is eligible to receive up to $140.0 million contingent upon the achievement of success-based regulatory milestones and up to $250.0 million in a series of sales-based milestones, contingent upon the commercial success of orforglipron. During the three and six months ended June 30, 2024 and 2023, milestone payments to Chugai were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Baqsimi</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June 2023, we sold the rights for Baqsimi to Amphastar Pharmaceuticals, Inc. (Amphastar). Under the terms of the agreement, we received $500.0 million in cash upon closing and an additional $125.0 million in cash upon the one year anniversary of closing. We included both in the transaction price as of June 30, 2023. We are eligible to receive payments of up to $450.0 million in a series of sales-based milestones that have not been included in the transaction price as of June 30, 2024.</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entered into a supply agreement with Amphastar that obligates Amphastar to purchase Baqsimi product we are manufacturing at an amount which represents a stand alone selling price. As the product we are manufacturing under this supply agreement has no alternative use to us and we have right to payment, we will recognize net product revenue over time as we manufacture the product.</w:t>
      </w:r>
    </w:p>
    <w:p>
      <w:pPr>
        <w:spacing w:after="0" w:line="6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For the three and six months ended June 30, 2023, we recognized $579.0 million in revenue primarily related to the net gain on the sale of rights for Baqsimi. Cash received from the sale of rights for Baqsimi was included in cash flows from investing activities for the six months ended June 30, 2024 and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Asset impairment, restructuring, and other special charges recognized during the three and six months ended June 30, 2024 were $435.0 million, which was related to anticipated litigation payments. See Note 10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 impairment, restructuring, and other special charges recognized during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811.1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b w:val="1"/>
                <w:bCs w:val="1"/>
                <w:color w:val="auto"/>
              </w:rPr>
              <w:t>3,706.4</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3,248.6</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1,876.3</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280" w:type="dxa"/>
            <w:vAlign w:val="bottom"/>
          </w:tcPr>
          <w:p>
            <w:pPr>
              <w:spacing w:after="0"/>
              <w:rPr>
                <w:sz w:val="19"/>
                <w:szCs w:val="19"/>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b w:val="1"/>
                <w:bCs w:val="1"/>
                <w:color w:val="auto"/>
              </w:rPr>
              <w:t>6,393.8</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5,670.4</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(LIFO) cost</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87.7</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6,481.5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5,772.8</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six months ended June 30, 2024 and 2023 were not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net losses recognized in our consolidated condensed statements of operations for equity securities were $157.9 million and</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$141.9 million for the three and six months ended June 30, 2024, respectively, and $64.9 million and $78.6 million for the three and six months ended June 30, 2023, respectively. The net gains (losses) recognized for the three and six months ended June 30, 2024 and 2023 on equity securities sold during the respective periods were not material.</w:t>
      </w:r>
    </w:p>
    <w:p>
      <w:pPr>
        <w:spacing w:after="0" w:line="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June 30, 2024, we had approximately $900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six months ended June 30, 2024 and 2023.</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185.7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900" w:type="dxa"/>
            <w:vAlign w:val="bottom"/>
          </w:tcPr>
          <w:p>
            <w:pPr>
              <w:spacing w:after="0"/>
              <w:rPr>
                <w:sz w:val="19"/>
                <w:szCs w:val="19"/>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44.3</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104.7</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9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508.4</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452.0</w:t>
            </w:r>
          </w:p>
        </w:tc>
      </w:tr>
    </w:tbl>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2024,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June 30, 2024,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and six months ended June 30, 2024 and 2023. Proceeds from sales of available-for-sale investments were $21.0 million and $45.4 million for the three and six months ended June 30, 2024, respectively, and $34.2 million and $61.8 million for the three and six months ended June 30, 2023,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summarizes certain fair value information at June 30, 2024 and December 31, 2023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1,394.2</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1,394.2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1,385.5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8.7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1,394.2</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29.7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65.3</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65.0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43.1</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9.3</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33.8</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43.1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140.4</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141.2</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156.9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141.2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221.4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206.2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159.1</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171.4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159.1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159.1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50.9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137.4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90.8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131.2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473.6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472.5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472.5</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659.0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1,052.2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2,877.6</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25.0</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13.6</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226.6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167.1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157.3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493.2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608.0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10"/>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2" w:name="page23"/>
    <w:bookmarkEnd w:id="22"/>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may be using, the net cash proceeds from the offering of $6.45 billion for general business purposes, including the repayment of outstanding commercial paper, repayment of current maturities of long-term debt, and repayment of the $750.0 million of 5.000 percent fixed-rate notes due in 2026.</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February 2023, we issued $750.0 million of 5.000 percent fixed-rate notes due in 2026, $1.00 billion of 4.700 percent fixed-rate notes due in 2033, $ 1.25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color w:val="auto"/>
        </w:rPr>
        <w:t>The following table summarizes certain fair value information at June 30, 2024 and December 31, 2023 for our short-term and long-term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for Identical</w:t>
            </w:r>
          </w:p>
        </w:tc>
        <w:tc>
          <w:tcPr>
            <w:tcW w:w="14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5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June 30, 2024</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(4,384.7)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(4,375.2)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ind w:left="900"/>
              <w:spacing w:after="0"/>
              <w:rPr>
                <w:sz w:val="20"/>
                <w:szCs w:val="20"/>
                <w:color w:val="auto"/>
              </w:rPr>
            </w:pPr>
            <w:r>
              <w:rPr>
                <w:rFonts w:ascii="Arial" w:cs="Arial" w:eastAsia="Arial" w:hAnsi="Arial"/>
                <w:sz w:val="18"/>
                <w:szCs w:val="18"/>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(4,375.2)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(6,189.4)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(24,507.3)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(21,709.9)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(21,709.9)</w:t>
            </w:r>
          </w:p>
        </w:tc>
        <w:tc>
          <w:tcPr>
            <w:tcW w:w="0" w:type="dxa"/>
            <w:vAlign w:val="bottom"/>
          </w:tcPr>
          <w:p>
            <w:pPr>
              <w:spacing w:after="0"/>
              <w:rPr>
                <w:sz w:val="1"/>
                <w:szCs w:val="1"/>
                <w:color w:val="auto"/>
              </w:rPr>
            </w:pPr>
          </w:p>
        </w:tc>
      </w:tr>
      <w:tr>
        <w:trPr>
          <w:trHeight w:val="239"/>
        </w:trPr>
        <w:tc>
          <w:tcPr>
            <w:tcW w:w="3820" w:type="dxa"/>
            <w:vAlign w:val="bottom"/>
          </w:tcPr>
          <w:p>
            <w:pPr>
              <w:ind w:left="140"/>
              <w:spacing w:after="0"/>
              <w:rPr>
                <w:sz w:val="20"/>
                <w:szCs w:val="20"/>
                <w:color w:val="auto"/>
              </w:rPr>
            </w:pPr>
            <w:r>
              <w:rPr>
                <w:rFonts w:ascii="Arial" w:cs="Arial" w:eastAsia="Arial" w:hAnsi="Arial"/>
                <w:sz w:val="18"/>
                <w:szCs w:val="18"/>
                <w:color w:val="auto"/>
              </w:rPr>
              <w:t>December 31, 2023</w:t>
            </w:r>
          </w:p>
        </w:tc>
        <w:tc>
          <w:tcPr>
            <w:tcW w:w="76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(19,035.9)</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(17,221.7)</w:t>
            </w:r>
          </w:p>
        </w:tc>
        <w:tc>
          <w:tcPr>
            <w:tcW w:w="220" w:type="dxa"/>
            <w:vAlign w:val="bottom"/>
          </w:tcPr>
          <w:p>
            <w:pPr>
              <w:spacing w:after="0"/>
              <w:rPr>
                <w:sz w:val="20"/>
                <w:szCs w:val="20"/>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(17,221.7)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$364.1 million and $431.9 million of accounts receivable as of June 30, 2024 and December 31, 2023, respectively, under these factoring arrangements. The costs of factoring such accounts receivable as well as estimated credit losses were not material for the three and six months ended June 30, 2024 and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jc w:val="both"/>
        <w:ind w:right="46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11)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11).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(primarily the euro, Chinese yuan,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June 30, 2024, we had outstanding foreign currency forward commitments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2024</w:t>
      </w:r>
    </w:p>
    <w:p>
      <w:pPr>
        <w:spacing w:after="0" w:line="35"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11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318"/>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2020" w:type="dxa"/>
            <w:vAlign w:val="bottom"/>
            <w:gridSpan w:val="2"/>
          </w:tcPr>
          <w:p>
            <w:pPr>
              <w:jc w:val="center"/>
              <w:ind w:left="78"/>
              <w:spacing w:after="0" w:line="147" w:lineRule="exact"/>
              <w:rPr>
                <w:sz w:val="20"/>
                <w:szCs w:val="20"/>
                <w:color w:val="auto"/>
              </w:rPr>
            </w:pPr>
            <w:r>
              <w:rPr>
                <w:rFonts w:ascii="Arial" w:cs="Arial" w:eastAsia="Arial" w:hAnsi="Arial"/>
                <w:sz w:val="14"/>
                <w:szCs w:val="14"/>
                <w:b w:val="1"/>
                <w:bCs w:val="1"/>
                <w:color w:val="auto"/>
              </w:rPr>
              <w:t>Amount</w:t>
            </w: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780" w:type="dxa"/>
            <w:vAlign w:val="bottom"/>
          </w:tcPr>
          <w:p>
            <w:pPr>
              <w:jc w:val="right"/>
              <w:ind w:right="418"/>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5,236.9</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860" w:type="dxa"/>
            <w:vAlign w:val="bottom"/>
          </w:tcPr>
          <w:p>
            <w:pPr>
              <w:jc w:val="right"/>
              <w:spacing w:after="0"/>
              <w:rPr>
                <w:sz w:val="20"/>
                <w:szCs w:val="20"/>
                <w:color w:val="auto"/>
              </w:rPr>
            </w:pPr>
            <w:r>
              <w:rPr>
                <w:rFonts w:ascii="Arial" w:cs="Arial" w:eastAsia="Arial" w:hAnsi="Arial"/>
                <w:sz w:val="18"/>
                <w:szCs w:val="18"/>
                <w:color w:val="auto"/>
              </w:rPr>
              <w:t>2,844.2</w:t>
            </w: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tcPr>
          <w:p>
            <w:pPr>
              <w:jc w:val="right"/>
              <w:spacing w:after="0"/>
              <w:rPr>
                <w:sz w:val="20"/>
                <w:szCs w:val="20"/>
                <w:color w:val="auto"/>
              </w:rPr>
            </w:pPr>
            <w:r>
              <w:rPr>
                <w:rFonts w:ascii="Arial" w:cs="Arial" w:eastAsia="Arial" w:hAnsi="Arial"/>
                <w:sz w:val="18"/>
                <w:szCs w:val="18"/>
                <w:color w:val="auto"/>
              </w:rPr>
              <w:t>2,649.7</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38,354.0</w:t>
            </w:r>
          </w:p>
        </w:tc>
        <w:tc>
          <w:tcPr>
            <w:tcW w:w="0" w:type="dxa"/>
            <w:vAlign w:val="bottom"/>
          </w:tcPr>
          <w:p>
            <w:pPr>
              <w:spacing w:after="0"/>
              <w:rPr>
                <w:sz w:val="1"/>
                <w:szCs w:val="1"/>
                <w:color w:val="auto"/>
              </w:rPr>
            </w:pPr>
          </w:p>
        </w:tc>
      </w:tr>
      <w:tr>
        <w:trPr>
          <w:trHeight w:val="239"/>
        </w:trPr>
        <w:tc>
          <w:tcPr>
            <w:tcW w:w="1160" w:type="dxa"/>
            <w:vAlign w:val="bottom"/>
          </w:tcPr>
          <w:p>
            <w:pPr>
              <w:ind w:left="20"/>
              <w:spacing w:after="0"/>
              <w:rPr>
                <w:sz w:val="20"/>
                <w:szCs w:val="20"/>
                <w:color w:val="auto"/>
              </w:rPr>
            </w:pPr>
            <w:r>
              <w:rPr>
                <w:rFonts w:ascii="Arial" w:cs="Arial" w:eastAsia="Arial" w:hAnsi="Arial"/>
                <w:sz w:val="18"/>
                <w:szCs w:val="18"/>
                <w:color w:val="auto"/>
                <w:w w:val="98"/>
              </w:rPr>
              <w:t>British pounds</w:t>
            </w:r>
          </w:p>
        </w:tc>
        <w:tc>
          <w:tcPr>
            <w:tcW w:w="1860" w:type="dxa"/>
            <w:vAlign w:val="bottom"/>
          </w:tcPr>
          <w:p>
            <w:pPr>
              <w:jc w:val="right"/>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U.S. dollars</w:t>
            </w:r>
          </w:p>
        </w:tc>
        <w:tc>
          <w:tcPr>
            <w:tcW w:w="178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Foreign currency exchange risk is also managed through the use of foreign currency debt, cross-currency interest rate swaps, and foreign currency forward contracts. Our foreign currency-denominated notes had carrying amounts of $6.86 billion and $7.14 billion as of June 30, 2024 and December 31, 2023, respectively, of which $5.50 billion and $5.67 billion have been designated as, and are effective as, economic hedges of net investments in certain of our foreign operations as of June 30, 2024 and December 31, 2023, respectively. At June 30, 2024, we had outstanding cross-currency swaps with notional amounts of $728.6 million swapping U.S. dollars to euro and $402.3 million swapping Swiss francs to U.S. dollars which have settlement dates ranging through 2028. Our cross-currency interest rate swaps, for which a significant amount convert a portion of our U.S. dollar-denominated fixed-rate debt to foreign-denominated fixed-rate debt, have also been designated as, and are effective as, economic hedges of net investments. At June 30, 2024, we had outstanding foreign currency forward contracts to sell 6.40 billion euro and to sell 2.70 billion Chinese yuan with settlement dates ranging through 2025, which have been designated as, and are effective as, economic hedges of net investments.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2024, all of our total long-term debt is at a fixed rate. We have converted approximately 8 percent of our long-term fixed-rate notes to floating rates through the use of interest rate swaps.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4" w:name="page25"/>
    <w:bookmarkEnd w:id="24"/>
    <w:p>
      <w:pPr>
        <w:ind w:right="140"/>
        <w:spacing w:after="0" w:line="278" w:lineRule="auto"/>
        <w:rPr>
          <w:sz w:val="20"/>
          <w:szCs w:val="20"/>
          <w:color w:val="auto"/>
        </w:rPr>
      </w:pPr>
      <w:r>
        <w:rPr>
          <w:rFonts w:ascii="Arial" w:cs="Arial" w:eastAsia="Arial" w:hAnsi="Arial"/>
          <w:sz w:val="17"/>
          <w:szCs w:val="17"/>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11)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6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97"/>
              </w:rPr>
              <w:t>(34.4)</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19.0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w:t>
            </w:r>
          </w:p>
        </w:tc>
        <w:tc>
          <w:tcPr>
            <w:tcW w:w="10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10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4.4</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10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3.3</w:t>
            </w:r>
          </w:p>
        </w:tc>
        <w:tc>
          <w:tcPr>
            <w:tcW w:w="106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97"/>
              </w:rPr>
              <w:t>(17.1)</w:t>
            </w:r>
          </w:p>
        </w:tc>
        <w:tc>
          <w:tcPr>
            <w:tcW w:w="4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87.3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w:t>
            </w:r>
          </w:p>
        </w:tc>
        <w:tc>
          <w:tcPr>
            <w:tcW w:w="10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31.6</w:t>
            </w:r>
          </w:p>
        </w:tc>
        <w:tc>
          <w:tcPr>
            <w:tcW w:w="10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29.6</w:t>
            </w: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34.0</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36.9</w:t>
            </w:r>
          </w:p>
        </w:tc>
        <w:tc>
          <w:tcPr>
            <w:tcW w:w="10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125.7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color w:val="auto"/>
        </w:rPr>
        <w:t>During the three and six months ended June 30, 2024 and 2023,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000" w:type="dxa"/>
            <w:vAlign w:val="bottom"/>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42.0</w:t>
            </w:r>
          </w:p>
        </w:tc>
        <w:tc>
          <w:tcPr>
            <w:tcW w:w="110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b w:val="1"/>
                <w:bCs w:val="1"/>
                <w:color w:val="auto"/>
              </w:rPr>
              <w:t>173.8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19.3</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0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32.7</w:t>
            </w:r>
          </w:p>
        </w:tc>
        <w:tc>
          <w:tcPr>
            <w:tcW w:w="1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b w:val="1"/>
                <w:bCs w:val="1"/>
                <w:color w:val="auto"/>
              </w:rPr>
              <w:t>131.8</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10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b w:val="1"/>
                <w:bCs w:val="1"/>
                <w:color w:val="auto"/>
              </w:rPr>
              <w:t>77.4</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15.6</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bl>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next 12 months, we expect to reclassify $5.3 million of pretax net losses on cash flow hedges from accumulated other comprehensive loss to other–net, (income) expense. During the three and six months ended June 30, 2024 and 2023, the amounts excluded from the assessment of hedge effectiveness recognized in other comprehensive income (loss) were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certain fair value information at June 30, 2024 and December 31, 2023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(3.8)</w:t>
            </w:r>
          </w:p>
        </w:tc>
        <w:tc>
          <w:tcPr>
            <w:tcW w:w="220" w:type="dxa"/>
            <w:vAlign w:val="bottom"/>
          </w:tcPr>
          <w:p>
            <w:pPr>
              <w:jc w:val="right"/>
              <w:ind w:right="46"/>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ind w:left="940"/>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(118.0)</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(13.9)</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47.0</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47.0</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78.8</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78.8</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(13.7)</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(40.6)</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1"/>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1"/>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rPr>
              <w:t>Significant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rPr>
              <w:t>Unobservable</w:t>
            </w: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(100.3)</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291.2</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291.2</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113.8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63.1</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63.1</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Foreign exchange contracts designated as hedging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(115.8)</w:t>
            </w:r>
          </w:p>
        </w:tc>
        <w:tc>
          <w:tcPr>
            <w:tcW w:w="2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(115.8)</w:t>
            </w:r>
          </w:p>
        </w:tc>
        <w:tc>
          <w:tcPr>
            <w:tcW w:w="20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129.6</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Contingent consideration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(64.4)</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(64.4)</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Contingent consideration liabilities relate to our liabilities arising in connection with the contingent value rights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8: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effective tax rate was 15.6 percent and 13.9 percent for the three and six months ended June 30, 2024, respectively, compared to 15.6 percent and 14.1 percent for the three and six months ended June 30, 2023, respectively. The effective tax rates for the three and six months ended June 30, 2024 reflect a mix of earnings in higher tax jurisdictions, while effective tax rates for the three and six months ended June 30, 2023 reflect the tax impact of the sale of rights for Baqsimi. Additionally, the effective tax rates for the six months ended June 30, 2024 and 2023 were both reduced by net discrete tax benefits, with a larger net discrete tax benefit reflected in the six months ended June 30, 2024 compared to the same period in 2023.</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examination of tax years 2016-2018 began in 2019 and remains ongoing. The Internal Revenue Service commenced its examination of tax years 2019-2021 during the third quarter of 2023. The resolution of both audit periods will likely extend beyond the next 12 months.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Defined Benefit Pension Plans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85.6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74.9</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169.4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165.7</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162.6</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330.7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(277.9)</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(264.2)</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(555.5)</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(527.5)</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31.8</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30.9</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62.4</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431"/>
        </w:trPr>
        <w:tc>
          <w:tcPr>
            <w:tcW w:w="4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Retiree Health Benefit Plans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9.5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8.2</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17.7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15.6</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31.1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(96.1)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Contingencies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regulatory agencies, competitors, customers, suppliers, service providers, licensees, employees, or shareholders, among others. These matters may involve patent infringement, antitrust, securities, pricing, access, sales and marketing practices, environmental, commercial, contractual rights, licensing obligations, health and safety matters, consumer fraud, employment matters, product liability, insurance coverage, and regulatory compliance,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defending against the legal proceedings in which we are named as defendants vigorously. It is not possible to determine the final outcome of these matters, and, unless otherwise noted,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Litigation accruals and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are infringed by our launch and continued sales of Emgality for the prevention of migraine in adults.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Following a trial, in November 2022, a jury returned a verdict in favor of Teva. In September 2023, the court granted our motion to overrule the jury verdict and found all asserted claims of the three patents invalid. Teva has appealed the decision. This matter is ongoing.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Litigation</w:t>
      </w:r>
    </w:p>
    <w:p>
      <w:pPr>
        <w:spacing w:after="0" w:line="6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named along with Takeda Chemical Industries, Ltd. and Takeda affiliates (collectively, Takeda) in a third party payor class action in the U.S. District Court for the Central District of California. Plaintiffs claim that they and similarly situated class members are entitled to recover money paid for or to reimburse Actos prescriptions because of alleged concealment of bladder cancer risk. Our agreement with Takeda calls for Takeda to defend and indemnify us against our losses and expenses with respect to U.S. litigation arising out of the manufacture, use, or sale of Actos and other related expenses in accordance with the terms of the agreement. In August 2023, the Ninth Circuit granted our and Takeda's petition for permission to appeal the class certification order, and the appeal has been fully briefed. This matter is ongoing.</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along with Novo Nordisk A/S (Novo) and other related Novo entities, are named in numerous lawsuits by plaintiffs alleging injuries following purported use of incretin medicines. Certain complaints name us and allege injuries that plaintiffs claim are associated with the use of Mounjaro and/or Trulicity. These lawsuits were filed beginning in August 2023 and are pending in various federal courts. In February 2024, the Judicial Panel on Multi-District Litigation established Multi-District Litigation for coordinated and consolidated pretrial proceedings in the Eastern District of Pennsylvania.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sent us an enforcement letter notifying us that it determined that our policy was contrary to the 340B statute. In response, in May 2021, we amended our complaint to bring claims related to HRSA's determination. In June 2021, the defendants withdrew the HHS December 30, 2020 advisory opinion. In July 2021, the court held oral argument on the parties' cross motions for summary judgment and the defendants' motion to dismiss.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spacing w:after="0" w:line="7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along with other pharmaceutical manufacturers, have been named as a defendant in petitions filed in 2021 and 2023 and currently pending before the HHS Administrative Dispute Resolution Panel. Petitioners seek declaratory, injunctive, and/or monetary relief related to the 340B program. As described above, the U.S. District Court for the Southern District of Indiana has entered a preliminary injunction enjoining the government's enforcement of the administrative dispute resolution process against us. HHS has now promulgated a revised regulation governing Administrative Dispute Resolution (ADR) proceedings, which took effect in June 2024 and may lead to the resumption of ADR proceedings against us.</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January 2024, the court dismissed the case. In February 2024, the plaintiffs filed a notice of appeal to the U.S. Court of Appeals for the Second Circuit. This matter is ongoing.</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First initiated in 2008, Eli Lilly do Brasil Limitada (Lilly Brasil) is named in a Public Civil Action brought by the Labor Public Attorney (LPA) alleging harm to employees and former employees caused by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In July 2018, the appeals court generally affirmed the trial Court's ruling, which included a liquidated award of 300 million Brazilian reais, which, when adjusted for inflation, is approximately 1.33 billion Brazilian reais (approximately $ 238 million as of June 30, 2024). In August 2019, Lilly Brasil appealed to the superior labor court (TST) and in June 2021, the majority of the elements of Lilly Brasil's appeal were admitted; elements not proceeding are subject to an interlocutory appeal to the TST that was filed in June 2021. Mediation hearings did not resolve the matter and we are awaiting the TST's judgment.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 Brasil's appeal and, when adjusted for inflation, is approximately 138 million Brazilian reais (approximately $25 million as of June 30, 2024). The parties appealed to the TST, which appeal is under review. The trial Court is currently assessing the status of Lilly Brasil’s compliance with the obligations as to the land and an inspection in the industrial plant occurred in October 2023. These matters are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Lilly Brasil is also named in various pending lawsuits filed in the trial Court by individual former employees making related claims. These individual lawsuits are at various stages in the litigation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execute an alleged judgment. The request was denied by the CFI in our favor and the Municipality filed for revision at the AP, which we opposed, staying the case. The AP denied the Municipality's motion for revision. This matter is ongoing and trial has been scheduled for August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Lilly appealed to the Seventh Circuit and the appeal is pending. This matter is ongoing.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were named as a defendant in a lawsuit filed in Texas state court in October 2019 seeking damages under the Texas Medicaid Fraud Prevention Act for certain patient support programs related to our products Humalog, Humulin, and Forteo. This state court action is currently stayed.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Pricing Litigation</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along with Sanofi, Novo Nordisk, and, in some matters, certain pharmacy benefit managers, have been named in numerous lawsuits, including putative class actions, by states and state attorneys general, counties, municipalities, third-party payers, consumers, and other parties related to insulin pricing and rebates paid by manufacturers to pharmacy benefit managers. These lawsuits assert various theories, including consumer protection and deceptive trade practice, fraud, false advertising, unjust enrichment, civil conspiracy, federal and state RICO statutes, antitrust, and unfair competition claims. These lawsuits have been brought in various state and federal courts since 2017 and are at various stages in the litigation process. Starting in August 2023 after a ruling by the Judicial Panel for Multi-District Litigation, several of these cases were transferred to or filed in the District of New Jersey for coordinated or consolidated pre-trial proceedings. In May 2023, we reached a settlement in the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consumer class action. In January 2024, the Multi-District Litigation court denied the consumer class plaintiffs’ motion for class certification, and the parties subsequently terminated their settlement agreement and stipulated that the denial of the class certification applies to Lilly. This matter is ongoing.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Investigations and Similar Matters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 requests, information requests, interrogatories, and other inquiries from various governmental entities related to pricing issues, including the pricing and sale of insulins and other products and calculations of average manufacturer price and best price. These include subpoenas from the Vermont Attorney General Office, civil investigative demands from the Washington, New Mexico, Colorado, Louisiana, Texas, Indiana and Oregon Attorney General Offices, the U.S. Department of Justice, and the U.S. Federal Trade Commission, as well as information requests from the Mississippi, Washington D.C., California, Florida, Hawaii, and Nevada Attorney General Offices.</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In June 2023, the Michigan Court of Appeals affirmed the judgment in our favor. In August 2023, the Michigan Attorney General filed an application for leave to appeal to the Michigan Supreme Court, which is being set for argument.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 aforementioned investigations, subpoenas, and inquiries.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The complaint seeks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Pursuant to this agreement, the court entered final judgment, Lilly filed a notice of appeal to the U.S. Court of Appeals for the Ninth Circuit, and Lilly will make an initial payment amount under the agreement. The remaining amount payable under the agreement, if any, should not have a material impact on our financial position, liquidity or results of operations. The settlement agreement is not an admission of liability or fault by us, and is subject to conditions. This matter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1"/>
                <w:szCs w:val="11"/>
                <w:color w:val="auto"/>
              </w:rPr>
            </w:pPr>
          </w:p>
        </w:tc>
        <w:tc>
          <w:tcPr>
            <w:tcW w:w="11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jc w:val="right"/>
              <w:ind w:right="15"/>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(2,658.7)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287.1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(4,299.5)</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(104.6)</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23.9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0.7</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25.1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(2,633.6)</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289.3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(4,378.5)</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143.7</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(3,777.3)</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188.9</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2"/>
                <w:szCs w:val="12"/>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2"/>
                <w:szCs w:val="12"/>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2"/>
                <w:szCs w:val="12"/>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6"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jc w:val="right"/>
              <w:ind w:right="15"/>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(2,697.3)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215.5</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(4,327.0)</w:t>
            </w:r>
          </w:p>
        </w:tc>
        <w:tc>
          <w:tcPr>
            <w:tcW w:w="0" w:type="dxa"/>
            <w:vAlign w:val="bottom"/>
          </w:tcPr>
          <w:p>
            <w:pPr>
              <w:spacing w:after="0"/>
              <w:rPr>
                <w:sz w:val="1"/>
                <w:szCs w:val="1"/>
                <w:color w:val="auto"/>
              </w:rPr>
            </w:pPr>
          </w:p>
        </w:tc>
      </w:tr>
      <w:tr>
        <w:trPr>
          <w:trHeight w:val="184"/>
        </w:trPr>
        <w:tc>
          <w:tcPr>
            <w:tcW w:w="4520" w:type="dxa"/>
            <w:vAlign w:val="bottom"/>
          </w:tcPr>
          <w:p>
            <w:pPr>
              <w:ind w:left="180"/>
              <w:spacing w:after="0" w:line="183"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(192.8)</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b w:val="1"/>
                <w:bCs w:val="1"/>
                <w:color w:val="auto"/>
              </w:rPr>
              <w:t>16.8</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73.5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(109.1)</w:t>
            </w:r>
          </w:p>
        </w:tc>
        <w:tc>
          <w:tcPr>
            <w:tcW w:w="0" w:type="dxa"/>
            <w:vAlign w:val="bottom"/>
          </w:tcPr>
          <w:p>
            <w:pPr>
              <w:spacing w:after="0"/>
              <w:rPr>
                <w:sz w:val="1"/>
                <w:szCs w:val="1"/>
                <w:color w:val="auto"/>
              </w:rPr>
            </w:pPr>
          </w:p>
        </w:tc>
      </w:tr>
      <w:tr>
        <w:trPr>
          <w:trHeight w:val="235"/>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46.9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0.3</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35"/>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63.7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73.8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(2,633.6)</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289.3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(4,378.5)</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0"/>
                <w:szCs w:val="10"/>
                <w:color w:val="auto"/>
              </w:rPr>
            </w:pPr>
          </w:p>
        </w:tc>
        <w:tc>
          <w:tcPr>
            <w:tcW w:w="1160" w:type="dxa"/>
            <w:vAlign w:val="bottom"/>
          </w:tcPr>
          <w:p>
            <w:pPr>
              <w:jc w:val="center"/>
              <w:ind w:right="10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200" w:type="dxa"/>
            <w:vAlign w:val="bottom"/>
          </w:tcPr>
          <w:p>
            <w:pPr>
              <w:spacing w:after="0"/>
              <w:rPr>
                <w:sz w:val="11"/>
                <w:szCs w:val="11"/>
                <w:color w:val="auto"/>
              </w:rPr>
            </w:pPr>
          </w:p>
        </w:tc>
        <w:tc>
          <w:tcPr>
            <w:tcW w:w="11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3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129.0</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56.2</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188.9</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r>
        <w:trPr>
          <w:trHeight w:val="868"/>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34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0.6</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2.0</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56"/>
        </w:trPr>
        <w:tc>
          <w:tcPr>
            <w:tcW w:w="4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Benefit (expense) for income taxes allocated to other</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items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3"/>
            <w:vMerge w:val="restart"/>
          </w:tcPr>
          <w:p>
            <w:pPr>
              <w:jc w:val="right"/>
              <w:ind w:right="43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2380" w:type="dxa"/>
            <w:vAlign w:val="bottom"/>
            <w:gridSpan w:val="3"/>
            <w:vMerge w:val="restart"/>
          </w:tcPr>
          <w:p>
            <w:pPr>
              <w:jc w:val="right"/>
              <w:ind w:right="375"/>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vMerge w:val="restart"/>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20"/>
        </w:trPr>
        <w:tc>
          <w:tcPr>
            <w:tcW w:w="3260" w:type="dxa"/>
            <w:vAlign w:val="bottom"/>
          </w:tcPr>
          <w:p>
            <w:pPr>
              <w:ind w:left="500"/>
              <w:spacing w:after="0" w:line="121" w:lineRule="exact"/>
              <w:rPr>
                <w:sz w:val="20"/>
                <w:szCs w:val="20"/>
                <w:color w:val="auto"/>
              </w:rPr>
            </w:pPr>
            <w:r>
              <w:rPr>
                <w:rFonts w:ascii="Arial" w:cs="Arial" w:eastAsia="Arial" w:hAnsi="Arial"/>
                <w:sz w:val="13"/>
                <w:szCs w:val="13"/>
                <w:b w:val="1"/>
                <w:bCs w:val="1"/>
                <w:color w:val="auto"/>
              </w:rPr>
              <w:t>Details about Accumulated Other</w:t>
            </w: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2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Consolidated Condensed</w:t>
            </w:r>
          </w:p>
        </w:tc>
        <w:tc>
          <w:tcPr>
            <w:tcW w:w="0" w:type="dxa"/>
            <w:vAlign w:val="bottom"/>
          </w:tcPr>
          <w:p>
            <w:pPr>
              <w:spacing w:after="0"/>
              <w:rPr>
                <w:sz w:val="1"/>
                <w:szCs w:val="1"/>
                <w:color w:val="auto"/>
              </w:rPr>
            </w:pPr>
          </w:p>
        </w:tc>
      </w:tr>
      <w:tr>
        <w:trPr>
          <w:trHeight w:val="197"/>
        </w:trPr>
        <w:tc>
          <w:tcPr>
            <w:tcW w:w="32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Comprehensive Loss Components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restart"/>
          </w:tcPr>
          <w:p>
            <w:pPr>
              <w:ind w:left="180"/>
              <w:spacing w:after="0"/>
              <w:rPr>
                <w:sz w:val="20"/>
                <w:szCs w:val="20"/>
                <w:color w:val="auto"/>
              </w:rPr>
            </w:pPr>
            <w:r>
              <w:rPr>
                <w:rFonts w:ascii="Arial" w:cs="Arial" w:eastAsia="Arial" w:hAnsi="Arial"/>
                <w:sz w:val="18"/>
                <w:szCs w:val="18"/>
                <w:color w:val="auto"/>
              </w:rPr>
              <w:t>Prior service benefits, net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(0.9)</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93"/>
              <w:spacing w:after="0"/>
              <w:rPr>
                <w:sz w:val="20"/>
                <w:szCs w:val="20"/>
                <w:color w:val="auto"/>
              </w:rPr>
            </w:pPr>
            <w:r>
              <w:rPr>
                <w:rFonts w:ascii="Arial" w:cs="Arial" w:eastAsia="Arial" w:hAnsi="Arial"/>
                <w:sz w:val="18"/>
                <w:szCs w:val="18"/>
                <w:color w:val="auto"/>
              </w:rPr>
              <w:t>(12.6)</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5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5"/>
                <w:szCs w:val="15"/>
                <w:color w:val="auto"/>
              </w:rPr>
            </w:pPr>
          </w:p>
        </w:tc>
        <w:tc>
          <w:tcPr>
            <w:tcW w:w="16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expense</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31.1</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28.9</w:t>
            </w:r>
          </w:p>
        </w:tc>
        <w:tc>
          <w:tcPr>
            <w:tcW w:w="3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5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30.2</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16.3</w:t>
            </w: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(6.3)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23.9</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12.9</w:t>
            </w: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Other, net of tax</w:t>
            </w:r>
          </w:p>
        </w:tc>
        <w:tc>
          <w:tcPr>
            <w:tcW w:w="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5"/>
                <w:szCs w:val="15"/>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w:t>
            </w:r>
          </w:p>
        </w:tc>
        <w:tc>
          <w:tcPr>
            <w:tcW w:w="5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5"/>
                <w:szCs w:val="15"/>
                <w:color w:val="auto"/>
              </w:rPr>
            </w:pPr>
          </w:p>
        </w:tc>
        <w:tc>
          <w:tcPr>
            <w:tcW w:w="16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expense</w:t>
            </w:r>
          </w:p>
        </w:tc>
        <w:tc>
          <w:tcPr>
            <w:tcW w:w="6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24.7</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6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w w:val="99"/>
              </w:rPr>
              <w:t>Note 12: Other–Net, (Income) Expense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Other–net, (income) expense consisted of the following:</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120.3</w:t>
            </w:r>
          </w:p>
        </w:tc>
        <w:tc>
          <w:tcPr>
            <w:tcW w:w="98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363.2</w:t>
            </w:r>
          </w:p>
        </w:tc>
        <w:tc>
          <w:tcPr>
            <w:tcW w:w="10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(83.1)</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losses on equity securities (Note 7)</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64.9</w:t>
            </w: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141.9</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Retirement benefit plans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(114.4)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(230.5)</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(231.4)</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6"/>
              </w:rPr>
              <w:t>13.2</w:t>
            </w: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Other–net, (income) expense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36.8</w:t>
            </w:r>
          </w:p>
        </w:tc>
        <w:tc>
          <w:tcPr>
            <w:tcW w:w="9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170.5</w:t>
            </w:r>
          </w:p>
        </w:tc>
        <w:tc>
          <w:tcPr>
            <w:tcW w:w="10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68"/>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section provides an overview of our financial results, late-stage pipeline developments,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11,302.8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20,070.8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15,272.1</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31</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b w:val="1"/>
                <w:bCs w:val="1"/>
                <w:color w:val="auto"/>
              </w:rPr>
              <w:t>2,967.0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1,763.2</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34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5,209.9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3,108.1</w:t>
            </w:r>
          </w:p>
        </w:tc>
        <w:tc>
          <w:tcPr>
            <w:tcW w:w="900" w:type="dxa"/>
            <w:vAlign w:val="bottom"/>
          </w:tcPr>
          <w:p>
            <w:pPr>
              <w:jc w:val="center"/>
              <w:ind w:left="17"/>
              <w:spacing w:after="0"/>
              <w:rPr>
                <w:sz w:val="20"/>
                <w:szCs w:val="20"/>
                <w:color w:val="auto"/>
              </w:rPr>
            </w:pPr>
            <w:r>
              <w:rPr>
                <w:rFonts w:ascii="Arial" w:cs="Arial" w:eastAsia="Arial" w:hAnsi="Arial"/>
                <w:sz w:val="18"/>
                <w:szCs w:val="18"/>
                <w:color w:val="auto"/>
                <w:w w:val="99"/>
              </w:rPr>
              <w:t>68</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3.28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5.76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67</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Revenue increased for the three and six months ended June 30, 2024 driven by increased volume and higher realized prices. The increase in revenue during the three and six months ended June 30, 2024 was primarily driven by increased sales of Mounjaro</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Zepbound</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and Verzenio</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partially offset by declines in Trulicity</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xml:space="preserve"> and the sale of rights for Baqsimi</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xml:space="preserve"> during the second quarter of 2023.</w:t>
      </w:r>
    </w:p>
    <w:p>
      <w:pPr>
        <w:spacing w:after="0" w:line="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and earnings per share for the three and six months ended June 30, 2024 increased primarily due to higher gross margin, partially offset by increased research and development expenses, asset impairment, restructuring, and other special charges, and marketing, selling, and administrative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50 new medicine candidates in clinical development or under regulatory review, and a larger number of projects in the discovery phase.</w:t>
      </w:r>
    </w:p>
    <w:p>
      <w:pPr>
        <w:spacing w:after="0" w:line="63"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select new molecular entities (NMEs) and new indication line extension (NILEX) products are currently in Phase 2 or Phase 3 clinical trials or have been submitted for regulatory review or have recently received regulatory approval in the United States (U.S.), European Union (EU), or Japan. The table reflects the status of these NMEs and NILEX products, including certain other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Cardiometabolic Health</w:t>
            </w:r>
          </w:p>
        </w:tc>
        <w:tc>
          <w:tcPr>
            <w:tcW w:w="2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Approved in the U.S. and the EU in 2023. Submitted in Japan in</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2024. Phase 3 trials are ongoing.</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200" w:type="dxa"/>
            <w:vAlign w:val="bottom"/>
            <w:tcBorders>
              <w:left w:val="single" w:sz="8" w:color="auto"/>
              <w:right w:val="single" w:sz="8" w:color="auto"/>
            </w:tcBorders>
          </w:tcPr>
          <w:p>
            <w:pPr>
              <w:spacing w:after="0"/>
              <w:rPr>
                <w:sz w:val="23"/>
                <w:szCs w:val="2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Obstructive sleep apnea</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66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the EU in 2024. Granted U.S. Food</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and Drug Administration (FDA) Fast Track designation</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1"/>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(OSA)</w:t>
            </w:r>
          </w:p>
        </w:tc>
        <w:tc>
          <w:tcPr>
            <w:tcW w:w="9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designation in 2024.</w:t>
            </w:r>
          </w:p>
        </w:tc>
        <w:tc>
          <w:tcPr>
            <w:tcW w:w="0" w:type="dxa"/>
            <w:vAlign w:val="bottom"/>
          </w:tcPr>
          <w:p>
            <w:pPr>
              <w:spacing w:after="0"/>
              <w:rPr>
                <w:sz w:val="1"/>
                <w:szCs w:val="1"/>
                <w:color w:val="auto"/>
              </w:rPr>
            </w:pPr>
          </w:p>
        </w:tc>
      </w:tr>
      <w:tr>
        <w:trPr>
          <w:trHeight w:val="27"/>
        </w:trPr>
        <w:tc>
          <w:tcPr>
            <w:tcW w:w="2200" w:type="dxa"/>
            <w:vAlign w:val="bottom"/>
            <w:tcBorders>
              <w:left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Cardiovascular outcomes</w:t>
            </w:r>
          </w:p>
        </w:tc>
        <w:tc>
          <w:tcPr>
            <w:tcW w:w="980" w:type="dxa"/>
            <w:vAlign w:val="bottom"/>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in type 2 diabetes</w:t>
            </w:r>
          </w:p>
        </w:tc>
        <w:tc>
          <w:tcPr>
            <w:tcW w:w="9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200" w:type="dxa"/>
            <w:vAlign w:val="bottom"/>
            <w:tcBorders>
              <w:left w:val="single" w:sz="8" w:color="auto"/>
              <w:right w:val="single" w:sz="8" w:color="auto"/>
            </w:tcBorders>
            <w:vMerge w:val="restart"/>
          </w:tcPr>
          <w:p>
            <w:pPr>
              <w:ind w:left="40"/>
              <w:spacing w:after="0" w:line="181" w:lineRule="exact"/>
              <w:rPr>
                <w:sz w:val="20"/>
                <w:szCs w:val="20"/>
                <w:color w:val="auto"/>
              </w:rPr>
            </w:pPr>
            <w:r>
              <w:rPr>
                <w:rFonts w:ascii="Arial" w:cs="Arial" w:eastAsia="Arial" w:hAnsi="Arial"/>
                <w:sz w:val="18"/>
                <w:szCs w:val="18"/>
                <w:color w:val="auto"/>
              </w:rPr>
              <w:t>Tirzepatide (Mounjaro,</w:t>
            </w:r>
          </w:p>
        </w:tc>
        <w:tc>
          <w:tcPr>
            <w:tcW w:w="21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w:t>
            </w:r>
          </w:p>
        </w:tc>
        <w:tc>
          <w:tcPr>
            <w:tcW w:w="9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Phase 3 trial met all primary and key</w:t>
            </w:r>
          </w:p>
        </w:tc>
        <w:tc>
          <w:tcPr>
            <w:tcW w:w="0" w:type="dxa"/>
            <w:vAlign w:val="bottom"/>
          </w:tcPr>
          <w:p>
            <w:pPr>
              <w:spacing w:after="0"/>
              <w:rPr>
                <w:sz w:val="1"/>
                <w:szCs w:val="1"/>
                <w:color w:val="auto"/>
              </w:rPr>
            </w:pPr>
          </w:p>
        </w:tc>
      </w:tr>
      <w:tr>
        <w:trPr>
          <w:trHeight w:val="176"/>
        </w:trPr>
        <w:tc>
          <w:tcPr>
            <w:tcW w:w="22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Zepbound)</w:t>
            </w:r>
          </w:p>
        </w:tc>
        <w:tc>
          <w:tcPr>
            <w:tcW w:w="2180" w:type="dxa"/>
            <w:vAlign w:val="bottom"/>
            <w:tcBorders>
              <w:right w:val="single" w:sz="8" w:color="auto"/>
            </w:tcBorders>
            <w:vMerge w:val="continue"/>
          </w:tcPr>
          <w:p>
            <w:pPr>
              <w:spacing w:after="0"/>
              <w:rPr>
                <w:sz w:val="15"/>
                <w:szCs w:val="15"/>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preserved ejection fraction</w:t>
            </w:r>
          </w:p>
        </w:tc>
        <w:tc>
          <w:tcPr>
            <w:tcW w:w="9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Morbidity and mortality in</w:t>
            </w:r>
          </w:p>
        </w:tc>
        <w:tc>
          <w:tcPr>
            <w:tcW w:w="980" w:type="dxa"/>
            <w:vAlign w:val="bottom"/>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obesity</w:t>
            </w: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Higher doses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363"/>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Metabolic dysfunction-</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2024 that Phase 2 trial met its primary endpoint.</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associated steatohepatitis</w:t>
            </w:r>
          </w:p>
        </w:tc>
        <w:tc>
          <w:tcPr>
            <w:tcW w:w="9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Insulin Efsitora Alfa</w:t>
            </w: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Type 1 and type 2</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2024 that two Phase 3 trials met primary</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Lepodisiran</w:t>
            </w:r>
          </w:p>
        </w:tc>
        <w:tc>
          <w:tcPr>
            <w:tcW w:w="218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8"/>
                <w:szCs w:val="18"/>
                <w:color w:val="auto"/>
              </w:rPr>
              <w:t>Atherosclerotic</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152"/>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Orforglipron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40"/>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Cardiovascular / renal</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outcomes</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20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Retatrutide</w:t>
            </w:r>
          </w:p>
        </w:tc>
        <w:tc>
          <w:tcPr>
            <w:tcW w:w="21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Obesity, osteoarthritis,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39"/>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OSA</w:t>
            </w:r>
          </w:p>
        </w:tc>
        <w:tc>
          <w:tcPr>
            <w:tcW w:w="98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Bimagrumab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Eloralintide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Mazdutide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Obesity</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Muvalaplin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Solbinsiran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Cardiovascular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Volenrelaxin</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Heart failure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848"/>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21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EU in 2023 and in Japan in 2024. Resubmitted</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(Ebglyss</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1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Atopic dermatitis</w:t>
            </w:r>
          </w:p>
        </w:tc>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Approved</w:t>
            </w:r>
          </w:p>
        </w:tc>
        <w:tc>
          <w:tcPr>
            <w:tcW w:w="6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the U.S. in 2024 and anticipate regulatory action by the end of</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2024. Phase 3 trials are ongoing.</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Crohn's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Submitted</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in the U.S., the EU, and Japan in 2024. Phase 3 trials</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are ongoing.</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CD19 Antibody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Multiple sclerosis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DC-806</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was completed in 2024.</w:t>
            </w:r>
          </w:p>
        </w:tc>
        <w:tc>
          <w:tcPr>
            <w:tcW w:w="0" w:type="dxa"/>
            <w:vAlign w:val="bottom"/>
          </w:tcPr>
          <w:p>
            <w:pPr>
              <w:spacing w:after="0"/>
              <w:rPr>
                <w:sz w:val="1"/>
                <w:szCs w:val="1"/>
                <w:color w:val="auto"/>
              </w:rPr>
            </w:pPr>
          </w:p>
        </w:tc>
      </w:tr>
      <w:tr>
        <w:trPr>
          <w:trHeight w:val="22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Eltrekibart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Hidradenitis suppurativa</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4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KV1.3 Antagonist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Ocadusertib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Peresolimab</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Ucenprubart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54"/>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Approved in the U.S. in 2024. Submitted in the EU and Japan in</w:t>
            </w: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Early Alzheimer's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2023. Received a positive opinion from Pharmaceuticals and</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ind w:left="20"/>
              <w:spacing w:after="0" w:line="181" w:lineRule="exact"/>
              <w:rPr>
                <w:sz w:val="20"/>
                <w:szCs w:val="20"/>
                <w:color w:val="auto"/>
              </w:rPr>
            </w:pPr>
            <w:r>
              <w:rPr>
                <w:rFonts w:ascii="Arial" w:cs="Arial" w:eastAsia="Arial" w:hAnsi="Arial"/>
                <w:sz w:val="18"/>
                <w:szCs w:val="18"/>
                <w:color w:val="auto"/>
              </w:rPr>
              <w:t>Medical Devices Agency in Japan in 2024. Phase 3 trials are</w:t>
            </w:r>
          </w:p>
        </w:tc>
        <w:tc>
          <w:tcPr>
            <w:tcW w:w="0" w:type="dxa"/>
            <w:vAlign w:val="bottom"/>
          </w:tcPr>
          <w:p>
            <w:pPr>
              <w:spacing w:after="0"/>
              <w:rPr>
                <w:sz w:val="1"/>
                <w:szCs w:val="1"/>
                <w:color w:val="auto"/>
              </w:rPr>
            </w:pPr>
          </w:p>
        </w:tc>
      </w:tr>
      <w:tr>
        <w:trPr>
          <w:trHeight w:val="3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 (Kisunla</w:t>
            </w:r>
            <w:r>
              <w:rPr>
                <w:rFonts w:ascii="Arial" w:cs="Arial" w:eastAsia="Arial" w:hAnsi="Arial"/>
                <w:sz w:val="23"/>
                <w:szCs w:val="23"/>
                <w:color w:val="auto"/>
                <w:vertAlign w:val="superscript"/>
              </w:rPr>
              <w:t>TM</w:t>
            </w:r>
            <w:r>
              <w:rPr>
                <w:rFonts w:ascii="Arial" w:cs="Arial" w:eastAsia="Arial" w:hAnsi="Arial"/>
                <w:sz w:val="18"/>
                <w:szCs w:val="18"/>
                <w:color w:val="auto"/>
              </w:rPr>
              <w:t>)</w:t>
            </w:r>
          </w:p>
        </w:tc>
        <w:tc>
          <w:tcPr>
            <w:tcW w:w="2180" w:type="dxa"/>
            <w:vAlign w:val="bottom"/>
            <w:tcBorders>
              <w:right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5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tcBorders>
              <w:left w:val="single" w:sz="8" w:color="auto"/>
              <w:right w:val="single" w:sz="8" w:color="auto"/>
            </w:tcBorders>
            <w:vMerge w:val="continue"/>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09"/>
        </w:trPr>
        <w:tc>
          <w:tcPr>
            <w:tcW w:w="22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 Alzheimer's</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Early Alzheimer's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322"/>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GBA1 Gene Therapy</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Gaucher disease Type 1</w:t>
            </w:r>
          </w:p>
        </w:tc>
        <w:tc>
          <w:tcPr>
            <w:tcW w:w="980" w:type="dxa"/>
            <w:vAlign w:val="bottom"/>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(1)</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285"/>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5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GRN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Frontotemporal dementia</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(1)</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Mazisotine (SSTR4</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 trials are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Agonist)</w:t>
            </w:r>
          </w:p>
        </w:tc>
        <w:tc>
          <w:tcPr>
            <w:tcW w:w="2180" w:type="dxa"/>
            <w:vAlign w:val="bottom"/>
            <w:tcBorders>
              <w:right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 Inh</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was completed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OTOF Gene Therapy</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Hearing loss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Pain</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 trials were completed in 2023.</w:t>
            </w:r>
          </w:p>
        </w:tc>
        <w:tc>
          <w:tcPr>
            <w:tcW w:w="0" w:type="dxa"/>
            <w:vAlign w:val="bottom"/>
          </w:tcPr>
          <w:p>
            <w:pPr>
              <w:spacing w:after="0"/>
              <w:rPr>
                <w:sz w:val="1"/>
                <w:szCs w:val="1"/>
                <w:color w:val="auto"/>
              </w:rPr>
            </w:pPr>
          </w:p>
        </w:tc>
      </w:tr>
      <w:tr>
        <w:trPr>
          <w:trHeight w:val="861"/>
        </w:trPr>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4D4D4"/>
          </w:tcPr>
          <w:p>
            <w:pPr>
              <w:ind w:left="20"/>
              <w:spacing w:after="0"/>
              <w:rPr>
                <w:sz w:val="20"/>
                <w:szCs w:val="20"/>
                <w:color w:val="auto"/>
              </w:rPr>
            </w:pPr>
            <w:r>
              <w:rPr>
                <w:rFonts w:ascii="Arial" w:cs="Arial" w:eastAsia="Arial" w:hAnsi="Arial"/>
                <w:sz w:val="18"/>
                <w:szCs w:val="18"/>
                <w:b w:val="1"/>
                <w:bCs w:val="1"/>
                <w:color w:val="auto"/>
              </w:rPr>
              <w:t>Indication/Study</w:t>
            </w:r>
          </w:p>
        </w:tc>
        <w:tc>
          <w:tcPr>
            <w:tcW w:w="16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640" w:type="dxa"/>
            <w:vAlign w:val="bottom"/>
            <w:tcBorders>
              <w:right w:val="single" w:sz="8" w:color="auto"/>
            </w:tcBorders>
          </w:tcPr>
          <w:p>
            <w:pPr>
              <w:ind w:left="800"/>
              <w:spacing w:after="0"/>
              <w:rPr>
                <w:sz w:val="20"/>
                <w:szCs w:val="20"/>
                <w:color w:val="auto"/>
              </w:rPr>
            </w:pPr>
            <w:r>
              <w:rPr>
                <w:rFonts w:ascii="Arial" w:cs="Arial" w:eastAsia="Arial" w:hAnsi="Arial"/>
                <w:sz w:val="12"/>
                <w:szCs w:val="12"/>
                <w:color w:val="auto"/>
              </w:rPr>
              <w:t>(4)</w:t>
            </w:r>
          </w:p>
        </w:tc>
        <w:tc>
          <w:tcPr>
            <w:tcW w:w="524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18"/>
                <w:szCs w:val="18"/>
                <w:color w:val="auto"/>
                <w:w w:val="99"/>
              </w:rPr>
              <w:t>FDA granted accelerated approval</w:t>
            </w:r>
            <w:r>
              <w:rPr>
                <w:rFonts w:ascii="Arial" w:cs="Arial" w:eastAsia="Arial" w:hAnsi="Arial"/>
                <w:sz w:val="23"/>
                <w:szCs w:val="23"/>
                <w:color w:val="auto"/>
                <w:w w:val="99"/>
                <w:vertAlign w:val="superscript"/>
              </w:rPr>
              <w:t>(4)</w:t>
            </w:r>
            <w:r>
              <w:rPr>
                <w:rFonts w:ascii="Arial" w:cs="Arial" w:eastAsia="Arial" w:hAnsi="Arial"/>
                <w:sz w:val="18"/>
                <w:szCs w:val="18"/>
                <w:color w:val="auto"/>
                <w:w w:val="99"/>
              </w:rPr>
              <w:t xml:space="preserve"> in the U.S. in 2023. Phase 3</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6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Approved</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U.S. in 2023.</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6"/>
                <w:szCs w:val="16"/>
                <w:color w:val="auto"/>
              </w:rPr>
              <w:t>(Jaypirca</w:t>
            </w:r>
            <w:r>
              <w:rPr>
                <w:rFonts w:ascii="Arial" w:cs="Arial" w:eastAsia="Arial" w:hAnsi="Arial"/>
                <w:sz w:val="20"/>
                <w:szCs w:val="20"/>
                <w:color w:val="auto"/>
                <w:vertAlign w:val="superscript"/>
              </w:rPr>
              <w:t>®</w:t>
            </w:r>
            <w:r>
              <w:rPr>
                <w:rFonts w:ascii="Arial" w:cs="Arial" w:eastAsia="Arial" w:hAnsi="Arial"/>
                <w:sz w:val="16"/>
                <w:szCs w:val="16"/>
                <w:color w:val="auto"/>
              </w:rPr>
              <w:t>)</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Mantle cell lymphoma</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Approved in the EU in 2023 and in Japan in 2024. Phase 3 trial</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 cancer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18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200" w:type="dxa"/>
            <w:vAlign w:val="bottom"/>
            <w:tcBorders>
              <w:left w:val="single" w:sz="8" w:color="auto"/>
              <w:right w:val="single" w:sz="8" w:color="auto"/>
            </w:tcBorders>
            <w:vMerge w:val="continue"/>
          </w:tcPr>
          <w:p>
            <w:pPr>
              <w:spacing w:after="0"/>
              <w:rPr>
                <w:sz w:val="17"/>
                <w:szCs w:val="1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ER+HER2- metastatic</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right w:val="single" w:sz="8" w:color="auto"/>
            </w:tcBorders>
          </w:tcPr>
          <w:p>
            <w:pPr>
              <w:spacing w:after="0"/>
              <w:rPr>
                <w:sz w:val="5"/>
                <w:szCs w:val="5"/>
                <w:color w:val="auto"/>
              </w:rPr>
            </w:pPr>
          </w:p>
        </w:tc>
        <w:tc>
          <w:tcPr>
            <w:tcW w:w="21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breast cancer</w:t>
            </w:r>
          </w:p>
        </w:tc>
        <w:tc>
          <w:tcPr>
            <w:tcW w:w="164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Olomorasib</w:t>
            </w:r>
          </w:p>
        </w:tc>
        <w:tc>
          <w:tcPr>
            <w:tcW w:w="21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KRAS G12C-mutant</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153"/>
        </w:trPr>
        <w:tc>
          <w:tcPr>
            <w:tcW w:w="220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w:t>
            </w:r>
          </w:p>
        </w:tc>
        <w:tc>
          <w:tcPr>
            <w:tcW w:w="164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facilitate the development and expedite the review of medicines to treat serious conditions and fill an unmet medical need.</w:t>
      </w: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clinical evidence indicates that the treatment may demonstrate substantial improvement over available therapy on a clinically significant endpoint.</w:t>
      </w:r>
    </w:p>
    <w:p>
      <w:pPr>
        <w:spacing w:after="0" w:line="6"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60" w:hanging="152"/>
        <w:spacing w:after="0" w:line="204"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3 trials.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jc w:val="both"/>
        <w:ind w:right="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Note 10 to the consolidated condensed financial statements for a description of legal proceedings currently pending regarding certain of our patents and "Business—Patents, Trademarks, and Other Intellectual Property Rights" in Part I, Item 1 of our Annual Report on </w:t>
      </w:r>
      <w:hyperlink r:id="rId15">
        <w:r>
          <w:rPr>
            <w:rFonts w:ascii="Arial" w:cs="Arial" w:eastAsia="Arial" w:hAnsi="Arial"/>
            <w:sz w:val="18"/>
            <w:szCs w:val="18"/>
            <w:u w:val="single" w:color="auto"/>
            <w:color w:val="0000FF"/>
          </w:rPr>
          <w:t>Form 10-K</w:t>
        </w:r>
      </w:hyperlink>
      <w:r>
        <w:rPr>
          <w:rFonts w:ascii="Arial" w:cs="Arial" w:eastAsia="Arial" w:hAnsi="Arial"/>
          <w:sz w:val="18"/>
          <w:szCs w:val="18"/>
          <w:color w:val="auto"/>
        </w:rPr>
        <w:t xml:space="preserve"> for the year ended December 31, 2023 for a discussion of the impacts of trends involving intellectual property on our business and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high inflation, the emergence or escalation of, and responses to, international tension and conflicts, or government budgeting priorities, are expected to continue to result in added pressure on pricing and reimbursement for our products.</w:t>
      </w:r>
    </w:p>
    <w:p>
      <w:pPr>
        <w:spacing w:after="0" w:line="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nine years (for medicines approved under a New Drug Application) or thirteen years (for medicines approved under a Biologics License Application) following initial FDA approval and will be set at a price that is likely to represent a significant discount from existing prices to wholesalers and direct purchasers. While the law specifies a ceiling price, it does not set a minimum or floor price. In August 2023, the HHS selected Jardiance</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which is part of our collaboration with Boehringer Ingelheim, as one of the first ten medicines subject to government-set prices effective in 2026. Given our product portfolio, we expect additional significant products will be selected in future years, which would have the effect of accelerating revenue erosion prior to expiry of exclusivities. The effect of reducing prices and reimbursement for certain of our products would significantly impact our business and consolidated results of operations.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8" w:name="page39"/>
    <w:bookmarkEnd w:id="38"/>
    <w:p>
      <w:pPr>
        <w:ind w:right="100"/>
        <w:spacing w:after="0" w:line="262"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the Part D benefit redesign will replace the Part D Coverage Gap Discount Program with a new manufacturer discount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IRA has and will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 policies, regulations, legislation, or enforcement, including those proposed or pursued by the U.S. Congress, the U.S. executive branch, and regulatory authorities worldwide, could adversely impact our business and consolidated results of operations. For example, the proposed BIOSECURE Act in the U.S. would affect elements of the pharmaceutical supply chain, although as currently written we do not anticipate it would have a material impact on our business.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 Moreover, increased focus on business combinations across industries and jurisdictions can lead to impediments to the completion of business combinations.</w:t>
      </w:r>
    </w:p>
    <w:p>
      <w:pPr>
        <w:spacing w:after="0" w:line="77" w:lineRule="exact"/>
        <w:rPr>
          <w:sz w:val="20"/>
          <w:szCs w:val="20"/>
          <w:color w:val="auto"/>
        </w:rPr>
      </w:pPr>
    </w:p>
    <w:p>
      <w:pPr>
        <w:ind w:right="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"Business—Regulations and Private Payer Actions Affecting Pharmaceutical Pricing, Reimbursement, and Access"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See also Note 10 to the consolidated condensed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Supply</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recent periods, demand for our incretin medicines has exceeded production. While supply and demand have come into better balance, expected increases in demand may result in periodic supply tightness for certain presentations and dose levels. In the short to mid-term, we expect overall sales growth for most incretin medicines to generally be a function of the quantity we can produce and ship. Among other measures to manage tight supply, in international markets we have communicated with healthcare practitioners to not start new patients on Trulicity in order to minimize disruption to existing patients. Supply considerations have also influenced the timing of tirzepatide launches in new markets. We continue to expand manufacturing capacity and progress efforts to bring tirzepatide to patients via different delivery presentations, such as single-use vials and multi-use pens. Production increases will continue in 2024 and additional capacity is expected to be operational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adversely impact our future consolidated results of operations and cash flows.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OECD/G20 Inclusive Framework on Base Erosion and Profit Shifting (Framework), which set forth a two-pillar solution to reform the international tax framework, and the EU's adoption of Directive 2022/2523 (known as "Pillar Two") (Directive) within the EU to implement the Framework, multiple countries, both within and outside of the EU, have enacted legislation that provides for a minimum level of taxation of multinational companies. The Directive required EU member states to enact legislation effective for years beginning on or after December 31, 2023. For certain provisions within the Framework, the OECD published guidance during 2023 that extends the effective dates for enactment. While we expect an increase in future years’ tax expense as a result of the global minimum tax, we do not anticipate a material impact to our 2024 consolidated results of operations. Our assessment of the impact for 2024 and subsequent years could be affected by legislative guidance, future enactment of additional provisions within the Pillar Two framework, and U.S. tax changes scheduled to occur in 2026 as part of the Tax Cuts and Jobs Act (2017 Tax Act).</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bipartisan tax bill, the Tax Relief for American Families and Workers Act, was passed by the U.S. House of Representatives in January 2024. The bill contains certain business tax provisions including the retroactive repeal for 2022 and 2023 and deferral of the requirement to capitalize U.S. research and development expenses for tax purposes that was a provision enacted in the 2017 Tax Act. Uncertainty exists as to whether the bill will be enacted into law as the bill did not receive enough votes to pass the U.S. Senate in August 2024; however, if the bill is enacted as currently drafted, we would expect our effective tax rate for 2024 to be moderately higher, and a net discrete tax detriment in the quarter of enactment related to 2022 and 2023. In addition, we would expect a decrease in cash tax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ind w:right="600"/>
        <w:spacing w:after="0" w:line="375" w:lineRule="auto"/>
        <w:rPr>
          <w:sz w:val="20"/>
          <w:szCs w:val="20"/>
          <w:color w:val="auto"/>
        </w:rPr>
      </w:pPr>
      <w:r>
        <w:rPr>
          <w:rFonts w:ascii="Arial" w:cs="Arial" w:eastAsia="Arial" w:hAnsi="Arial"/>
          <w:sz w:val="18"/>
          <w:szCs w:val="18"/>
          <w:color w:val="auto"/>
        </w:rPr>
        <w:t xml:space="preserve">See Note 3 to the consolidated condensed financial statements for further discussion regarding our recent and proposed acquisitions. </w:t>
      </w:r>
      <w:r>
        <w:rPr>
          <w:rFonts w:ascii="Arial" w:cs="Arial" w:eastAsia="Arial" w:hAnsi="Arial"/>
          <w:sz w:val="18"/>
          <w:szCs w:val="18"/>
          <w:i w:val="1"/>
          <w:iCs w:val="1"/>
          <w:u w:val="single" w:color="auto"/>
          <w:color w:val="auto"/>
        </w:rPr>
        <w:t>Foreign Currency Exchange Rates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or downturns or uncertainty, and an increase in overall demand in our industry for certain products and materials.</w:t>
      </w:r>
    </w:p>
    <w:p>
      <w:pPr>
        <w:spacing w:after="0" w:line="63" w:lineRule="exact"/>
        <w:rPr>
          <w:sz w:val="20"/>
          <w:szCs w:val="20"/>
          <w:color w:val="auto"/>
        </w:rPr>
      </w:pPr>
    </w:p>
    <w:p>
      <w:pPr>
        <w:ind w:right="6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for additional information on risk factors that could impact our business and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7,835.2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5,531.4</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42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13,529.6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36</w:t>
            </w: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3,467.5</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2,780.7</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25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6,541.2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5,304.6</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23</w:t>
            </w: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11,302.8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8,312.1</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36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20,070.8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15,272.1</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31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40" w:type="dxa"/>
            <w:vAlign w:val="bottom"/>
            <w:gridSpan w:val="3"/>
          </w:tcPr>
          <w:p>
            <w:pPr>
              <w:jc w:val="right"/>
              <w:ind w:right="1154"/>
              <w:spacing w:after="0"/>
              <w:rPr>
                <w:sz w:val="20"/>
                <w:szCs w:val="20"/>
                <w:color w:val="auto"/>
              </w:rPr>
            </w:pPr>
            <w:r>
              <w:rPr>
                <w:rFonts w:ascii="Arial" w:cs="Arial" w:eastAsia="Arial" w:hAnsi="Arial"/>
                <w:sz w:val="14"/>
                <w:szCs w:val="14"/>
                <w:b w:val="1"/>
                <w:bCs w:val="1"/>
                <w:color w:val="auto"/>
              </w:rPr>
              <w:t>Three Months Ended June 30,</w:t>
            </w:r>
          </w:p>
        </w:tc>
        <w:tc>
          <w:tcPr>
            <w:tcW w:w="378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3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2024 vs. 2023</w:t>
            </w:r>
          </w:p>
        </w:tc>
        <w:tc>
          <w:tcPr>
            <w:tcW w:w="1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 vs. 2023</w:t>
            </w:r>
          </w:p>
        </w:tc>
        <w:tc>
          <w:tcPr>
            <w:tcW w:w="1260" w:type="dxa"/>
            <w:vAlign w:val="bottom"/>
            <w:tcBorders>
              <w:bottom w:val="single" w:sz="8" w:color="auto"/>
            </w:tcBorders>
          </w:tcPr>
          <w:p>
            <w:pPr>
              <w:spacing w:after="0"/>
              <w:rPr>
                <w:sz w:val="17"/>
                <w:szCs w:val="17"/>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Consolidated</w:t>
            </w: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U.S.</w:t>
            </w: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27 %</w:t>
            </w:r>
          </w:p>
        </w:tc>
        <w:tc>
          <w:tcPr>
            <w:tcW w:w="1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27 %</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25 %</w:t>
            </w:r>
          </w:p>
        </w:tc>
        <w:tc>
          <w:tcPr>
            <w:tcW w:w="12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22 %</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560" w:type="dxa"/>
            <w:vAlign w:val="bottom"/>
          </w:tcPr>
          <w:p>
            <w:pPr>
              <w:jc w:val="right"/>
              <w:ind w:right="254"/>
              <w:spacing w:after="0"/>
              <w:rPr>
                <w:sz w:val="20"/>
                <w:szCs w:val="20"/>
                <w:color w:val="auto"/>
              </w:rPr>
            </w:pPr>
            <w:r>
              <w:rPr>
                <w:rFonts w:ascii="Arial" w:cs="Arial" w:eastAsia="Arial" w:hAnsi="Arial"/>
                <w:sz w:val="18"/>
                <w:szCs w:val="18"/>
                <w:color w:val="auto"/>
                <w:w w:val="99"/>
              </w:rPr>
              <w:t>15</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560" w:type="dxa"/>
            <w:vAlign w:val="bottom"/>
          </w:tcPr>
          <w:p>
            <w:pPr>
              <w:ind w:left="820"/>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260" w:type="dxa"/>
            <w:vAlign w:val="bottom"/>
          </w:tcPr>
          <w:p>
            <w:pPr>
              <w:ind w:left="820"/>
              <w:spacing w:after="0"/>
              <w:rPr>
                <w:sz w:val="20"/>
                <w:szCs w:val="20"/>
                <w:color w:val="auto"/>
              </w:rPr>
            </w:pPr>
            <w:r>
              <w:rPr>
                <w:rFonts w:ascii="Arial" w:cs="Arial" w:eastAsia="Arial" w:hAnsi="Arial"/>
                <w:sz w:val="18"/>
                <w:szCs w:val="18"/>
                <w:color w:val="auto"/>
              </w:rPr>
              <w:t>10</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7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(3)</w:t>
            </w:r>
          </w:p>
        </w:tc>
        <w:tc>
          <w:tcPr>
            <w:tcW w:w="1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7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25 %</w:t>
            </w:r>
          </w:p>
        </w:tc>
        <w:tc>
          <w:tcPr>
            <w:tcW w:w="15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36 %</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23 %</w:t>
            </w: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31 %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U.S. for the three and six months ended June 30, 2024, the increase in volume was primarily driven by Zepbound, Mounjaro, and Verzenio, partially offset by declines in Trulicity and the sale of rights for Baqsimi during the second quarter of 2023. Strong performance by our incretin medicines continued, as production increases resulted in improved channel dynamics and stocking levels, contributing to sales growth during the three and six months ended June 30, 2024. For the three months ended June 30, 2024, Mounjaro and Zepbound sales in the U.S. were positively impacted by channel stocking that we estimate totaled high teens to mid-20s as a percent of U.S. sales. While supply and demand have come into better balance, expected increases in demand may result in periodic supply tightness for certain presentations and dose levels.</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U.S. for the three and six months ended June 30, 2024, the higher realized prices were primarily driven by Mounjaro as realized prices were positively impacted by access and savings card dynamics compared to the same periods in 2023. In the second half of 2024, these savings card dynamics should have a minimal impact on realized price comparisons to base periods, as the $25 non-covered benefit expired June 30,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for the three and six months ended June 30, 2024, the increase in volume was primarily driven by Mounjaro and Verzenio.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41" w:name="page42"/>
    <w:bookmarkEnd w:id="41"/>
    <w:p>
      <w:pPr>
        <w:ind w:right="18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June 30, 2024 and 2023:</w:t>
      </w:r>
    </w:p>
    <w:p>
      <w:pPr>
        <w:spacing w:after="0" w:line="1" w:lineRule="exact"/>
        <w:rPr>
          <w:sz w:val="20"/>
          <w:szCs w:val="20"/>
          <w:color w:val="auto"/>
        </w:rPr>
      </w:pPr>
    </w:p>
    <w:tbl>
      <w:tblPr>
        <w:tblLayout w:type="fixed"/>
        <w:tblInd w:w="4160" w:type="dxa"/>
        <w:tblCellMar>
          <w:top w:w="0" w:type="dxa"/>
          <w:left w:w="0" w:type="dxa"/>
          <w:bottom w:w="0" w:type="dxa"/>
          <w:right w:w="0" w:type="dxa"/>
        </w:tblCellMar>
      </w:tblPr>
      <w:tr>
        <w:trPr>
          <w:trHeight w:val="197"/>
        </w:trPr>
        <w:tc>
          <w:tcPr>
            <w:tcW w:w="1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132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195"/>
        </w:trPr>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spacing w:after="0"/>
              <w:rPr>
                <w:sz w:val="16"/>
                <w:szCs w:val="16"/>
                <w:color w:val="auto"/>
              </w:rPr>
            </w:pPr>
          </w:p>
        </w:tc>
      </w:tr>
      <w:tr>
        <w:trPr>
          <w:trHeight w:val="196"/>
        </w:trPr>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U.S.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Outside U.S.</w:t>
            </w: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Percent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9803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ectPr>
          <w:pgSz w:w="11900" w:h="16838" w:orient="portrait"/>
          <w:cols w:equalWidth="0" w:num="1">
            <w:col w:w="11080"/>
          </w:cols>
          <w:pgMar w:left="320" w:top="998" w:right="49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Mounjaro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Verzenio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Trulicity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Zepbound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Taltz</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 (2)</w:t>
      </w:r>
    </w:p>
    <w:p>
      <w:pPr>
        <w:ind w:left="20"/>
        <w:spacing w:after="0" w:line="213" w:lineRule="auto"/>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p>
      <w:pPr>
        <w:ind w:left="20"/>
        <w:spacing w:after="0"/>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p>
    <w:p>
      <w:pPr>
        <w:ind w:left="20"/>
        <w:spacing w:after="0" w:line="213" w:lineRule="auto"/>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p>
      <w:pPr>
        <w:ind w:left="20"/>
        <w:spacing w:after="0" w:line="208" w:lineRule="auto"/>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p>
      <w:pPr>
        <w:ind w:left="20"/>
        <w:spacing w:after="0" w:line="208" w:lineRule="auto"/>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 (3)</w:t>
      </w:r>
    </w:p>
    <w:p>
      <w:pPr>
        <w:ind w:left="20"/>
        <w:spacing w:after="0" w:line="209" w:lineRule="auto"/>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p>
      <w:pPr>
        <w:ind w:left="20"/>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Baqsimi</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products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2,413.7</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677.2</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3,090.8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979.7</w:t>
            </w:r>
          </w:p>
        </w:tc>
        <w:tc>
          <w:tcPr>
            <w:tcW w:w="940" w:type="dxa"/>
            <w:vAlign w:val="bottom"/>
          </w:tcPr>
          <w:p>
            <w:pPr>
              <w:ind w:left="640"/>
              <w:spacing w:after="0"/>
              <w:rPr>
                <w:sz w:val="20"/>
                <w:szCs w:val="20"/>
                <w:color w:val="auto"/>
              </w:rPr>
            </w:pPr>
            <w:r>
              <w:rPr>
                <w:rFonts w:ascii="Arial" w:cs="Arial" w:eastAsia="Arial" w:hAnsi="Arial"/>
                <w:sz w:val="18"/>
                <w:szCs w:val="18"/>
                <w:color w:val="auto"/>
                <w:w w:val="99"/>
              </w:rPr>
              <w:t>NM</w:t>
            </w:r>
          </w:p>
        </w:tc>
      </w:tr>
      <w:tr>
        <w:trPr>
          <w:trHeight w:val="270"/>
        </w:trPr>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861.4</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470.5</w:t>
            </w:r>
          </w:p>
        </w:tc>
        <w:tc>
          <w:tcPr>
            <w:tcW w:w="4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1,331.9</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926.8</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44</w:t>
            </w:r>
          </w:p>
        </w:tc>
      </w:tr>
      <w:tr>
        <w:trPr>
          <w:trHeight w:val="253"/>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876.7</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368.9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1,245.6</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1,812.5</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(31)</w:t>
            </w:r>
          </w:p>
        </w:tc>
      </w:tr>
      <w:tr>
        <w:trPr>
          <w:trHeight w:val="247"/>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1,243.2</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1,243.2</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640"/>
              <w:spacing w:after="0"/>
              <w:rPr>
                <w:sz w:val="20"/>
                <w:szCs w:val="20"/>
                <w:color w:val="auto"/>
              </w:rPr>
            </w:pPr>
            <w:r>
              <w:rPr>
                <w:rFonts w:ascii="Arial" w:cs="Arial" w:eastAsia="Arial" w:hAnsi="Arial"/>
                <w:sz w:val="18"/>
                <w:szCs w:val="18"/>
                <w:color w:val="auto"/>
                <w:w w:val="99"/>
              </w:rPr>
              <w:t>NM</w:t>
            </w:r>
          </w:p>
        </w:tc>
      </w:tr>
      <w:tr>
        <w:trPr>
          <w:trHeight w:val="270"/>
        </w:trPr>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539.4</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285.3</w:t>
            </w:r>
          </w:p>
        </w:tc>
        <w:tc>
          <w:tcPr>
            <w:tcW w:w="4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824.7</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703.9</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17</w:t>
            </w:r>
          </w:p>
        </w:tc>
      </w:tr>
      <w:tr>
        <w:trPr>
          <w:trHeight w:val="270"/>
        </w:trPr>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428.9</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340.7</w:t>
            </w:r>
          </w:p>
        </w:tc>
        <w:tc>
          <w:tcPr>
            <w:tcW w:w="4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769.6</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668.3</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15</w:t>
            </w:r>
          </w:p>
        </w:tc>
      </w:tr>
      <w:tr>
        <w:trPr>
          <w:trHeight w:val="253"/>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434.7</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196.9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631.6</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440.4</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43</w:t>
            </w:r>
          </w:p>
        </w:tc>
      </w:tr>
      <w:tr>
        <w:trPr>
          <w:trHeight w:val="247"/>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116.1</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132.8</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248.9</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260.3</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99"/>
              </w:rPr>
              <w:t>(4)</w:t>
            </w:r>
          </w:p>
        </w:tc>
      </w:tr>
      <w:tr>
        <w:trPr>
          <w:trHeight w:val="253"/>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44.5</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183.2</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227.7</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218.9</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99"/>
              </w:rPr>
              <w:t>4</w:t>
            </w:r>
          </w:p>
        </w:tc>
      </w:tr>
      <w:tr>
        <w:trPr>
          <w:trHeight w:val="229"/>
        </w:trPr>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169.3</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54.2</w:t>
            </w: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223.6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205.3</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99"/>
              </w:rPr>
              <w:t>9</w:t>
            </w:r>
          </w:p>
        </w:tc>
      </w:tr>
      <w:tr>
        <w:trPr>
          <w:trHeight w:val="230"/>
        </w:trPr>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137.6</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54.4</w:t>
            </w: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192.0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169.3</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13</w:t>
            </w:r>
          </w:p>
        </w:tc>
      </w:tr>
      <w:tr>
        <w:trPr>
          <w:trHeight w:val="229"/>
        </w:trPr>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105.2</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75.6</w:t>
            </w: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180.8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17</w:t>
            </w:r>
          </w:p>
        </w:tc>
      </w:tr>
      <w:tr>
        <w:trPr>
          <w:trHeight w:val="247"/>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142.9</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13.0</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155.8</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99"/>
              </w:rPr>
              <w:t>(4)</w:t>
            </w:r>
          </w:p>
        </w:tc>
      </w:tr>
      <w:tr>
        <w:trPr>
          <w:trHeight w:val="270"/>
        </w:trPr>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4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123.0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19</w:t>
            </w:r>
          </w:p>
        </w:tc>
      </w:tr>
      <w:tr>
        <w:trPr>
          <w:trHeight w:val="270"/>
        </w:trPr>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80.2</w:t>
            </w:r>
          </w:p>
        </w:tc>
        <w:tc>
          <w:tcPr>
            <w:tcW w:w="4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87.7</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115.6</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(24)</w:t>
            </w:r>
          </w:p>
        </w:tc>
      </w:tr>
      <w:tr>
        <w:trPr>
          <w:trHeight w:val="253"/>
        </w:trPr>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31.5</w:t>
            </w: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38.5</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69.9</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148.0</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(53)</w:t>
            </w:r>
          </w:p>
        </w:tc>
      </w:tr>
      <w:tr>
        <w:trPr>
          <w:trHeight w:val="229"/>
        </w:trPr>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9.0</w:t>
            </w: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613.9</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(98)</w:t>
            </w:r>
          </w:p>
        </w:tc>
      </w:tr>
      <w:tr>
        <w:trPr>
          <w:trHeight w:val="235"/>
        </w:trPr>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364.1</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643.6</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940" w:type="dxa"/>
            <w:vAlign w:val="bottom"/>
          </w:tcPr>
          <w:p>
            <w:pPr>
              <w:jc w:val="center"/>
              <w:ind w:left="510"/>
              <w:spacing w:after="0"/>
              <w:rPr>
                <w:sz w:val="20"/>
                <w:szCs w:val="20"/>
                <w:color w:val="auto"/>
              </w:rPr>
            </w:pPr>
            <w:r>
              <w:rPr>
                <w:rFonts w:ascii="Arial" w:cs="Arial" w:eastAsia="Arial" w:hAnsi="Arial"/>
                <w:sz w:val="18"/>
                <w:szCs w:val="18"/>
                <w:color w:val="auto"/>
                <w:w w:val="99"/>
              </w:rPr>
              <w:t>2</w:t>
            </w:r>
          </w:p>
        </w:tc>
      </w:tr>
      <w:tr>
        <w:trPr>
          <w:trHeight w:val="230"/>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7,835.2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3,467.5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11,302.8</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8,312.1</w:t>
            </w:r>
          </w:p>
        </w:tc>
        <w:tc>
          <w:tcPr>
            <w:tcW w:w="940" w:type="dxa"/>
            <w:vAlign w:val="bottom"/>
          </w:tcPr>
          <w:p>
            <w:pPr>
              <w:jc w:val="center"/>
              <w:ind w:left="530"/>
              <w:spacing w:after="0"/>
              <w:rPr>
                <w:sz w:val="20"/>
                <w:szCs w:val="20"/>
                <w:color w:val="auto"/>
              </w:rPr>
            </w:pPr>
            <w:r>
              <w:rPr>
                <w:rFonts w:ascii="Arial" w:cs="Arial" w:eastAsia="Arial" w:hAnsi="Arial"/>
                <w:sz w:val="18"/>
                <w:szCs w:val="18"/>
                <w:color w:val="auto"/>
                <w:w w:val="99"/>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-2708275</wp:posOffset>
            </wp:positionV>
            <wp:extent cx="70980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-2390775</wp:posOffset>
            </wp:positionV>
            <wp:extent cx="709803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-2048510</wp:posOffset>
            </wp:positionV>
            <wp:extent cx="709803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-1731010</wp:posOffset>
            </wp:positionV>
            <wp:extent cx="709803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-1414145</wp:posOffset>
            </wp:positionV>
            <wp:extent cx="709803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-1122045</wp:posOffset>
            </wp:positionV>
            <wp:extent cx="709803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-805180</wp:posOffset>
            </wp:positionV>
            <wp:extent cx="709803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-462280</wp:posOffset>
            </wp:positionV>
            <wp:extent cx="709803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-170815</wp:posOffset>
            </wp:positionV>
            <wp:extent cx="709803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3440" w:space="720"/>
            <w:col w:w="6920"/>
          </w:cols>
          <w:pgMar w:left="320" w:top="998" w:right="499" w:bottom="1440" w:gutter="0" w:footer="0" w:header="0"/>
          <w:type w:val="continuous"/>
        </w:sect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8" w:right="499" w:bottom="1440" w:gutter="0" w:footer="0" w:header="0"/>
          <w:type w:val="continuous"/>
        </w:sectPr>
      </w:pPr>
    </w:p>
    <w:bookmarkStart w:id="42" w:name="page43"/>
    <w:bookmarkEnd w:id="42"/>
    <w:p>
      <w:pPr>
        <w:ind w:right="5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six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4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20" w:type="dxa"/>
            <w:vAlign w:val="bottom"/>
          </w:tcPr>
          <w:p>
            <w:pPr>
              <w:spacing w:after="0"/>
              <w:rPr>
                <w:sz w:val="17"/>
                <w:szCs w:val="17"/>
                <w:color w:val="auto"/>
              </w:rPr>
            </w:pPr>
          </w:p>
        </w:tc>
      </w:tr>
      <w:tr>
        <w:trPr>
          <w:trHeight w:val="344"/>
        </w:trPr>
        <w:tc>
          <w:tcPr>
            <w:tcW w:w="4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3,934.0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963.4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1,958.6</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743.3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3,789.6</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(29)</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1,499.6</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882.6</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42</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1,760.6</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797.1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659.0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886.4</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542.3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1,230.8</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16</w:t>
            </w: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397.3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30</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Cyramza</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223.3</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255.4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497.0</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354.2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Humulin</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322.4</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107.4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457.3</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(6)</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Emgality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262.7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155.1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29</w:t>
            </w: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188.4</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149.9</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363.5</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(7)</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Erbitux</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275.0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Tyvyt</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239.7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164.6</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46</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213.7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53.2</w:t>
            </w:r>
          </w:p>
        </w:tc>
        <w:tc>
          <w:tcPr>
            <w:tcW w:w="2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78.0</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99"/>
              </w:rPr>
              <w:t>(51)</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Baqsimi</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4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(98)</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497.9</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756.2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1,253.9</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420" w:type="dxa"/>
            <w:vAlign w:val="bottom"/>
            <w:tcBorders>
              <w:bottom w:val="single" w:sz="8" w:color="CCEEFF"/>
            </w:tcBorders>
          </w:tcPr>
          <w:p>
            <w:pPr>
              <w:jc w:val="center"/>
              <w:ind w:left="31"/>
              <w:spacing w:after="0"/>
              <w:rPr>
                <w:sz w:val="20"/>
                <w:szCs w:val="20"/>
                <w:color w:val="auto"/>
              </w:rPr>
            </w:pPr>
            <w:r>
              <w:rPr>
                <w:rFonts w:ascii="Arial" w:cs="Arial" w:eastAsia="Arial" w:hAnsi="Arial"/>
                <w:sz w:val="18"/>
                <w:szCs w:val="18"/>
                <w:color w:val="auto"/>
                <w:w w:val="99"/>
              </w:rPr>
              <w:t>4</w:t>
            </w:r>
          </w:p>
        </w:tc>
      </w:tr>
      <w:tr>
        <w:trPr>
          <w:trHeight w:val="23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13,529.6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6,541.2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20,070.8</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15,272.1</w:t>
            </w:r>
          </w:p>
        </w:tc>
        <w:tc>
          <w:tcPr>
            <w:tcW w:w="142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31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14" w:lineRule="exact"/>
        <w:rPr>
          <w:rFonts w:ascii="Arial" w:cs="Arial" w:eastAsia="Arial" w:hAnsi="Arial"/>
          <w:sz w:val="9"/>
          <w:szCs w:val="9"/>
          <w:color w:val="auto"/>
        </w:rPr>
      </w:pPr>
    </w:p>
    <w:p>
      <w:pPr>
        <w:ind w:left="140" w:hanging="132"/>
        <w:spacing w:after="0" w:line="228"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line="229"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Basaglar revenue includes Rezvoglar.</w:t>
      </w:r>
    </w:p>
    <w:p>
      <w:pPr>
        <w:spacing w:after="0" w:line="3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of Mounjaro in the U.S. during the three and six months ended June 30, 2024 was $2.41 billion and $3.93 billion, respectively, compared to $915.7 million and $1.45 billion during the three and six months ended June 30, 2023, respectively, reflecting continued strong demand, improved channel dynamics, and higher realized prices due to access and savings card dynamics. In the second half of 2024, these savings card dynamics should have a minimal impact on realized price comparisons to base periods, as the $25 non-covered benefit expired June 30, 2023. Revenue outside the U.S. during the three and six months ended June 30, 2024 was $677.2 million and $963.4 million, respectively, compared to $64.0 million and $96.0 million during the three and six months ended June 30, 2023, respectively, primarily driven by increased volume associated with the launch of Mounjaro Kwikpen</w:t>
      </w:r>
      <w:r>
        <w:rPr>
          <w:rFonts w:ascii="Times New Roman" w:cs="Times New Roman" w:eastAsia="Times New Roman" w:hAnsi="Times New Roman"/>
          <w:sz w:val="23"/>
          <w:szCs w:val="23"/>
          <w:color w:val="auto"/>
          <w:vertAlign w:val="superscript"/>
        </w:rPr>
        <w:t>®</w:t>
      </w:r>
      <w:r>
        <w:rPr>
          <w:rFonts w:ascii="Arial" w:cs="Arial" w:eastAsia="Arial" w:hAnsi="Arial"/>
          <w:sz w:val="18"/>
          <w:szCs w:val="18"/>
          <w:color w:val="auto"/>
        </w:rPr>
        <w:t xml:space="preserve"> in various markets.</w:t>
      </w:r>
    </w:p>
    <w:p>
      <w:pPr>
        <w:spacing w:after="0" w:line="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 of Trulicity decreased 36 percent and 33 percent in the U.S. during the three and six months ended June 30, 2024, respectively, driven by decreased volume primarily due to supply constraints and competitive dynamics. Revenue outside the U.S. decreased 16 percent and 15 percent during the three and six months ended June 30, 2024, respectively, primarily driven by decreased volume. In addition to the factors affecting U.S. volume, international markets continue to be impacted by actions we have taken to manage demand amid tight supply, including measures to minimize impact to existing patients by communicating with healthcare practitioners to not start new patients on Trulicity.</w:t>
      </w:r>
    </w:p>
    <w:p>
      <w:pPr>
        <w:spacing w:after="0" w:line="7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 of Verzenio increased 46 percent and 43 percent in the U.S. during the three and six months ended June 30, 2024, respectively, primarily driven by increased demand. Revenue outside of the U.S. increased 39 percent and 41 percent during the three and six months ended June 30, 2024, respectively, primarily driven by increased demand, partially offset by the unfavorable impact of foreign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ind w:right="220"/>
        <w:spacing w:after="0" w:line="268" w:lineRule="auto"/>
        <w:rPr>
          <w:sz w:val="20"/>
          <w:szCs w:val="20"/>
          <w:color w:val="auto"/>
        </w:rPr>
      </w:pPr>
      <w:r>
        <w:rPr>
          <w:rFonts w:ascii="Arial" w:cs="Arial" w:eastAsia="Arial" w:hAnsi="Arial"/>
          <w:sz w:val="18"/>
          <w:szCs w:val="18"/>
          <w:color w:val="auto"/>
        </w:rPr>
        <w:t>Revenue of Zepbound in the U.S. during the three and six months ended June 30, 2024 was $1.24 billion and $ 1.76 billion, respectively. Zepbound launched in the U.S. for the treatment of adult patients with obesity or overweight with weight-related comorbidities in November 2023. In the U.S., we plan to launch Zepbound 2.5 milligram and 5 milligram single-dose vials in the third quarter of 2024.</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of Jardiance increased 11 percent in the U.S. during both the three and six months ended June 30, 2024, driven by increased demand. Revenue outside the U.S. increased 21 percent and 24 percent during the three and six months ended June 30, 2024, respectively, driven by increased volume. See Note 4 to the consolidated condensed financial statements for information regarding our collaboration with Boehringer Ingelheim involving Jardiance.</w:t>
      </w:r>
    </w:p>
    <w:p>
      <w:pPr>
        <w:spacing w:after="0" w:line="68"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Revenue of Taltz increased 14 percent and 13 percent in the U.S. during the three and six months ended June 30, 2024, respectively, primarily driven by increased demand. Revenue outside the U.S. increased 23 percent and 22 percent during the three and six months ended June 30, 2024, respectively, primarily driven by increased demand.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2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9,132.6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6,504.7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16,227.1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11,838.0</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Gross margin as a percent of</w:t>
            </w: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80.8 %</w:t>
            </w:r>
          </w:p>
        </w:tc>
        <w:tc>
          <w:tcPr>
            <w:tcW w:w="4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78.3 %</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80.8 %</w:t>
            </w:r>
          </w:p>
        </w:tc>
        <w:tc>
          <w:tcPr>
            <w:tcW w:w="4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77.5 %</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2,711.2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2,356.5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5,234.0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4,341.6</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Marketing, selling, and</w:t>
            </w:r>
          </w:p>
        </w:tc>
        <w:tc>
          <w:tcPr>
            <w:tcW w:w="360" w:type="dxa"/>
            <w:vAlign w:val="bottom"/>
          </w:tcPr>
          <w:p>
            <w:pPr>
              <w:spacing w:after="0"/>
              <w:rPr>
                <w:sz w:val="15"/>
                <w:szCs w:val="15"/>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2,117.3</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1,925.4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380" w:type="dxa"/>
            <w:vAlign w:val="bottom"/>
          </w:tcPr>
          <w:p>
            <w:pPr>
              <w:spacing w:after="0"/>
              <w:rPr>
                <w:sz w:val="15"/>
                <w:szCs w:val="15"/>
                <w:color w:val="auto"/>
              </w:rPr>
            </w:pPr>
          </w:p>
        </w:tc>
        <w:tc>
          <w:tcPr>
            <w:tcW w:w="126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4,069.5</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3,674.6</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Acquired in-process research and</w:t>
            </w: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154.3</w:t>
            </w: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97.1</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264.8</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202.1</w:t>
            </w:r>
          </w:p>
        </w:tc>
        <w:tc>
          <w:tcPr>
            <w:tcW w:w="860" w:type="dxa"/>
            <w:vAlign w:val="bottom"/>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(IPR&amp;D)</w:t>
            </w:r>
          </w:p>
        </w:tc>
        <w:tc>
          <w:tcPr>
            <w:tcW w:w="3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rPr>
              <w:t>Asset impairment, restructuring,</w:t>
            </w:r>
          </w:p>
        </w:tc>
        <w:tc>
          <w:tcPr>
            <w:tcW w:w="360" w:type="dxa"/>
            <w:vAlign w:val="bottom"/>
          </w:tcPr>
          <w:p>
            <w:pPr>
              <w:spacing w:after="0"/>
              <w:rPr>
                <w:sz w:val="15"/>
                <w:szCs w:val="15"/>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435.0</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NM</w:t>
            </w:r>
          </w:p>
        </w:tc>
        <w:tc>
          <w:tcPr>
            <w:tcW w:w="380" w:type="dxa"/>
            <w:vAlign w:val="bottom"/>
          </w:tcPr>
          <w:p>
            <w:pPr>
              <w:spacing w:after="0"/>
              <w:rPr>
                <w:sz w:val="15"/>
                <w:szCs w:val="15"/>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435.0</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and other special charges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197.6</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170.5</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550.2</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325.7</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380" w:type="dxa"/>
            <w:vAlign w:val="bottom"/>
          </w:tcPr>
          <w:p>
            <w:pPr>
              <w:spacing w:after="0"/>
              <w:rPr>
                <w:sz w:val="19"/>
                <w:szCs w:val="19"/>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b w:val="1"/>
                <w:bCs w:val="1"/>
                <w:color w:val="auto"/>
              </w:rPr>
              <w:t>843.4</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510.5</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15.6 %</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13.9 %</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Gross margin as a percent of revenue for the three and six months ended June 30, 2024 increased 2.5 percentage points and 3.3 percentage points compared with the three and six months ended June 30, 2023, respectively, primarily driven by higher realized prices and favorable product mix.</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Research and development expenses increased 15 percent and 21 percent for the three and six months ended June 30, 2024, respectively, driven by continued investment in our portfolio and our people.</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Marketing, selling, and administrative expenses increased 10 percent and 11 percent for the three and six months ended June 30, 2024, respectively, primarily driven by investments in our launches and our people.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for acquired IPR&amp;D charges, see Note 3 to the consolidated condensed financial statements.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Asset impairment, restructuring, and other special charges for the three and six months ended June 30, 2024 were related to anticipated litigation payments. See Note 10 to the consolidated condensed financial statements for additional information.</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Other–net, (income) expense included net investment losses on equity securities of $157.9 million and $141.9 million for three and six months ended June 30, 2024, respectively, and $64.9 million and $78.6 million for three and six months ended June 30, 2023, respectively. See Note 12 to the consolidated condensed financial statements for additional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ind w:right="20"/>
        <w:spacing w:after="0" w:line="257" w:lineRule="auto"/>
        <w:rPr>
          <w:sz w:val="20"/>
          <w:szCs w:val="20"/>
          <w:color w:val="auto"/>
        </w:rPr>
      </w:pPr>
      <w:r>
        <w:rPr>
          <w:rFonts w:ascii="Arial" w:cs="Arial" w:eastAsia="Arial" w:hAnsi="Arial"/>
          <w:sz w:val="18"/>
          <w:szCs w:val="18"/>
          <w:color w:val="auto"/>
        </w:rPr>
        <w:t>The effective tax rates were 15.6 percent and 13.9 percent for the three and six months ended June 30, 2024, respectively, compared to 15.6 percent and 14.1 percent for the three and six months ended June 30, 2023, respectively. The effective tax rates for the three and six months ended June 30, 2024 reflect a mix of earnings in higher tax jurisdictions, while effective tax rates for the three and six months ended June 30,2023 reflect the tax impact of the sale of rights for Baqsimi. Additionally, the effective tax rates for the six months ended June 30, 2024 and 2023 were both reduced by net discrete tax benefits, with a larger net discrete tax benefit reflected in the six months ended June 30, 2024 compared to the same period in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6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2023.</w:t>
      </w:r>
    </w:p>
    <w:p>
      <w:pPr>
        <w:spacing w:after="0" w:line="6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are making investments in facilities in North America and Europe to manufacture existing and future products. These investments, and other capital investments that support our operations, have increased our capital expenditures and will result in higher capital expenditures over the next several years.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incretin medicines, we have entered, and expect to continue to enter, into various agreements for contract manufacturing and for supply of materials. The executed agreements could, under certain circumstances, require us to pay up to approximately $10 billion if we do not purchase specified amounts of goods or services over the durations of the agreements, which are generally up to 8 years.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2024, we announced an agreement to acquire Morphic Holding, Inc. (Morphic) for a purchase price of $57.00 per share in cash (an aggregate of approximately $3.2 billion) payable at closing. The proposed acquisition is subject to customary closing conditions, including the tender of a majority of the outstanding shares of Morphic's common stock. We anticipate funding this acquisition through a variety of sources, including cash on hand, borrowings under our commercial paper program, proceeds from the issuance of debt, or a combination of the foregoing.</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and cash equivalents increased to $3.22 billion as of June 30, 2024, compared with $2.82 billion as of December 31, 2023. Refer to the consolidated condensed statements of cash flows for additional information on the significant sources and uses of cash for the six months ended June 30, 2024 and 2023.</w:t>
      </w:r>
    </w:p>
    <w:p>
      <w:pPr>
        <w:spacing w:after="0" w:line="63"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$3.02 billion and $3.16 billion as of June 30, 2024 and December 31, 2023, respectively. See Note 7 to the consolidated condensed financial statements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total debt was $28.89 billion, an increase of $3.67 billion compared with $25.23 billion as of December 31, 2023.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2024, we issued $6.50 billion of fixed-rate notes and used, or may be using, the net cash proceeds for general business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repayment of outstanding commercial paper, repayment of current maturities of long-term debt, and repayment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million of fixed-rate notes due in 2026. See Note 7 to the consolidated condensed financial statements for additional information.</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June 30, 2024, we had a total of $7.42 billion of unused committed bank credit facilities, $7.00 billion of which is available to support our commercial paper program. We believe that amounts accessible through existing commercial paper markets should be adequate to fund short-term borrowing needs.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During the six months ended June 30, 2024, we did not repurchase any shares under our $5.00 billion share repurchase program authorized in May 2021. As of June 30, 2024, we had $2.50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 we paid dividends of $2.34 billion, or $2.60 per share,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losses of patent protection.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ind w:right="4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2023.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80" w:hanging="652"/>
        <w:spacing w:after="0" w:line="257"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Securities and Exchange Commission (SEC)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4" w:lineRule="exact"/>
        <w:rPr>
          <w:rFonts w:ascii="Arial" w:cs="Arial" w:eastAsia="Arial" w:hAnsi="Arial"/>
          <w:sz w:val="18"/>
          <w:szCs w:val="18"/>
          <w:color w:val="auto"/>
        </w:rPr>
      </w:pPr>
    </w:p>
    <w:p>
      <w:pPr>
        <w:ind w:left="660" w:right="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Our management, with the participation of David Ricks, president and chief executive officer, and Gordon Brooks, interim chief financial officer, evaluated our disclosure controls and procedures (as such terms are defined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as of June 30, 2024, and concluded that they were effective.</w:t>
      </w:r>
    </w:p>
    <w:p>
      <w:pPr>
        <w:spacing w:after="0" w:line="62" w:lineRule="exact"/>
        <w:rPr>
          <w:rFonts w:ascii="Arial" w:cs="Arial" w:eastAsia="Arial" w:hAnsi="Arial"/>
          <w:sz w:val="18"/>
          <w:szCs w:val="18"/>
          <w:color w:val="auto"/>
        </w:rPr>
      </w:pPr>
    </w:p>
    <w:p>
      <w:pPr>
        <w:ind w:left="660" w:right="660" w:hanging="652"/>
        <w:spacing w:after="0" w:line="318" w:lineRule="auto"/>
        <w:tabs>
          <w:tab w:leader="none" w:pos="65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w:t>
      </w:r>
      <w:r>
        <w:rPr>
          <w:rFonts w:ascii="Arial" w:cs="Arial" w:eastAsia="Arial" w:hAnsi="Arial"/>
          <w:sz w:val="17"/>
          <w:szCs w:val="17"/>
          <w:color w:val="auto"/>
        </w:rPr>
        <w:t>During the second quarter of 2024, there were no changes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that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7" w:name="page48"/>
    <w:bookmarkEnd w:id="47"/>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10 to the consolidated condensed financial statements for information on various legal proceedings.</w:t>
      </w:r>
    </w:p>
    <w:p>
      <w:pPr>
        <w:spacing w:after="0" w:line="99" w:lineRule="exact"/>
        <w:rPr>
          <w:sz w:val="20"/>
          <w:szCs w:val="20"/>
          <w:color w:val="auto"/>
        </w:rPr>
      </w:pPr>
    </w:p>
    <w:p>
      <w:pPr>
        <w:ind w:right="3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2023.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rPr>
              <w:t>Average Price Paid</w:t>
            </w:r>
          </w:p>
        </w:tc>
        <w:tc>
          <w:tcPr>
            <w:tcW w:w="360" w:type="dxa"/>
            <w:vAlign w:val="bottom"/>
          </w:tcPr>
          <w:p>
            <w:pPr>
              <w:spacing w:after="0"/>
              <w:rPr>
                <w:sz w:val="12"/>
                <w:szCs w:val="12"/>
                <w:color w:val="auto"/>
              </w:rPr>
            </w:pPr>
          </w:p>
        </w:tc>
        <w:tc>
          <w:tcPr>
            <w:tcW w:w="200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17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1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jc w:val="center"/>
              <w:ind w:left="248"/>
              <w:spacing w:after="0" w:line="139"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per Share</w:t>
            </w: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2024</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2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May 2024</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2024</w:t>
            </w:r>
          </w:p>
        </w:tc>
        <w:tc>
          <w:tcPr>
            <w:tcW w:w="1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During the three months ended June 30, 2024, we did not repurchase any shares under our $5.00 billion share repurchase program authorized in May 2021.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During the three months ended June 30, 2024,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10"/>
          </w:tcPr>
          <w:p>
            <w:pPr>
              <w:spacing w:after="0"/>
              <w:rPr>
                <w:rFonts w:ascii="Arial" w:cs="Arial" w:eastAsia="Arial" w:hAnsi="Arial"/>
                <w:sz w:val="18"/>
                <w:szCs w:val="18"/>
                <w:color w:val="0000FF"/>
              </w:rPr>
            </w:pPr>
            <w:hyperlink r:id="rId88">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10"/>
          </w:tcPr>
          <w:p>
            <w:pPr>
              <w:spacing w:after="0"/>
              <w:rPr>
                <w:rFonts w:ascii="Arial" w:cs="Arial" w:eastAsia="Arial" w:hAnsi="Arial"/>
                <w:sz w:val="18"/>
                <w:szCs w:val="18"/>
                <w:color w:val="0000FF"/>
              </w:rPr>
            </w:pPr>
            <w:hyperlink r:id="rId89">
              <w:r>
                <w:rPr>
                  <w:rFonts w:ascii="Arial" w:cs="Arial" w:eastAsia="Arial" w:hAnsi="Arial"/>
                  <w:sz w:val="18"/>
                  <w:szCs w:val="18"/>
                  <w:color w:val="0000FF"/>
                </w:rPr>
                <w:t>Bylaws, as amended, incorporated by reference to Exhibit 3.2 to the Company's Current Report on Form 8-K filed on</w:t>
              </w:r>
            </w:hyperlink>
          </w:p>
        </w:tc>
      </w:tr>
      <w:tr>
        <w:trPr>
          <w:trHeight w:val="155"/>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89">
              <w:r>
                <w:rPr>
                  <w:rFonts w:ascii="Arial" w:cs="Arial" w:eastAsia="Arial" w:hAnsi="Arial"/>
                  <w:sz w:val="18"/>
                  <w:szCs w:val="18"/>
                  <w:color w:val="0000FF"/>
                  <w:w w:val="98"/>
                </w:rPr>
                <w:t>May 4, 2022</w:t>
              </w:r>
            </w:hyperlink>
          </w:p>
        </w:tc>
        <w:tc>
          <w:tcPr>
            <w:tcW w:w="8260" w:type="dxa"/>
            <w:vAlign w:val="bottom"/>
            <w:tcBorders>
              <w:top w:val="single" w:sz="8" w:color="0000FF"/>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0000FF"/>
              </w:rPr>
              <w:t>Amended and Restated 2002 Lilly Stock Plan*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62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Gordon Brooks, Interim Chief Financial Officer*</w:t>
            </w:r>
          </w:p>
        </w:tc>
        <w:tc>
          <w:tcPr>
            <w:tcW w:w="920" w:type="dxa"/>
            <w:vAlign w:val="bottom"/>
            <w:tcBorders>
              <w:top w:val="single" w:sz="8" w:color="0000FF"/>
            </w:tcBorders>
          </w:tcPr>
          <w:p>
            <w:pPr>
              <w:spacing w:after="0"/>
              <w:rPr>
                <w:sz w:val="24"/>
                <w:szCs w:val="24"/>
                <w:color w:val="auto"/>
              </w:rPr>
            </w:pPr>
          </w:p>
        </w:tc>
        <w:tc>
          <w:tcPr>
            <w:tcW w:w="226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r>
      <w:tr>
        <w:trPr>
          <w:trHeight w:val="349"/>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August 8, 2024</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Gordon Brooks</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Gordon Brooks</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Interim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August 8, 2024</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1000" w:right="339" w:bottom="1440" w:gutter="0" w:footer="0" w:header="0"/>
        </w:sectPr>
      </w:pPr>
    </w:p>
    <w:bookmarkStart w:id="49" w:name="page50"/>
    <w:bookmarkEnd w:id="49"/>
    <w:p>
      <w:pPr>
        <w:spacing w:after="0"/>
        <w:rPr>
          <w:sz w:val="20"/>
          <w:szCs w:val="20"/>
          <w:color w:val="auto"/>
        </w:rPr>
      </w:pPr>
      <w:r>
        <w:rPr>
          <w:rFonts w:ascii="Calibri" w:cs="Calibri" w:eastAsia="Calibri" w:hAnsi="Calibri"/>
          <w:sz w:val="20"/>
          <w:szCs w:val="20"/>
          <w:color w:val="auto"/>
        </w:rPr>
        <w:t>Exhibit 10.1 Amended and Restated 2002 Lilly Stock Plan</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AMENDED AND RESTATED 2002 LILLY</w:t>
      </w:r>
    </w:p>
    <w:p>
      <w:pPr>
        <w:spacing w:after="0" w:line="5" w:lineRule="exact"/>
        <w:rPr>
          <w:sz w:val="20"/>
          <w:szCs w:val="20"/>
          <w:color w:val="auto"/>
        </w:rPr>
      </w:pPr>
    </w:p>
    <w:p>
      <w:pPr>
        <w:jc w:val="center"/>
        <w:ind w:right="-99"/>
        <w:spacing w:after="0"/>
        <w:rPr>
          <w:sz w:val="20"/>
          <w:szCs w:val="20"/>
          <w:color w:val="auto"/>
        </w:rPr>
      </w:pPr>
      <w:r>
        <w:rPr>
          <w:rFonts w:ascii="Calibri" w:cs="Calibri" w:eastAsia="Calibri" w:hAnsi="Calibri"/>
          <w:sz w:val="25"/>
          <w:szCs w:val="25"/>
          <w:b w:val="1"/>
          <w:bCs w:val="1"/>
          <w:color w:val="auto"/>
        </w:rPr>
        <w:t>STOCK PLAN</w:t>
      </w:r>
    </w:p>
    <w:p>
      <w:pPr>
        <w:spacing w:after="0" w:line="7"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auto"/>
        </w:rPr>
        <w:t>(As amended, May 6, 2024)</w:t>
      </w:r>
    </w:p>
    <w:p>
      <w:pPr>
        <w:spacing w:after="0" w:line="244" w:lineRule="exact"/>
        <w:rPr>
          <w:sz w:val="20"/>
          <w:szCs w:val="20"/>
          <w:color w:val="auto"/>
        </w:rPr>
      </w:pPr>
    </w:p>
    <w:p>
      <w:pPr>
        <w:ind w:left="100"/>
        <w:spacing w:after="0"/>
        <w:tabs>
          <w:tab w:leader="none" w:pos="1220" w:val="left"/>
        </w:tabs>
        <w:rPr>
          <w:sz w:val="20"/>
          <w:szCs w:val="20"/>
          <w:color w:val="auto"/>
        </w:rPr>
      </w:pPr>
      <w:r>
        <w:rPr>
          <w:rFonts w:ascii="Calibri" w:cs="Calibri" w:eastAsia="Calibri" w:hAnsi="Calibri"/>
          <w:sz w:val="22"/>
          <w:szCs w:val="22"/>
          <w:b w:val="1"/>
          <w:bCs w:val="1"/>
          <w:color w:val="auto"/>
        </w:rPr>
        <w:t>ARTICLE 1.</w:t>
      </w:r>
      <w:r>
        <w:rPr>
          <w:sz w:val="20"/>
          <w:szCs w:val="20"/>
          <w:color w:val="auto"/>
        </w:rPr>
        <w:tab/>
      </w:r>
      <w:r>
        <w:rPr>
          <w:rFonts w:ascii="Calibri" w:cs="Calibri" w:eastAsia="Calibri" w:hAnsi="Calibri"/>
          <w:sz w:val="21"/>
          <w:szCs w:val="21"/>
          <w:b w:val="1"/>
          <w:bCs w:val="1"/>
          <w:color w:val="auto"/>
        </w:rPr>
        <w:t>PURPOSES OF THE PLAN</w:t>
      </w:r>
    </w:p>
    <w:p>
      <w:pPr>
        <w:spacing w:after="0" w:line="242" w:lineRule="exact"/>
        <w:rPr>
          <w:sz w:val="20"/>
          <w:szCs w:val="20"/>
          <w:color w:val="auto"/>
        </w:rPr>
      </w:pPr>
    </w:p>
    <w:p>
      <w:pPr>
        <w:jc w:val="both"/>
        <w:ind w:left="100" w:firstLine="647"/>
        <w:spacing w:after="0" w:line="232" w:lineRule="auto"/>
        <w:rPr>
          <w:sz w:val="20"/>
          <w:szCs w:val="20"/>
          <w:color w:val="auto"/>
        </w:rPr>
      </w:pPr>
      <w:r>
        <w:rPr>
          <w:rFonts w:ascii="Calibri" w:cs="Calibri" w:eastAsia="Calibri" w:hAnsi="Calibri"/>
          <w:sz w:val="22"/>
          <w:szCs w:val="22"/>
          <w:color w:val="auto"/>
        </w:rPr>
        <w:t>The Company believes that this Amended and Restated 2002 Lilly Stock Plan, as amended from tme to tme (the “</w:t>
      </w:r>
      <w:r>
        <w:rPr>
          <w:rFonts w:ascii="Calibri" w:cs="Calibri" w:eastAsia="Calibri" w:hAnsi="Calibri"/>
          <w:sz w:val="22"/>
          <w:szCs w:val="22"/>
          <w:u w:val="single" w:color="auto"/>
          <w:color w:val="auto"/>
        </w:rPr>
        <w:t>Plan</w:t>
      </w:r>
      <w:r>
        <w:rPr>
          <w:rFonts w:ascii="Calibri" w:cs="Calibri" w:eastAsia="Calibri" w:hAnsi="Calibri"/>
          <w:sz w:val="22"/>
          <w:szCs w:val="22"/>
          <w:color w:val="auto"/>
        </w:rPr>
        <w:t>”), will beneft the Company’s shareholders by allowing the Company to atract, motvate and retain the best available Employees and Directors and by providing those Employees and Directors stock-based incentves to strengthen the alignment of interests between those persons and the Company’s shareholders.</w:t>
      </w:r>
    </w:p>
    <w:p>
      <w:pPr>
        <w:spacing w:after="0" w:line="247" w:lineRule="exact"/>
        <w:rPr>
          <w:sz w:val="20"/>
          <w:szCs w:val="20"/>
          <w:color w:val="auto"/>
        </w:rPr>
      </w:pPr>
    </w:p>
    <w:p>
      <w:pPr>
        <w:ind w:left="100"/>
        <w:spacing w:after="0"/>
        <w:tabs>
          <w:tab w:leader="none" w:pos="1220" w:val="left"/>
        </w:tabs>
        <w:rPr>
          <w:sz w:val="20"/>
          <w:szCs w:val="20"/>
          <w:color w:val="auto"/>
        </w:rPr>
      </w:pPr>
      <w:r>
        <w:rPr>
          <w:rFonts w:ascii="Calibri" w:cs="Calibri" w:eastAsia="Calibri" w:hAnsi="Calibri"/>
          <w:sz w:val="22"/>
          <w:szCs w:val="22"/>
          <w:b w:val="1"/>
          <w:bCs w:val="1"/>
          <w:color w:val="auto"/>
        </w:rPr>
        <w:t>ARTICLE 2.</w:t>
      </w:r>
      <w:r>
        <w:rPr>
          <w:sz w:val="20"/>
          <w:szCs w:val="20"/>
          <w:color w:val="auto"/>
        </w:rPr>
        <w:tab/>
      </w:r>
      <w:r>
        <w:rPr>
          <w:rFonts w:ascii="Calibri" w:cs="Calibri" w:eastAsia="Calibri" w:hAnsi="Calibri"/>
          <w:sz w:val="21"/>
          <w:szCs w:val="21"/>
          <w:b w:val="1"/>
          <w:bCs w:val="1"/>
          <w:color w:val="auto"/>
        </w:rPr>
        <w:t>DEFINITIONS</w:t>
      </w:r>
    </w:p>
    <w:p>
      <w:pPr>
        <w:spacing w:after="0" w:line="242" w:lineRule="exact"/>
        <w:rPr>
          <w:sz w:val="20"/>
          <w:szCs w:val="20"/>
          <w:color w:val="auto"/>
        </w:rPr>
      </w:pPr>
    </w:p>
    <w:p>
      <w:pPr>
        <w:jc w:val="both"/>
        <w:ind w:left="100" w:right="20" w:firstLine="647"/>
        <w:spacing w:after="0" w:line="235" w:lineRule="auto"/>
        <w:rPr>
          <w:sz w:val="20"/>
          <w:szCs w:val="20"/>
          <w:color w:val="auto"/>
        </w:rPr>
      </w:pPr>
      <w:r>
        <w:rPr>
          <w:rFonts w:ascii="Calibri" w:cs="Calibri" w:eastAsia="Calibri" w:hAnsi="Calibri"/>
          <w:sz w:val="22"/>
          <w:szCs w:val="22"/>
          <w:color w:val="auto"/>
        </w:rPr>
        <w:t>Wherever the following terms are used in the Plan, they shall have the meanings specifed below, unless the context clearly indicates otherwise. The singular pronoun shall include the plural where the context so indicates.</w:t>
      </w:r>
    </w:p>
    <w:p>
      <w:pPr>
        <w:spacing w:after="0" w:line="244" w:lineRule="exact"/>
        <w:rPr>
          <w:sz w:val="20"/>
          <w:szCs w:val="20"/>
          <w:color w:val="auto"/>
        </w:rPr>
      </w:pPr>
    </w:p>
    <w:p>
      <w:pPr>
        <w:jc w:val="both"/>
        <w:ind w:left="100" w:right="300" w:firstLine="647"/>
        <w:spacing w:after="0" w:line="233" w:lineRule="auto"/>
        <w:rPr>
          <w:sz w:val="20"/>
          <w:szCs w:val="20"/>
          <w:color w:val="auto"/>
        </w:rPr>
      </w:pPr>
      <w:r>
        <w:rPr>
          <w:rFonts w:ascii="Calibri" w:cs="Calibri" w:eastAsia="Calibri" w:hAnsi="Calibri"/>
          <w:sz w:val="22"/>
          <w:szCs w:val="22"/>
          <w:color w:val="auto"/>
        </w:rPr>
        <w:t>2.1 “</w:t>
      </w:r>
      <w:r>
        <w:rPr>
          <w:rFonts w:ascii="Calibri" w:cs="Calibri" w:eastAsia="Calibri" w:hAnsi="Calibri"/>
          <w:sz w:val="22"/>
          <w:szCs w:val="22"/>
          <w:u w:val="single" w:color="auto"/>
          <w:color w:val="auto"/>
        </w:rPr>
        <w:t>Afliate</w:t>
      </w:r>
      <w:r>
        <w:rPr>
          <w:rFonts w:ascii="Calibri" w:cs="Calibri" w:eastAsia="Calibri" w:hAnsi="Calibri"/>
          <w:sz w:val="22"/>
          <w:szCs w:val="22"/>
          <w:color w:val="auto"/>
        </w:rPr>
        <w:t>” shall have the meaning given to such term in Rule 12b-2 promulgated under the Exchange Act. The Board shall have the authority to determine the tme or tmes at which “Afliate” status is determined within the foregoing defniton.</w:t>
      </w:r>
    </w:p>
    <w:p>
      <w:pPr>
        <w:spacing w:after="0" w:line="244" w:lineRule="exact"/>
        <w:rPr>
          <w:sz w:val="20"/>
          <w:szCs w:val="20"/>
          <w:color w:val="auto"/>
        </w:rPr>
      </w:pPr>
    </w:p>
    <w:p>
      <w:pPr>
        <w:ind w:left="100" w:right="160" w:firstLine="647"/>
        <w:spacing w:after="0" w:line="232" w:lineRule="auto"/>
        <w:rPr>
          <w:sz w:val="20"/>
          <w:szCs w:val="20"/>
          <w:color w:val="auto"/>
        </w:rPr>
      </w:pPr>
      <w:r>
        <w:rPr>
          <w:rFonts w:ascii="Calibri" w:cs="Calibri" w:eastAsia="Calibri" w:hAnsi="Calibri"/>
          <w:sz w:val="22"/>
          <w:szCs w:val="22"/>
          <w:color w:val="auto"/>
        </w:rPr>
        <w:t>2.2 “</w:t>
      </w:r>
      <w:r>
        <w:rPr>
          <w:rFonts w:ascii="Calibri" w:cs="Calibri" w:eastAsia="Calibri" w:hAnsi="Calibri"/>
          <w:sz w:val="22"/>
          <w:szCs w:val="22"/>
          <w:u w:val="single" w:color="auto"/>
          <w:color w:val="auto"/>
        </w:rPr>
        <w:t>Applicable Laws</w:t>
      </w:r>
      <w:r>
        <w:rPr>
          <w:rFonts w:ascii="Calibri" w:cs="Calibri" w:eastAsia="Calibri" w:hAnsi="Calibri"/>
          <w:sz w:val="22"/>
          <w:szCs w:val="22"/>
          <w:color w:val="auto"/>
        </w:rPr>
        <w:t>” means the requirements relatng to the administraton of equity-based and cash-based awards, as applicable, and the related issuance of Shares under U.S. state corporate laws, U.S. federal and state and non-U.S. securites laws, the Code, any stock exchange or quotaton system on which the Common Stock is listed or quoted and the applicable laws of any non-U.S. country or jurisdicton where Awards are, or will be, granted under the Plan.</w:t>
      </w:r>
    </w:p>
    <w:p>
      <w:pPr>
        <w:spacing w:after="0" w:line="258" w:lineRule="exact"/>
        <w:rPr>
          <w:sz w:val="20"/>
          <w:szCs w:val="20"/>
          <w:color w:val="auto"/>
        </w:rPr>
      </w:pPr>
    </w:p>
    <w:p>
      <w:pPr>
        <w:ind w:left="100" w:right="80" w:firstLine="647"/>
        <w:spacing w:after="0" w:line="241" w:lineRule="auto"/>
        <w:rPr>
          <w:sz w:val="20"/>
          <w:szCs w:val="20"/>
          <w:color w:val="auto"/>
        </w:rPr>
      </w:pPr>
      <w:r>
        <w:rPr>
          <w:rFonts w:ascii="Calibri" w:cs="Calibri" w:eastAsia="Calibri" w:hAnsi="Calibri"/>
          <w:sz w:val="21"/>
          <w:szCs w:val="21"/>
          <w:color w:val="auto"/>
        </w:rPr>
        <w:t>2.3 “</w:t>
      </w:r>
      <w:r>
        <w:rPr>
          <w:rFonts w:ascii="Calibri" w:cs="Calibri" w:eastAsia="Calibri" w:hAnsi="Calibri"/>
          <w:sz w:val="21"/>
          <w:szCs w:val="21"/>
          <w:u w:val="single" w:color="auto"/>
          <w:color w:val="auto"/>
        </w:rPr>
        <w:t>Award</w:t>
      </w:r>
      <w:r>
        <w:rPr>
          <w:rFonts w:ascii="Calibri" w:cs="Calibri" w:eastAsia="Calibri" w:hAnsi="Calibri"/>
          <w:sz w:val="21"/>
          <w:szCs w:val="21"/>
          <w:color w:val="auto"/>
        </w:rPr>
        <w:t>” means an Opton, Restricted Stock Units, Restricted Stock, a Stock Appreciaton Right, Dividend Equivalent Rights, an Other Share-Based Award or a Performance- Based Award granted to a Partcipant pursuant to the Plan.</w:t>
      </w:r>
    </w:p>
    <w:p>
      <w:pPr>
        <w:spacing w:after="0" w:line="255" w:lineRule="exact"/>
        <w:rPr>
          <w:sz w:val="20"/>
          <w:szCs w:val="20"/>
          <w:color w:val="auto"/>
        </w:rPr>
      </w:pPr>
    </w:p>
    <w:p>
      <w:pPr>
        <w:ind w:left="100" w:right="280" w:firstLine="647"/>
        <w:spacing w:after="0" w:line="229" w:lineRule="auto"/>
        <w:rPr>
          <w:sz w:val="20"/>
          <w:szCs w:val="20"/>
          <w:color w:val="auto"/>
        </w:rPr>
      </w:pPr>
      <w:r>
        <w:rPr>
          <w:rFonts w:ascii="Calibri" w:cs="Calibri" w:eastAsia="Calibri" w:hAnsi="Calibri"/>
          <w:sz w:val="22"/>
          <w:szCs w:val="22"/>
          <w:color w:val="auto"/>
        </w:rPr>
        <w:t>2.4 “</w:t>
      </w:r>
      <w:r>
        <w:rPr>
          <w:rFonts w:ascii="Calibri" w:cs="Calibri" w:eastAsia="Calibri" w:hAnsi="Calibri"/>
          <w:sz w:val="22"/>
          <w:szCs w:val="22"/>
          <w:u w:val="single" w:color="auto"/>
          <w:color w:val="auto"/>
        </w:rPr>
        <w:t>Award Agreement</w:t>
      </w:r>
      <w:r>
        <w:rPr>
          <w:rFonts w:ascii="Calibri" w:cs="Calibri" w:eastAsia="Calibri" w:hAnsi="Calibri"/>
          <w:sz w:val="22"/>
          <w:szCs w:val="22"/>
          <w:color w:val="auto"/>
        </w:rPr>
        <w:t>” means any writen agreement, contract, or other instrument or document evidencing the terms and conditons of an Award, including through electronic medium.</w:t>
      </w:r>
    </w:p>
    <w:p>
      <w:pPr>
        <w:spacing w:after="0" w:line="244" w:lineRule="exact"/>
        <w:rPr>
          <w:sz w:val="20"/>
          <w:szCs w:val="20"/>
          <w:color w:val="auto"/>
        </w:rPr>
      </w:pPr>
    </w:p>
    <w:p>
      <w:pPr>
        <w:ind w:left="740"/>
        <w:spacing w:after="0"/>
        <w:tabs>
          <w:tab w:leader="none" w:pos="1200" w:val="left"/>
        </w:tabs>
        <w:rPr>
          <w:sz w:val="20"/>
          <w:szCs w:val="20"/>
          <w:color w:val="auto"/>
        </w:rPr>
      </w:pPr>
      <w:r>
        <w:rPr>
          <w:rFonts w:ascii="Calibri" w:cs="Calibri" w:eastAsia="Calibri" w:hAnsi="Calibri"/>
          <w:sz w:val="22"/>
          <w:szCs w:val="22"/>
          <w:color w:val="auto"/>
        </w:rPr>
        <w:t>2.5</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Board</w:t>
      </w:r>
      <w:r>
        <w:rPr>
          <w:rFonts w:ascii="Calibri" w:cs="Calibri" w:eastAsia="Calibri" w:hAnsi="Calibri"/>
          <w:sz w:val="21"/>
          <w:szCs w:val="21"/>
          <w:color w:val="auto"/>
        </w:rPr>
        <w:t>” means the board of directors of the Company.</w:t>
      </w:r>
    </w:p>
    <w:p>
      <w:pPr>
        <w:spacing w:after="0" w:line="271" w:lineRule="exact"/>
        <w:rPr>
          <w:sz w:val="20"/>
          <w:szCs w:val="20"/>
          <w:color w:val="auto"/>
        </w:rPr>
      </w:pPr>
    </w:p>
    <w:p>
      <w:pPr>
        <w:ind w:left="740"/>
        <w:spacing w:after="0"/>
        <w:tabs>
          <w:tab w:leader="none" w:pos="1200" w:val="left"/>
        </w:tabs>
        <w:rPr>
          <w:sz w:val="20"/>
          <w:szCs w:val="20"/>
          <w:color w:val="auto"/>
        </w:rPr>
      </w:pPr>
      <w:r>
        <w:rPr>
          <w:rFonts w:ascii="Calibri" w:cs="Calibri" w:eastAsia="Calibri" w:hAnsi="Calibri"/>
          <w:sz w:val="22"/>
          <w:szCs w:val="22"/>
          <w:color w:val="auto"/>
        </w:rPr>
        <w:t>2.6</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Change in Control</w:t>
      </w:r>
      <w:r>
        <w:rPr>
          <w:rFonts w:ascii="Calibri" w:cs="Calibri" w:eastAsia="Calibri" w:hAnsi="Calibri"/>
          <w:sz w:val="21"/>
          <w:szCs w:val="21"/>
          <w:color w:val="auto"/>
        </w:rPr>
        <w:t>” means and includes each of the following:</w:t>
      </w:r>
    </w:p>
    <w:p>
      <w:pPr>
        <w:spacing w:after="0" w:line="257" w:lineRule="exact"/>
        <w:rPr>
          <w:sz w:val="20"/>
          <w:szCs w:val="20"/>
          <w:color w:val="auto"/>
        </w:rPr>
      </w:pPr>
    </w:p>
    <w:p>
      <w:pPr>
        <w:ind w:left="260" w:right="280" w:firstLine="1133"/>
        <w:spacing w:after="0" w:line="232" w:lineRule="auto"/>
        <w:tabs>
          <w:tab w:leader="none" w:pos="1823" w:val="left"/>
        </w:tabs>
        <w:numPr>
          <w:ilvl w:val="0"/>
          <w:numId w:val="16"/>
        </w:numPr>
        <w:rPr>
          <w:rFonts w:ascii="Calibri" w:cs="Calibri" w:eastAsia="Calibri" w:hAnsi="Calibri"/>
          <w:sz w:val="22"/>
          <w:szCs w:val="22"/>
          <w:color w:val="auto"/>
        </w:rPr>
      </w:pPr>
      <w:r>
        <w:rPr>
          <w:rFonts w:ascii="Calibri" w:cs="Calibri" w:eastAsia="Calibri" w:hAnsi="Calibri"/>
          <w:sz w:val="22"/>
          <w:szCs w:val="22"/>
          <w:color w:val="auto"/>
        </w:rPr>
        <w:t>the acquisiton by any “person,” as that term is used in Sectons 13(d) and 14(d) of the Exchange Act (other than (i) the Company, (ii) any subsidiary of the Company, (iii) any employee beneft plan or employee stock plan of the Company or a subsidiary of the Company or any trustee or fduciary with respect to any such plan when actng in that capacity, or (iv) Lilly Endowment, Inc.) of “benefcial ownership,” as defned in Rule 13d-3</w:t>
      </w:r>
    </w:p>
    <w:p>
      <w:pPr>
        <w:sectPr>
          <w:pgSz w:w="11900" w:h="16838" w:orient="portrait"/>
          <w:cols w:equalWidth="0" w:num="1">
            <w:col w:w="11140"/>
          </w:cols>
          <w:pgMar w:left="320" w:top="591" w:right="439" w:bottom="1440" w:gutter="0" w:footer="0" w:header="0"/>
        </w:sectPr>
      </w:pPr>
    </w:p>
    <w:bookmarkStart w:id="50" w:name="page51"/>
    <w:bookmarkEnd w:id="50"/>
    <w:p>
      <w:pPr>
        <w:ind w:left="160" w:right="80"/>
        <w:spacing w:after="0" w:line="231" w:lineRule="auto"/>
        <w:rPr>
          <w:sz w:val="20"/>
          <w:szCs w:val="20"/>
          <w:color w:val="auto"/>
        </w:rPr>
      </w:pPr>
      <w:r>
        <w:rPr>
          <w:rFonts w:ascii="Calibri" w:cs="Calibri" w:eastAsia="Calibri" w:hAnsi="Calibri"/>
          <w:sz w:val="22"/>
          <w:szCs w:val="22"/>
          <w:color w:val="auto"/>
        </w:rPr>
        <w:t>under the Exchange Act, directly or indirectly, of twenty percent (20%) or more of the shares of the Company’s capital stock the holders of which have general votng power under ordinary circumstances to elect at least a majority of the Board (or which would have such votng power but for the applicaton of the Indiana Control Shares Statute) (“Votng Stock”); provided, however, that an acquisiton of Votng Stock directly from the Company shall not consttute a Change in Control under this Secton 2.6(a);</w:t>
      </w:r>
    </w:p>
    <w:p>
      <w:pPr>
        <w:spacing w:after="0" w:line="260" w:lineRule="exact"/>
        <w:rPr>
          <w:sz w:val="20"/>
          <w:szCs w:val="20"/>
          <w:color w:val="auto"/>
        </w:rPr>
      </w:pPr>
    </w:p>
    <w:p>
      <w:pPr>
        <w:ind w:left="160" w:right="760" w:firstLine="1133"/>
        <w:spacing w:after="0" w:line="229" w:lineRule="auto"/>
        <w:tabs>
          <w:tab w:leader="none" w:pos="1733" w:val="left"/>
        </w:tabs>
        <w:numPr>
          <w:ilvl w:val="0"/>
          <w:numId w:val="17"/>
        </w:numPr>
        <w:rPr>
          <w:rFonts w:ascii="Calibri" w:cs="Calibri" w:eastAsia="Calibri" w:hAnsi="Calibri"/>
          <w:sz w:val="22"/>
          <w:szCs w:val="22"/>
          <w:color w:val="auto"/>
        </w:rPr>
      </w:pPr>
      <w:r>
        <w:rPr>
          <w:rFonts w:ascii="Calibri" w:cs="Calibri" w:eastAsia="Calibri" w:hAnsi="Calibri"/>
          <w:sz w:val="22"/>
          <w:szCs w:val="22"/>
          <w:color w:val="auto"/>
        </w:rPr>
        <w:t>the frst day on which less than one-half of the total membership of the Board shall be Contnuing Directors (as that term is defned in Secton 13(f) of the Company's Artcles of Incorporaton);</w:t>
      </w:r>
    </w:p>
    <w:p>
      <w:pPr>
        <w:spacing w:after="0" w:line="257" w:lineRule="exact"/>
        <w:rPr>
          <w:rFonts w:ascii="Calibri" w:cs="Calibri" w:eastAsia="Calibri" w:hAnsi="Calibri"/>
          <w:sz w:val="22"/>
          <w:szCs w:val="22"/>
          <w:color w:val="auto"/>
        </w:rPr>
      </w:pPr>
    </w:p>
    <w:p>
      <w:pPr>
        <w:ind w:left="160" w:right="40" w:firstLine="1133"/>
        <w:spacing w:after="0"/>
        <w:tabs>
          <w:tab w:leader="none" w:pos="1711" w:val="left"/>
        </w:tabs>
        <w:numPr>
          <w:ilvl w:val="0"/>
          <w:numId w:val="17"/>
        </w:numPr>
        <w:rPr>
          <w:rFonts w:ascii="Calibri" w:cs="Calibri" w:eastAsia="Calibri" w:hAnsi="Calibri"/>
          <w:sz w:val="21"/>
          <w:szCs w:val="21"/>
          <w:color w:val="auto"/>
        </w:rPr>
      </w:pPr>
      <w:r>
        <w:rPr>
          <w:rFonts w:ascii="Calibri" w:cs="Calibri" w:eastAsia="Calibri" w:hAnsi="Calibri"/>
          <w:sz w:val="21"/>
          <w:szCs w:val="21"/>
          <w:color w:val="auto"/>
        </w:rPr>
        <w:t>consummaton of a merger, share exchange, or consolidaton of the Company (a “Transacton”), other than a Transacton which would result in the Votng Stock of the Company outstanding immediately prior thereto contnuing to represent (either by remaining outstanding or by being converted into votng securites of the surviving entty) more than sixty percent (60%) of the Votng Stock of the Company or such surviving entty immediately afer such Transacton;</w:t>
      </w:r>
    </w:p>
    <w:p>
      <w:pPr>
        <w:spacing w:after="0" w:line="257" w:lineRule="exact"/>
        <w:rPr>
          <w:rFonts w:ascii="Calibri" w:cs="Calibri" w:eastAsia="Calibri" w:hAnsi="Calibri"/>
          <w:sz w:val="21"/>
          <w:szCs w:val="21"/>
          <w:color w:val="auto"/>
        </w:rPr>
      </w:pPr>
    </w:p>
    <w:p>
      <w:pPr>
        <w:ind w:left="160" w:right="260" w:firstLine="1133"/>
        <w:spacing w:after="0" w:line="229" w:lineRule="auto"/>
        <w:tabs>
          <w:tab w:leader="none" w:pos="1733" w:val="left"/>
        </w:tabs>
        <w:numPr>
          <w:ilvl w:val="0"/>
          <w:numId w:val="17"/>
        </w:numPr>
        <w:rPr>
          <w:rFonts w:ascii="Calibri" w:cs="Calibri" w:eastAsia="Calibri" w:hAnsi="Calibri"/>
          <w:sz w:val="22"/>
          <w:szCs w:val="22"/>
          <w:color w:val="auto"/>
        </w:rPr>
      </w:pPr>
      <w:r>
        <w:rPr>
          <w:rFonts w:ascii="Calibri" w:cs="Calibri" w:eastAsia="Calibri" w:hAnsi="Calibri"/>
          <w:sz w:val="22"/>
          <w:szCs w:val="22"/>
          <w:color w:val="auto"/>
        </w:rPr>
        <w:t>a complete liquidaton of the Company or a sale or dispositon of all or substantally all the assets of the Company, other than a sale or dispositon of assets to any subsidiary of the Company.</w:t>
      </w:r>
    </w:p>
    <w:p>
      <w:pPr>
        <w:spacing w:after="0" w:line="257" w:lineRule="exact"/>
        <w:rPr>
          <w:sz w:val="20"/>
          <w:szCs w:val="20"/>
          <w:color w:val="auto"/>
        </w:rPr>
      </w:pPr>
    </w:p>
    <w:p>
      <w:pPr>
        <w:ind w:firstLine="647"/>
        <w:spacing w:after="0" w:line="229" w:lineRule="auto"/>
        <w:rPr>
          <w:sz w:val="20"/>
          <w:szCs w:val="20"/>
          <w:color w:val="auto"/>
        </w:rPr>
      </w:pPr>
      <w:r>
        <w:rPr>
          <w:rFonts w:ascii="Calibri" w:cs="Calibri" w:eastAsia="Calibri" w:hAnsi="Calibri"/>
          <w:sz w:val="22"/>
          <w:szCs w:val="22"/>
          <w:color w:val="auto"/>
        </w:rPr>
        <w:t>For purposes of this Secton 2.6(a) only, the term “subsidiary” means a corporaton or limited liability company of which the Company owns directly or indirectly ffy percent (50%) or more of the votng power.</w:t>
      </w:r>
    </w:p>
    <w:p>
      <w:pPr>
        <w:spacing w:after="0" w:line="257" w:lineRule="exact"/>
        <w:rPr>
          <w:sz w:val="20"/>
          <w:szCs w:val="20"/>
          <w:color w:val="auto"/>
        </w:rPr>
      </w:pPr>
    </w:p>
    <w:p>
      <w:pPr>
        <w:ind w:right="160" w:firstLine="647"/>
        <w:spacing w:after="0" w:line="229" w:lineRule="auto"/>
        <w:rPr>
          <w:sz w:val="20"/>
          <w:szCs w:val="20"/>
          <w:color w:val="auto"/>
        </w:rPr>
      </w:pPr>
      <w:r>
        <w:rPr>
          <w:rFonts w:ascii="Calibri" w:cs="Calibri" w:eastAsia="Calibri" w:hAnsi="Calibri"/>
          <w:sz w:val="22"/>
          <w:szCs w:val="22"/>
          <w:color w:val="auto"/>
        </w:rPr>
        <w:t>2.7 “</w:t>
      </w:r>
      <w:r>
        <w:rPr>
          <w:rFonts w:ascii="Calibri" w:cs="Calibri" w:eastAsia="Calibri" w:hAnsi="Calibri"/>
          <w:sz w:val="22"/>
          <w:szCs w:val="22"/>
          <w:u w:val="single" w:color="auto"/>
          <w:color w:val="auto"/>
        </w:rPr>
        <w:t>Code</w:t>
      </w:r>
      <w:r>
        <w:rPr>
          <w:rFonts w:ascii="Calibri" w:cs="Calibri" w:eastAsia="Calibri" w:hAnsi="Calibri"/>
          <w:sz w:val="22"/>
          <w:szCs w:val="22"/>
          <w:color w:val="auto"/>
        </w:rPr>
        <w:t>” means the U.S. Internal Revenue Code of 1986, as amended. All references herein to specifc sectons of the Code shall include any successor provisions of the Code or corresponding sectons of any future U.S. federal tax code.</w:t>
      </w:r>
    </w:p>
    <w:p>
      <w:pPr>
        <w:spacing w:after="0" w:line="246" w:lineRule="exact"/>
        <w:rPr>
          <w:sz w:val="20"/>
          <w:szCs w:val="20"/>
          <w:color w:val="auto"/>
        </w:rPr>
      </w:pPr>
    </w:p>
    <w:p>
      <w:pPr>
        <w:ind w:left="640"/>
        <w:spacing w:after="0"/>
        <w:tabs>
          <w:tab w:leader="none" w:pos="1100" w:val="left"/>
        </w:tabs>
        <w:rPr>
          <w:sz w:val="20"/>
          <w:szCs w:val="20"/>
          <w:color w:val="auto"/>
        </w:rPr>
      </w:pPr>
      <w:r>
        <w:rPr>
          <w:rFonts w:ascii="Calibri" w:cs="Calibri" w:eastAsia="Calibri" w:hAnsi="Calibri"/>
          <w:sz w:val="22"/>
          <w:szCs w:val="22"/>
          <w:color w:val="auto"/>
        </w:rPr>
        <w:t>2.8</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Commitee</w:t>
      </w:r>
      <w:r>
        <w:rPr>
          <w:rFonts w:ascii="Calibri" w:cs="Calibri" w:eastAsia="Calibri" w:hAnsi="Calibri"/>
          <w:sz w:val="21"/>
          <w:szCs w:val="21"/>
          <w:color w:val="auto"/>
        </w:rPr>
        <w:t>” means the commitee of the Board appointed or described in Artcle 3 to administer the Plan.</w:t>
      </w:r>
    </w:p>
    <w:p>
      <w:pPr>
        <w:spacing w:after="0" w:line="241" w:lineRule="exact"/>
        <w:rPr>
          <w:sz w:val="20"/>
          <w:szCs w:val="20"/>
          <w:color w:val="auto"/>
        </w:rPr>
      </w:pPr>
    </w:p>
    <w:p>
      <w:pPr>
        <w:ind w:right="640" w:firstLine="647"/>
        <w:spacing w:after="0" w:line="235" w:lineRule="auto"/>
        <w:rPr>
          <w:sz w:val="20"/>
          <w:szCs w:val="20"/>
          <w:color w:val="auto"/>
        </w:rPr>
      </w:pPr>
      <w:r>
        <w:rPr>
          <w:rFonts w:ascii="Calibri" w:cs="Calibri" w:eastAsia="Calibri" w:hAnsi="Calibri"/>
          <w:sz w:val="22"/>
          <w:szCs w:val="22"/>
          <w:color w:val="auto"/>
        </w:rPr>
        <w:t>2.9 “</w:t>
      </w:r>
      <w:r>
        <w:rPr>
          <w:rFonts w:ascii="Calibri" w:cs="Calibri" w:eastAsia="Calibri" w:hAnsi="Calibri"/>
          <w:sz w:val="22"/>
          <w:szCs w:val="22"/>
          <w:u w:val="single" w:color="auto"/>
          <w:color w:val="auto"/>
        </w:rPr>
        <w:t>Common Stock</w:t>
      </w:r>
      <w:r>
        <w:rPr>
          <w:rFonts w:ascii="Calibri" w:cs="Calibri" w:eastAsia="Calibri" w:hAnsi="Calibri"/>
          <w:sz w:val="22"/>
          <w:szCs w:val="22"/>
          <w:color w:val="auto"/>
        </w:rPr>
        <w:t>” means the common stock of the Company, no par value, and such other securites of the Company that may be substtuted for the Common Stock pursuant to ARTICLE 13.</w:t>
      </w:r>
    </w:p>
    <w:p>
      <w:pPr>
        <w:spacing w:after="0" w:line="231" w:lineRule="exact"/>
        <w:rPr>
          <w:sz w:val="20"/>
          <w:szCs w:val="20"/>
          <w:color w:val="auto"/>
        </w:rPr>
      </w:pPr>
    </w:p>
    <w:p>
      <w:pPr>
        <w:jc w:val="center"/>
        <w:ind w:right="40"/>
        <w:spacing w:after="0"/>
        <w:tabs>
          <w:tab w:leader="none" w:pos="180" w:val="left"/>
        </w:tabs>
        <w:rPr>
          <w:sz w:val="20"/>
          <w:szCs w:val="20"/>
          <w:color w:val="auto"/>
        </w:rPr>
      </w:pPr>
      <w:r>
        <w:rPr>
          <w:rFonts w:ascii="Calibri" w:cs="Calibri" w:eastAsia="Calibri" w:hAnsi="Calibri"/>
          <w:sz w:val="22"/>
          <w:szCs w:val="22"/>
          <w:color w:val="auto"/>
        </w:rPr>
        <w:t>2.10</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Company</w:t>
      </w:r>
      <w:r>
        <w:rPr>
          <w:rFonts w:ascii="Calibri" w:cs="Calibri" w:eastAsia="Calibri" w:hAnsi="Calibri"/>
          <w:sz w:val="21"/>
          <w:szCs w:val="21"/>
          <w:color w:val="auto"/>
        </w:rPr>
        <w:t>” means Eli Lilly and Company, an Indiana corporaton, and any successor corporaton thereto.</w:t>
      </w:r>
    </w:p>
    <w:p>
      <w:pPr>
        <w:spacing w:after="0" w:line="244"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2.11</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Director</w:t>
      </w:r>
      <w:r>
        <w:rPr>
          <w:rFonts w:ascii="Calibri" w:cs="Calibri" w:eastAsia="Calibri" w:hAnsi="Calibri"/>
          <w:sz w:val="21"/>
          <w:szCs w:val="21"/>
          <w:color w:val="auto"/>
        </w:rPr>
        <w:t>” means a member of the Board.</w:t>
      </w:r>
    </w:p>
    <w:p>
      <w:pPr>
        <w:spacing w:after="0" w:line="243" w:lineRule="exact"/>
        <w:rPr>
          <w:sz w:val="20"/>
          <w:szCs w:val="20"/>
          <w:color w:val="auto"/>
        </w:rPr>
      </w:pPr>
    </w:p>
    <w:p>
      <w:pPr>
        <w:ind w:right="340" w:firstLine="647"/>
        <w:spacing w:after="0" w:line="232" w:lineRule="auto"/>
        <w:rPr>
          <w:sz w:val="20"/>
          <w:szCs w:val="20"/>
          <w:color w:val="auto"/>
        </w:rPr>
      </w:pPr>
      <w:r>
        <w:rPr>
          <w:rFonts w:ascii="Calibri" w:cs="Calibri" w:eastAsia="Calibri" w:hAnsi="Calibri"/>
          <w:sz w:val="22"/>
          <w:szCs w:val="22"/>
          <w:color w:val="auto"/>
        </w:rPr>
        <w:t>2.12 “</w:t>
      </w:r>
      <w:r>
        <w:rPr>
          <w:rFonts w:ascii="Calibri" w:cs="Calibri" w:eastAsia="Calibri" w:hAnsi="Calibri"/>
          <w:sz w:val="22"/>
          <w:szCs w:val="22"/>
          <w:u w:val="single" w:color="auto"/>
          <w:color w:val="auto"/>
        </w:rPr>
        <w:t>Disability</w:t>
      </w:r>
      <w:r>
        <w:rPr>
          <w:rFonts w:ascii="Calibri" w:cs="Calibri" w:eastAsia="Calibri" w:hAnsi="Calibri"/>
          <w:sz w:val="22"/>
          <w:szCs w:val="22"/>
          <w:color w:val="auto"/>
        </w:rPr>
        <w:t>” means, unless otherwise provided in an Award Agreement, that the Partcipant would qualify to receive beneft payments under the long-term disability plan or policy, as it may be amended from tme to tme, of the Company or the Afliate to which the Partcipant provides Service regardless of whether the Partcipant is covered by such policy. If the Company or the Afliate to which the Partcipant provides Service does not have a long-term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040"/>
          </w:cols>
          <w:pgMar w:left="420" w:top="1367" w:right="439" w:bottom="1440" w:gutter="0" w:footer="0" w:header="0"/>
        </w:sectPr>
      </w:pPr>
    </w:p>
    <w:bookmarkStart w:id="51" w:name="page52"/>
    <w:bookmarkEnd w:id="51"/>
    <w:p>
      <w:pPr>
        <w:ind w:right="20"/>
        <w:spacing w:after="0" w:line="232" w:lineRule="auto"/>
        <w:rPr>
          <w:sz w:val="20"/>
          <w:szCs w:val="20"/>
          <w:color w:val="auto"/>
        </w:rPr>
      </w:pPr>
      <w:r>
        <w:rPr>
          <w:rFonts w:ascii="Calibri" w:cs="Calibri" w:eastAsia="Calibri" w:hAnsi="Calibri"/>
          <w:sz w:val="22"/>
          <w:szCs w:val="22"/>
          <w:color w:val="auto"/>
        </w:rPr>
        <w:t>disability policy, “Disability” means that a Partcipant is unable to carry out the responsibilites and functons of the positon held by the Partcipant by reason of any medically determined physical or mental impairment for a period of not less than ninety (90) consecutve days. A Partcipant shall not be considered to have incurred a Disability unless he or she furnishes proof of such impairment sufcient to satsfy the Commitee in its discreton. Notwithstanding the foregoing, (a) for purposes of Incentve Stock Optons granted under the Plan, “Disability” means that the Partcipant is disabled within the meaning of Secton 22(e)(3) of the Code, and (b) with respect to an Award that is subject to Secton 409A of the Code where the payment or setlement of the Award will accelerate as a result of the Partcipant’s Disability, solely for purposes of determining the tming of payment, no such event will consttute a Disability for purposes of the Plan or any Award Agreement unless such event also consttutes a “disability” as defned under Secton 409A of the Code.</w:t>
      </w:r>
    </w:p>
    <w:p>
      <w:pPr>
        <w:spacing w:after="0" w:line="242" w:lineRule="exact"/>
        <w:rPr>
          <w:sz w:val="20"/>
          <w:szCs w:val="20"/>
          <w:color w:val="auto"/>
        </w:rPr>
      </w:pPr>
    </w:p>
    <w:p>
      <w:pPr>
        <w:ind w:firstLine="647"/>
        <w:spacing w:after="0" w:line="233" w:lineRule="auto"/>
        <w:rPr>
          <w:sz w:val="20"/>
          <w:szCs w:val="20"/>
          <w:color w:val="auto"/>
        </w:rPr>
      </w:pPr>
      <w:r>
        <w:rPr>
          <w:rFonts w:ascii="Calibri" w:cs="Calibri" w:eastAsia="Calibri" w:hAnsi="Calibri"/>
          <w:sz w:val="22"/>
          <w:szCs w:val="22"/>
          <w:color w:val="auto"/>
        </w:rPr>
        <w:t>2.13 “</w:t>
      </w:r>
      <w:r>
        <w:rPr>
          <w:rFonts w:ascii="Calibri" w:cs="Calibri" w:eastAsia="Calibri" w:hAnsi="Calibri"/>
          <w:sz w:val="22"/>
          <w:szCs w:val="22"/>
          <w:u w:val="single" w:color="auto"/>
          <w:color w:val="auto"/>
        </w:rPr>
        <w:t>Dividend Equivalent Right</w:t>
      </w:r>
      <w:r>
        <w:rPr>
          <w:rFonts w:ascii="Calibri" w:cs="Calibri" w:eastAsia="Calibri" w:hAnsi="Calibri"/>
          <w:sz w:val="22"/>
          <w:szCs w:val="22"/>
          <w:color w:val="auto"/>
        </w:rPr>
        <w:t>” means a right to receive the equivalent value of dividends paid on the Shares with respect to Shares underlying Restricted Stock Units or an Other Share-Based Award that is a Full Value Award prior to vestng of the Award in accordance with the provision of Secton 12.4.</w:t>
      </w:r>
    </w:p>
    <w:p>
      <w:pPr>
        <w:spacing w:after="0" w:line="247"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2.14</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Efectve Date</w:t>
      </w:r>
      <w:r>
        <w:rPr>
          <w:rFonts w:ascii="Calibri" w:cs="Calibri" w:eastAsia="Calibri" w:hAnsi="Calibri"/>
          <w:sz w:val="21"/>
          <w:szCs w:val="21"/>
          <w:color w:val="auto"/>
        </w:rPr>
        <w:t>” means the date that the shareholders approved the amendment and restatement of the Plan.</w:t>
      </w:r>
    </w:p>
    <w:p>
      <w:pPr>
        <w:spacing w:after="0" w:line="242" w:lineRule="exact"/>
        <w:rPr>
          <w:sz w:val="20"/>
          <w:szCs w:val="20"/>
          <w:color w:val="auto"/>
        </w:rPr>
      </w:pPr>
    </w:p>
    <w:p>
      <w:pPr>
        <w:ind w:right="240" w:firstLine="647"/>
        <w:spacing w:after="0" w:line="229" w:lineRule="auto"/>
        <w:rPr>
          <w:sz w:val="20"/>
          <w:szCs w:val="20"/>
          <w:color w:val="auto"/>
        </w:rPr>
      </w:pPr>
      <w:r>
        <w:rPr>
          <w:rFonts w:ascii="Calibri" w:cs="Calibri" w:eastAsia="Calibri" w:hAnsi="Calibri"/>
          <w:sz w:val="22"/>
          <w:szCs w:val="22"/>
          <w:color w:val="auto"/>
        </w:rPr>
        <w:t>2.15 “</w:t>
      </w:r>
      <w:r>
        <w:rPr>
          <w:rFonts w:ascii="Calibri" w:cs="Calibri" w:eastAsia="Calibri" w:hAnsi="Calibri"/>
          <w:sz w:val="22"/>
          <w:szCs w:val="22"/>
          <w:u w:val="single" w:color="auto"/>
          <w:color w:val="auto"/>
        </w:rPr>
        <w:t>Eligible Individual</w:t>
      </w:r>
      <w:r>
        <w:rPr>
          <w:rFonts w:ascii="Calibri" w:cs="Calibri" w:eastAsia="Calibri" w:hAnsi="Calibri"/>
          <w:sz w:val="22"/>
          <w:szCs w:val="22"/>
          <w:color w:val="auto"/>
        </w:rPr>
        <w:t>” means any natural person who is an Employee or a Director determined by the Commitee as eligible to partcipate in the Plan.</w:t>
      </w:r>
    </w:p>
    <w:p>
      <w:pPr>
        <w:spacing w:after="0" w:line="257" w:lineRule="exact"/>
        <w:rPr>
          <w:sz w:val="20"/>
          <w:szCs w:val="20"/>
          <w:color w:val="auto"/>
        </w:rPr>
      </w:pPr>
    </w:p>
    <w:p>
      <w:pPr>
        <w:jc w:val="both"/>
        <w:ind w:right="20" w:firstLine="647"/>
        <w:spacing w:after="0" w:line="232" w:lineRule="auto"/>
        <w:rPr>
          <w:sz w:val="20"/>
          <w:szCs w:val="20"/>
          <w:color w:val="auto"/>
        </w:rPr>
      </w:pPr>
      <w:r>
        <w:rPr>
          <w:rFonts w:ascii="Calibri" w:cs="Calibri" w:eastAsia="Calibri" w:hAnsi="Calibri"/>
          <w:sz w:val="22"/>
          <w:szCs w:val="22"/>
          <w:color w:val="auto"/>
        </w:rPr>
        <w:t>2.16 “</w:t>
      </w:r>
      <w:r>
        <w:rPr>
          <w:rFonts w:ascii="Calibri" w:cs="Calibri" w:eastAsia="Calibri" w:hAnsi="Calibri"/>
          <w:sz w:val="22"/>
          <w:szCs w:val="22"/>
          <w:u w:val="single" w:color="auto"/>
          <w:color w:val="auto"/>
        </w:rPr>
        <w:t>Employee</w:t>
      </w:r>
      <w:r>
        <w:rPr>
          <w:rFonts w:ascii="Calibri" w:cs="Calibri" w:eastAsia="Calibri" w:hAnsi="Calibri"/>
          <w:sz w:val="22"/>
          <w:szCs w:val="22"/>
          <w:color w:val="auto"/>
        </w:rPr>
        <w:t>” means an individual, including an ofcer or Director, who is treated as an employee in the personnel records of the Company or an Afliate and providing Service to the Company or the Afliate. Neither services as a Director nor payment of a director’s fee by the Company or an Afliate shall be sufcient to consttute “employment” by the Company or an Afliate.</w:t>
      </w:r>
    </w:p>
    <w:p>
      <w:pPr>
        <w:spacing w:after="0" w:line="258" w:lineRule="exact"/>
        <w:rPr>
          <w:sz w:val="20"/>
          <w:szCs w:val="20"/>
          <w:color w:val="auto"/>
        </w:rPr>
      </w:pPr>
    </w:p>
    <w:p>
      <w:pPr>
        <w:ind w:right="160" w:firstLine="647"/>
        <w:spacing w:after="0" w:line="229" w:lineRule="auto"/>
        <w:rPr>
          <w:sz w:val="20"/>
          <w:szCs w:val="20"/>
          <w:color w:val="auto"/>
        </w:rPr>
      </w:pPr>
      <w:r>
        <w:rPr>
          <w:rFonts w:ascii="Calibri" w:cs="Calibri" w:eastAsia="Calibri" w:hAnsi="Calibri"/>
          <w:sz w:val="22"/>
          <w:szCs w:val="22"/>
          <w:color w:val="auto"/>
        </w:rPr>
        <w:t>2.17 “</w:t>
      </w:r>
      <w:r>
        <w:rPr>
          <w:rFonts w:ascii="Calibri" w:cs="Calibri" w:eastAsia="Calibri" w:hAnsi="Calibri"/>
          <w:sz w:val="22"/>
          <w:szCs w:val="22"/>
          <w:u w:val="single" w:color="auto"/>
          <w:color w:val="auto"/>
        </w:rPr>
        <w:t>Equity Restructuring</w:t>
      </w:r>
      <w:r>
        <w:rPr>
          <w:rFonts w:ascii="Calibri" w:cs="Calibri" w:eastAsia="Calibri" w:hAnsi="Calibri"/>
          <w:sz w:val="22"/>
          <w:szCs w:val="22"/>
          <w:color w:val="auto"/>
        </w:rPr>
        <w:t>” shall mean a nonreciprocal transacton between the Company and its shareholders, such as a stock dividend, stock split, spin-of, rights ofering or recapitalizaton through a large, nonrecurring cash dividend, that afects the Shares (or other securites of the Company) or the price of Shares (or other securites) and causes a change in the per-share value of the Shares underlying outstanding Awards.</w:t>
      </w:r>
    </w:p>
    <w:p>
      <w:pPr>
        <w:spacing w:after="0" w:line="247"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2.18</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Exchange Act</w:t>
      </w:r>
      <w:r>
        <w:rPr>
          <w:rFonts w:ascii="Calibri" w:cs="Calibri" w:eastAsia="Calibri" w:hAnsi="Calibri"/>
          <w:sz w:val="21"/>
          <w:szCs w:val="21"/>
          <w:color w:val="auto"/>
        </w:rPr>
        <w:t>” means the U.S. Securites Exchange Act of 1934, as amended.</w:t>
      </w:r>
    </w:p>
    <w:p>
      <w:pPr>
        <w:spacing w:after="0" w:line="282" w:lineRule="exact"/>
        <w:rPr>
          <w:sz w:val="20"/>
          <w:szCs w:val="20"/>
          <w:color w:val="auto"/>
        </w:rPr>
      </w:pPr>
    </w:p>
    <w:p>
      <w:pPr>
        <w:ind w:right="120" w:firstLine="647"/>
        <w:spacing w:after="0" w:line="242" w:lineRule="auto"/>
        <w:rPr>
          <w:sz w:val="20"/>
          <w:szCs w:val="20"/>
          <w:color w:val="auto"/>
        </w:rPr>
      </w:pPr>
      <w:r>
        <w:rPr>
          <w:rFonts w:ascii="Calibri" w:cs="Calibri" w:eastAsia="Calibri" w:hAnsi="Calibri"/>
          <w:sz w:val="21"/>
          <w:szCs w:val="21"/>
          <w:color w:val="auto"/>
        </w:rPr>
        <w:t>2.19 “</w:t>
      </w:r>
      <w:r>
        <w:rPr>
          <w:rFonts w:ascii="Calibri" w:cs="Calibri" w:eastAsia="Calibri" w:hAnsi="Calibri"/>
          <w:sz w:val="21"/>
          <w:szCs w:val="21"/>
          <w:u w:val="single" w:color="auto"/>
          <w:color w:val="auto"/>
        </w:rPr>
        <w:t>Fair Market Value</w:t>
      </w:r>
      <w:r>
        <w:rPr>
          <w:rFonts w:ascii="Calibri" w:cs="Calibri" w:eastAsia="Calibri" w:hAnsi="Calibri"/>
          <w:sz w:val="21"/>
          <w:szCs w:val="21"/>
          <w:color w:val="auto"/>
        </w:rPr>
        <w:t xml:space="preserve">” means, as of any given date, (a) if Shares are traded on any established stock exchange, the closing price of a Share as quoted on the principal exchange on which the Shares are listed, as reported in </w:t>
      </w:r>
      <w:r>
        <w:rPr>
          <w:rFonts w:ascii="Calibri" w:cs="Calibri" w:eastAsia="Calibri" w:hAnsi="Calibri"/>
          <w:sz w:val="21"/>
          <w:szCs w:val="21"/>
          <w:i w:val="1"/>
          <w:iCs w:val="1"/>
          <w:color w:val="auto"/>
        </w:rPr>
        <w:t>The Wall Street</w:t>
      </w:r>
      <w:r>
        <w:rPr>
          <w:rFonts w:ascii="Calibri" w:cs="Calibri" w:eastAsia="Calibri" w:hAnsi="Calibri"/>
          <w:sz w:val="21"/>
          <w:szCs w:val="21"/>
          <w:color w:val="auto"/>
        </w:rPr>
        <w:t xml:space="preserve"> </w:t>
      </w:r>
      <w:r>
        <w:rPr>
          <w:rFonts w:ascii="Calibri" w:cs="Calibri" w:eastAsia="Calibri" w:hAnsi="Calibri"/>
          <w:sz w:val="21"/>
          <w:szCs w:val="21"/>
          <w:i w:val="1"/>
          <w:iCs w:val="1"/>
          <w:color w:val="auto"/>
        </w:rPr>
        <w:t xml:space="preserve">Journal </w:t>
      </w:r>
      <w:r>
        <w:rPr>
          <w:rFonts w:ascii="Calibri" w:cs="Calibri" w:eastAsia="Calibri" w:hAnsi="Calibri"/>
          <w:sz w:val="21"/>
          <w:szCs w:val="21"/>
          <w:color w:val="auto"/>
        </w:rPr>
        <w:t>(or such other source as the Company may deem reliable for such purposes) for such date, or if no sale occurred on</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such date, the frst trading date immediately prior to such date during which a sale occurred; or (b) if Shares are not traded on an exchange but are regularly quoted on a natonal market or other quotaton system, the closing sales price on such date as quoted on such market or system, or if no sales occurred on such date, then on the date immediately prior to such date on which sales prices are reported; or (c) in the absence of an established market for the Shares of the type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140"/>
          </w:cols>
          <w:pgMar w:left="420" w:top="1367" w:right="339" w:bottom="1440" w:gutter="0" w:footer="0" w:header="0"/>
        </w:sectPr>
      </w:pPr>
    </w:p>
    <w:bookmarkStart w:id="52" w:name="page53"/>
    <w:bookmarkEnd w:id="52"/>
    <w:p>
      <w:pPr>
        <w:ind w:right="440"/>
        <w:spacing w:after="0" w:line="229" w:lineRule="auto"/>
        <w:rPr>
          <w:sz w:val="20"/>
          <w:szCs w:val="20"/>
          <w:color w:val="auto"/>
        </w:rPr>
      </w:pPr>
      <w:r>
        <w:rPr>
          <w:rFonts w:ascii="Calibri" w:cs="Calibri" w:eastAsia="Calibri" w:hAnsi="Calibri"/>
          <w:sz w:val="22"/>
          <w:szCs w:val="22"/>
          <w:color w:val="auto"/>
        </w:rPr>
        <w:t>described in (a) or (b) of this Secton 2.19, the fair market value established by the Commitee actng in good faith, under a reasonable methodology and reasonable applicaton in compliance with Secton 409A of the Code to the extent such determinaton is necessary for Awards under the Plan to comply with, or be exempt from, Secton 409A of the Code.</w:t>
      </w:r>
    </w:p>
    <w:p>
      <w:pPr>
        <w:spacing w:after="0" w:line="257" w:lineRule="exact"/>
        <w:rPr>
          <w:sz w:val="20"/>
          <w:szCs w:val="20"/>
          <w:color w:val="auto"/>
        </w:rPr>
      </w:pPr>
    </w:p>
    <w:p>
      <w:pPr>
        <w:jc w:val="both"/>
        <w:ind w:right="100"/>
        <w:spacing w:after="0" w:line="229" w:lineRule="auto"/>
        <w:rPr>
          <w:sz w:val="20"/>
          <w:szCs w:val="20"/>
          <w:color w:val="auto"/>
        </w:rPr>
      </w:pPr>
      <w:r>
        <w:rPr>
          <w:rFonts w:ascii="Calibri" w:cs="Calibri" w:eastAsia="Calibri" w:hAnsi="Calibri"/>
          <w:sz w:val="22"/>
          <w:szCs w:val="22"/>
          <w:color w:val="auto"/>
        </w:rPr>
        <w:t>Notwithstanding the foregoing, for income tax reportng purposes under U.S. federal, state, local or non-US law and for such other purposes as the Commitee deems appropriate, including, without limitaton, where Fair Market Value is used in reference to exercise, vestng, setlement or payout of an Award, the Fair Market Value shall be determined by the Company in accordance with uniform and nondiscriminatory standards adopted by it from tme to tme.</w:t>
      </w:r>
    </w:p>
    <w:p>
      <w:pPr>
        <w:spacing w:after="0" w:line="258" w:lineRule="exact"/>
        <w:rPr>
          <w:sz w:val="20"/>
          <w:szCs w:val="20"/>
          <w:color w:val="auto"/>
        </w:rPr>
      </w:pPr>
    </w:p>
    <w:p>
      <w:pPr>
        <w:ind w:right="220" w:firstLine="647"/>
        <w:spacing w:after="0" w:line="233" w:lineRule="auto"/>
        <w:rPr>
          <w:sz w:val="20"/>
          <w:szCs w:val="20"/>
          <w:color w:val="auto"/>
        </w:rPr>
      </w:pPr>
      <w:r>
        <w:rPr>
          <w:rFonts w:ascii="Calibri" w:cs="Calibri" w:eastAsia="Calibri" w:hAnsi="Calibri"/>
          <w:sz w:val="22"/>
          <w:szCs w:val="22"/>
          <w:color w:val="auto"/>
        </w:rPr>
        <w:t>2.20 “</w:t>
      </w:r>
      <w:r>
        <w:rPr>
          <w:rFonts w:ascii="Calibri" w:cs="Calibri" w:eastAsia="Calibri" w:hAnsi="Calibri"/>
          <w:sz w:val="22"/>
          <w:szCs w:val="22"/>
          <w:u w:val="single" w:color="auto"/>
          <w:color w:val="auto"/>
        </w:rPr>
        <w:t>Fractonal Share</w:t>
      </w:r>
      <w:r>
        <w:rPr>
          <w:rFonts w:ascii="Calibri" w:cs="Calibri" w:eastAsia="Calibri" w:hAnsi="Calibri"/>
          <w:sz w:val="22"/>
          <w:szCs w:val="22"/>
          <w:color w:val="auto"/>
        </w:rPr>
        <w:t>” means a notonal interest in a Share providing for such rights with respect to a Share as shall be specifed by the Commitee at the tme of grant of an Award under which Fractonal Shares may be issued (in additon to whole Shares) or the grant of an Award to receive a Fractonal Share.</w:t>
      </w:r>
    </w:p>
    <w:p>
      <w:pPr>
        <w:spacing w:after="0" w:line="244" w:lineRule="exact"/>
        <w:rPr>
          <w:sz w:val="20"/>
          <w:szCs w:val="20"/>
          <w:color w:val="auto"/>
        </w:rPr>
      </w:pPr>
    </w:p>
    <w:p>
      <w:pPr>
        <w:ind w:right="300" w:firstLine="647"/>
        <w:spacing w:after="0" w:line="229" w:lineRule="auto"/>
        <w:rPr>
          <w:sz w:val="20"/>
          <w:szCs w:val="20"/>
          <w:color w:val="auto"/>
        </w:rPr>
      </w:pPr>
      <w:r>
        <w:rPr>
          <w:rFonts w:ascii="Calibri" w:cs="Calibri" w:eastAsia="Calibri" w:hAnsi="Calibri"/>
          <w:sz w:val="22"/>
          <w:szCs w:val="22"/>
          <w:color w:val="auto"/>
        </w:rPr>
        <w:t>2.21 “</w:t>
      </w:r>
      <w:r>
        <w:rPr>
          <w:rFonts w:ascii="Calibri" w:cs="Calibri" w:eastAsia="Calibri" w:hAnsi="Calibri"/>
          <w:sz w:val="22"/>
          <w:szCs w:val="22"/>
          <w:u w:val="single" w:color="auto"/>
          <w:color w:val="auto"/>
        </w:rPr>
        <w:t>Full Value Award</w:t>
      </w:r>
      <w:r>
        <w:rPr>
          <w:rFonts w:ascii="Calibri" w:cs="Calibri" w:eastAsia="Calibri" w:hAnsi="Calibri"/>
          <w:sz w:val="22"/>
          <w:szCs w:val="22"/>
          <w:color w:val="auto"/>
        </w:rPr>
        <w:t>” means any Award other than an (i) Opton, (ii) Stock Appreciaton Right or (iii) other Award for which the Partcipant pays (or the value or amount payable under the Award is reduced by) an amount equal to or exceeding the Fair Market Value of the Shares, determined as of the date of grant.</w:t>
      </w:r>
    </w:p>
    <w:p>
      <w:pPr>
        <w:spacing w:after="0" w:line="247" w:lineRule="exact"/>
        <w:rPr>
          <w:sz w:val="20"/>
          <w:szCs w:val="20"/>
          <w:color w:val="auto"/>
        </w:rPr>
      </w:pPr>
    </w:p>
    <w:p>
      <w:pPr>
        <w:jc w:val="center"/>
        <w:ind w:right="-39"/>
        <w:spacing w:after="0"/>
        <w:tabs>
          <w:tab w:leader="none" w:pos="180" w:val="left"/>
        </w:tabs>
        <w:rPr>
          <w:sz w:val="20"/>
          <w:szCs w:val="20"/>
          <w:color w:val="auto"/>
        </w:rPr>
      </w:pPr>
      <w:r>
        <w:rPr>
          <w:rFonts w:ascii="Calibri" w:cs="Calibri" w:eastAsia="Calibri" w:hAnsi="Calibri"/>
          <w:sz w:val="22"/>
          <w:szCs w:val="22"/>
          <w:color w:val="auto"/>
        </w:rPr>
        <w:t>2.22</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Incentve Stock Opton</w:t>
      </w:r>
      <w:r>
        <w:rPr>
          <w:rFonts w:ascii="Calibri" w:cs="Calibri" w:eastAsia="Calibri" w:hAnsi="Calibri"/>
          <w:sz w:val="21"/>
          <w:szCs w:val="21"/>
          <w:color w:val="auto"/>
        </w:rPr>
        <w:t>” means an Opton that is intended to meet the requirements of Secton 422 of the</w:t>
      </w:r>
    </w:p>
    <w:p>
      <w:pPr>
        <w:spacing w:after="0" w:line="229" w:lineRule="auto"/>
        <w:rPr>
          <w:sz w:val="20"/>
          <w:szCs w:val="20"/>
          <w:color w:val="auto"/>
        </w:rPr>
      </w:pPr>
      <w:r>
        <w:rPr>
          <w:rFonts w:ascii="Calibri" w:cs="Calibri" w:eastAsia="Calibri" w:hAnsi="Calibri"/>
          <w:sz w:val="22"/>
          <w:szCs w:val="22"/>
          <w:color w:val="auto"/>
        </w:rPr>
        <w:t>Code.</w:t>
      </w:r>
    </w:p>
    <w:p>
      <w:pPr>
        <w:spacing w:after="0" w:line="243"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2.23</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Non-Employee Director</w:t>
      </w:r>
      <w:r>
        <w:rPr>
          <w:rFonts w:ascii="Calibri" w:cs="Calibri" w:eastAsia="Calibri" w:hAnsi="Calibri"/>
          <w:sz w:val="21"/>
          <w:szCs w:val="21"/>
          <w:color w:val="auto"/>
        </w:rPr>
        <w:t>” means a Director of the Company who is not an Employee.</w:t>
      </w:r>
    </w:p>
    <w:p>
      <w:pPr>
        <w:spacing w:after="0" w:line="233"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2.24</w:t>
        <w:tab/>
        <w:t>“</w:t>
      </w:r>
      <w:r>
        <w:rPr>
          <w:rFonts w:ascii="Calibri" w:cs="Calibri" w:eastAsia="Calibri" w:hAnsi="Calibri"/>
          <w:sz w:val="22"/>
          <w:szCs w:val="22"/>
          <w:u w:val="single" w:color="auto"/>
          <w:color w:val="auto"/>
        </w:rPr>
        <w:t>Non-Qualifed Stock Opton</w:t>
      </w:r>
      <w:r>
        <w:rPr>
          <w:rFonts w:ascii="Calibri" w:cs="Calibri" w:eastAsia="Calibri" w:hAnsi="Calibri"/>
          <w:sz w:val="22"/>
          <w:szCs w:val="22"/>
          <w:color w:val="auto"/>
        </w:rPr>
        <w:t>” means an Opton that is not intended to be an Incentve Stock Opton.</w:t>
      </w:r>
    </w:p>
    <w:p>
      <w:pPr>
        <w:spacing w:after="0" w:line="255" w:lineRule="exact"/>
        <w:rPr>
          <w:sz w:val="20"/>
          <w:szCs w:val="20"/>
          <w:color w:val="auto"/>
        </w:rPr>
      </w:pPr>
    </w:p>
    <w:p>
      <w:pPr>
        <w:ind w:right="160" w:firstLine="647"/>
        <w:spacing w:after="0" w:line="233" w:lineRule="auto"/>
        <w:rPr>
          <w:sz w:val="20"/>
          <w:szCs w:val="20"/>
          <w:color w:val="auto"/>
        </w:rPr>
      </w:pPr>
      <w:r>
        <w:rPr>
          <w:rFonts w:ascii="Calibri" w:cs="Calibri" w:eastAsia="Calibri" w:hAnsi="Calibri"/>
          <w:sz w:val="22"/>
          <w:szCs w:val="22"/>
          <w:color w:val="auto"/>
        </w:rPr>
        <w:t>2.25 “</w:t>
      </w:r>
      <w:r>
        <w:rPr>
          <w:rFonts w:ascii="Calibri" w:cs="Calibri" w:eastAsia="Calibri" w:hAnsi="Calibri"/>
          <w:sz w:val="22"/>
          <w:szCs w:val="22"/>
          <w:u w:val="single" w:color="auto"/>
          <w:color w:val="auto"/>
        </w:rPr>
        <w:t>Opton</w:t>
      </w:r>
      <w:r>
        <w:rPr>
          <w:rFonts w:ascii="Calibri" w:cs="Calibri" w:eastAsia="Calibri" w:hAnsi="Calibri"/>
          <w:sz w:val="22"/>
          <w:szCs w:val="22"/>
          <w:color w:val="auto"/>
        </w:rPr>
        <w:t>” means a right granted to a Partcipant pursuant to Artcle 6 to purchase a specifed number of Shares at a specifed price during specifed tme periods. An Opton may be either an Incentve Stock Opton or a Non-Qualifed Stock Opton.</w:t>
      </w:r>
    </w:p>
    <w:p>
      <w:pPr>
        <w:spacing w:after="0" w:line="231"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2.26</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Other Share-Based Award</w:t>
      </w:r>
      <w:r>
        <w:rPr>
          <w:rFonts w:ascii="Calibri" w:cs="Calibri" w:eastAsia="Calibri" w:hAnsi="Calibri"/>
          <w:sz w:val="21"/>
          <w:szCs w:val="21"/>
          <w:color w:val="auto"/>
        </w:rPr>
        <w:t>” shall mean an Award granted pursuant to Artcle 10.</w:t>
      </w:r>
    </w:p>
    <w:p>
      <w:pPr>
        <w:spacing w:after="0" w:line="297" w:lineRule="exact"/>
        <w:rPr>
          <w:sz w:val="20"/>
          <w:szCs w:val="20"/>
          <w:color w:val="auto"/>
        </w:rPr>
      </w:pPr>
    </w:p>
    <w:p>
      <w:pPr>
        <w:ind w:firstLine="647"/>
        <w:spacing w:after="0" w:line="231" w:lineRule="auto"/>
        <w:rPr>
          <w:sz w:val="20"/>
          <w:szCs w:val="20"/>
          <w:color w:val="auto"/>
        </w:rPr>
      </w:pPr>
      <w:r>
        <w:rPr>
          <w:rFonts w:ascii="Calibri" w:cs="Calibri" w:eastAsia="Calibri" w:hAnsi="Calibri"/>
          <w:sz w:val="22"/>
          <w:szCs w:val="22"/>
          <w:color w:val="auto"/>
        </w:rPr>
        <w:t>2.27 “</w:t>
      </w:r>
      <w:r>
        <w:rPr>
          <w:rFonts w:ascii="Calibri" w:cs="Calibri" w:eastAsia="Calibri" w:hAnsi="Calibri"/>
          <w:sz w:val="22"/>
          <w:szCs w:val="22"/>
          <w:u w:val="single" w:color="auto"/>
          <w:color w:val="auto"/>
        </w:rPr>
        <w:t>Outstanding Qualifed Performance-Based Awards</w:t>
      </w:r>
      <w:r>
        <w:rPr>
          <w:rFonts w:ascii="Calibri" w:cs="Calibri" w:eastAsia="Calibri" w:hAnsi="Calibri"/>
          <w:sz w:val="22"/>
          <w:szCs w:val="22"/>
          <w:color w:val="auto"/>
        </w:rPr>
        <w:t>” shall mean any Awards granted prior to November 3, 2017 and that are outstanding as of the Efectve Date and that are intended to consttute “qualifed performance-based compensaton” as described in Secton 162(m)(4)(C) of the Code. For the avoidance of any doubt, all provisions of the Plan governing Outstanding Qualifed Performance Awards that were in efect prior to the Efectve Date shall contnue in efect with respect to Outstanding Qualifed Performance-Based Awards, notwithstanding the eliminaton of such provisions from the Plan as of the Efectve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140"/>
          </w:cols>
          <w:pgMar w:left="420" w:top="1407" w:right="339" w:bottom="1440" w:gutter="0" w:footer="0" w:header="0"/>
        </w:sectPr>
      </w:pPr>
    </w:p>
    <w:bookmarkStart w:id="53" w:name="page54"/>
    <w:bookmarkEnd w:id="53"/>
    <w:p>
      <w:pPr>
        <w:spacing w:after="0" w:line="184" w:lineRule="exact"/>
        <w:rPr>
          <w:sz w:val="20"/>
          <w:szCs w:val="20"/>
          <w:color w:val="auto"/>
        </w:rPr>
      </w:pPr>
    </w:p>
    <w:p>
      <w:pPr>
        <w:ind w:firstLine="647"/>
        <w:spacing w:after="0" w:line="229" w:lineRule="auto"/>
        <w:rPr>
          <w:sz w:val="20"/>
          <w:szCs w:val="20"/>
          <w:color w:val="auto"/>
        </w:rPr>
      </w:pPr>
      <w:r>
        <w:rPr>
          <w:rFonts w:ascii="Calibri" w:cs="Calibri" w:eastAsia="Calibri" w:hAnsi="Calibri"/>
          <w:sz w:val="22"/>
          <w:szCs w:val="22"/>
          <w:color w:val="auto"/>
        </w:rPr>
        <w:t>2.28 “</w:t>
      </w:r>
      <w:r>
        <w:rPr>
          <w:rFonts w:ascii="Calibri" w:cs="Calibri" w:eastAsia="Calibri" w:hAnsi="Calibri"/>
          <w:sz w:val="22"/>
          <w:szCs w:val="22"/>
          <w:u w:val="single" w:color="auto"/>
          <w:color w:val="auto"/>
        </w:rPr>
        <w:t>Partcipant</w:t>
      </w:r>
      <w:r>
        <w:rPr>
          <w:rFonts w:ascii="Calibri" w:cs="Calibri" w:eastAsia="Calibri" w:hAnsi="Calibri"/>
          <w:sz w:val="22"/>
          <w:szCs w:val="22"/>
          <w:color w:val="auto"/>
        </w:rPr>
        <w:t>” means any Eligible Individual who, as an Employee or Director, has been granted an Award pursuant to the Plan.</w:t>
      </w:r>
    </w:p>
    <w:p>
      <w:pPr>
        <w:spacing w:after="0" w:line="284" w:lineRule="exact"/>
        <w:rPr>
          <w:sz w:val="20"/>
          <w:szCs w:val="20"/>
          <w:color w:val="auto"/>
        </w:rPr>
      </w:pPr>
    </w:p>
    <w:p>
      <w:pPr>
        <w:ind w:right="360" w:firstLine="647"/>
        <w:spacing w:after="0" w:line="229" w:lineRule="auto"/>
        <w:rPr>
          <w:sz w:val="20"/>
          <w:szCs w:val="20"/>
          <w:color w:val="auto"/>
        </w:rPr>
      </w:pPr>
      <w:r>
        <w:rPr>
          <w:rFonts w:ascii="Calibri" w:cs="Calibri" w:eastAsia="Calibri" w:hAnsi="Calibri"/>
          <w:sz w:val="22"/>
          <w:szCs w:val="22"/>
          <w:color w:val="auto"/>
        </w:rPr>
        <w:t>2.29 “</w:t>
      </w:r>
      <w:r>
        <w:rPr>
          <w:rFonts w:ascii="Calibri" w:cs="Calibri" w:eastAsia="Calibri" w:hAnsi="Calibri"/>
          <w:sz w:val="22"/>
          <w:szCs w:val="22"/>
          <w:u w:val="single" w:color="auto"/>
          <w:color w:val="auto"/>
        </w:rPr>
        <w:t>Performance-Based Award</w:t>
      </w:r>
      <w:r>
        <w:rPr>
          <w:rFonts w:ascii="Calibri" w:cs="Calibri" w:eastAsia="Calibri" w:hAnsi="Calibri"/>
          <w:sz w:val="22"/>
          <w:szCs w:val="22"/>
          <w:color w:val="auto"/>
        </w:rPr>
        <w:t>” means an Award that are subject, in whole or in part, to Performance Goals and are granted pursuant to Artcle 10.</w:t>
      </w:r>
    </w:p>
    <w:p>
      <w:pPr>
        <w:spacing w:after="0" w:line="257" w:lineRule="exact"/>
        <w:rPr>
          <w:sz w:val="20"/>
          <w:szCs w:val="20"/>
          <w:color w:val="auto"/>
        </w:rPr>
      </w:pPr>
    </w:p>
    <w:p>
      <w:pPr>
        <w:ind w:right="40" w:firstLine="647"/>
        <w:spacing w:after="0" w:line="230" w:lineRule="auto"/>
        <w:rPr>
          <w:sz w:val="20"/>
          <w:szCs w:val="20"/>
          <w:color w:val="auto"/>
        </w:rPr>
      </w:pPr>
      <w:r>
        <w:rPr>
          <w:rFonts w:ascii="Calibri" w:cs="Calibri" w:eastAsia="Calibri" w:hAnsi="Calibri"/>
          <w:sz w:val="22"/>
          <w:szCs w:val="22"/>
          <w:color w:val="auto"/>
        </w:rPr>
        <w:t>2.30 “</w:t>
      </w:r>
      <w:r>
        <w:rPr>
          <w:rFonts w:ascii="Calibri" w:cs="Calibri" w:eastAsia="Calibri" w:hAnsi="Calibri"/>
          <w:sz w:val="22"/>
          <w:szCs w:val="22"/>
          <w:u w:val="single" w:color="auto"/>
          <w:color w:val="auto"/>
        </w:rPr>
        <w:t>Performance Criteria</w:t>
      </w:r>
      <w:r>
        <w:rPr>
          <w:rFonts w:ascii="Calibri" w:cs="Calibri" w:eastAsia="Calibri" w:hAnsi="Calibri"/>
          <w:sz w:val="22"/>
          <w:szCs w:val="22"/>
          <w:color w:val="auto"/>
        </w:rPr>
        <w:t>” means the criteria that the Commitee selects for purposes of establishing the Performance Goal or Performance Goals for a Partcipant for a Performance Period. The Performance Criteria that will be used to establish Performance Goals include, but are not limited to, the following: cash fow (including, without limitaton, operatng cash fow and free cash fow), earnings per share, gross or net proft margin, net income (either before or afer interest, taxes, amortzaton, and/or depreciaton), operatng income (either before or afer restructuring and amortzaton charges), return on capital or return on invested capital, return on equity, return on operatng assets or net assets, return on sales, sales or revenue, stock price goals, total shareholder return. The Commitee shall defne objectvely the manner of calculatng the Performance Criteria it selects to use for such Performance Period for such Partcipant.</w:t>
      </w:r>
    </w:p>
    <w:p>
      <w:pPr>
        <w:spacing w:after="0" w:line="263" w:lineRule="exact"/>
        <w:rPr>
          <w:sz w:val="20"/>
          <w:szCs w:val="20"/>
          <w:color w:val="auto"/>
        </w:rPr>
      </w:pPr>
    </w:p>
    <w:p>
      <w:pPr>
        <w:ind w:right="120" w:firstLine="647"/>
        <w:spacing w:after="0" w:line="229" w:lineRule="auto"/>
        <w:rPr>
          <w:sz w:val="20"/>
          <w:szCs w:val="20"/>
          <w:color w:val="auto"/>
        </w:rPr>
      </w:pPr>
      <w:r>
        <w:rPr>
          <w:rFonts w:ascii="Calibri" w:cs="Calibri" w:eastAsia="Calibri" w:hAnsi="Calibri"/>
          <w:sz w:val="22"/>
          <w:szCs w:val="22"/>
          <w:color w:val="auto"/>
        </w:rPr>
        <w:t>2.31 “</w:t>
      </w:r>
      <w:r>
        <w:rPr>
          <w:rFonts w:ascii="Calibri" w:cs="Calibri" w:eastAsia="Calibri" w:hAnsi="Calibri"/>
          <w:sz w:val="22"/>
          <w:szCs w:val="22"/>
          <w:u w:val="single" w:color="auto"/>
          <w:color w:val="auto"/>
        </w:rPr>
        <w:t>Performance Goals</w:t>
      </w:r>
      <w:r>
        <w:rPr>
          <w:rFonts w:ascii="Calibri" w:cs="Calibri" w:eastAsia="Calibri" w:hAnsi="Calibri"/>
          <w:sz w:val="22"/>
          <w:szCs w:val="22"/>
          <w:color w:val="auto"/>
        </w:rPr>
        <w:t>” means, for a Performance Period, the goals established in writng by the Commitee for the Performance Period based upon the Performance Criteria that the Commitee, in its sole discreton, selects. The Commitee, in its sole discreton, may provide that one or more objectvely determinable adjustments shall be made to one or more of the Performance Goals.</w:t>
      </w:r>
    </w:p>
    <w:p>
      <w:pPr>
        <w:spacing w:after="0" w:line="258" w:lineRule="exact"/>
        <w:rPr>
          <w:sz w:val="20"/>
          <w:szCs w:val="20"/>
          <w:color w:val="auto"/>
        </w:rPr>
      </w:pPr>
    </w:p>
    <w:p>
      <w:pPr>
        <w:ind w:right="320" w:firstLine="647"/>
        <w:spacing w:after="0" w:line="229" w:lineRule="auto"/>
        <w:rPr>
          <w:sz w:val="20"/>
          <w:szCs w:val="20"/>
          <w:color w:val="auto"/>
        </w:rPr>
      </w:pPr>
      <w:r>
        <w:rPr>
          <w:rFonts w:ascii="Calibri" w:cs="Calibri" w:eastAsia="Calibri" w:hAnsi="Calibri"/>
          <w:sz w:val="22"/>
          <w:szCs w:val="22"/>
          <w:color w:val="auto"/>
        </w:rPr>
        <w:t>2.32 “</w:t>
      </w:r>
      <w:r>
        <w:rPr>
          <w:rFonts w:ascii="Calibri" w:cs="Calibri" w:eastAsia="Calibri" w:hAnsi="Calibri"/>
          <w:sz w:val="22"/>
          <w:szCs w:val="22"/>
          <w:u w:val="single" w:color="auto"/>
          <w:color w:val="auto"/>
        </w:rPr>
        <w:t>Performance Period</w:t>
      </w:r>
      <w:r>
        <w:rPr>
          <w:rFonts w:ascii="Calibri" w:cs="Calibri" w:eastAsia="Calibri" w:hAnsi="Calibri"/>
          <w:sz w:val="22"/>
          <w:szCs w:val="22"/>
          <w:color w:val="auto"/>
        </w:rPr>
        <w:t>” means the one or more periods of tme, which may be of varying and overlapping duratons, as the Commitee may select, over which the atainment of one or more Performance Goals will be measured for the purpose of determining a Partcipant’s right to, and the payment of, a Performance-Based Award, provided that the duraton of any Performance Period shall not be less than twelve (12) months.</w:t>
      </w:r>
    </w:p>
    <w:p>
      <w:pPr>
        <w:spacing w:after="0" w:line="247"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2.33</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Plan</w:t>
      </w:r>
      <w:r>
        <w:rPr>
          <w:rFonts w:ascii="Calibri" w:cs="Calibri" w:eastAsia="Calibri" w:hAnsi="Calibri"/>
          <w:sz w:val="21"/>
          <w:szCs w:val="21"/>
          <w:color w:val="auto"/>
        </w:rPr>
        <w:t>” means this Amended and Restated 2002 Lilly Stock Plan, as it may be amended from tme to tme.</w:t>
      </w:r>
    </w:p>
    <w:p>
      <w:pPr>
        <w:spacing w:after="0" w:line="244"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2.34</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Prior Plans</w:t>
      </w:r>
      <w:r>
        <w:rPr>
          <w:rFonts w:ascii="Calibri" w:cs="Calibri" w:eastAsia="Calibri" w:hAnsi="Calibri"/>
          <w:sz w:val="21"/>
          <w:szCs w:val="21"/>
          <w:color w:val="auto"/>
        </w:rPr>
        <w:t>” means the 1989, 1994 and 1998 Lilly Stock Plans, as amended from tme to tme.</w:t>
      </w:r>
    </w:p>
    <w:p>
      <w:pPr>
        <w:spacing w:after="0" w:line="255" w:lineRule="exact"/>
        <w:rPr>
          <w:sz w:val="20"/>
          <w:szCs w:val="20"/>
          <w:color w:val="auto"/>
        </w:rPr>
      </w:pPr>
    </w:p>
    <w:p>
      <w:pPr>
        <w:ind w:right="720" w:firstLine="647"/>
        <w:spacing w:after="0" w:line="229" w:lineRule="auto"/>
        <w:rPr>
          <w:sz w:val="20"/>
          <w:szCs w:val="20"/>
          <w:color w:val="auto"/>
        </w:rPr>
      </w:pPr>
      <w:r>
        <w:rPr>
          <w:rFonts w:ascii="Calibri" w:cs="Calibri" w:eastAsia="Calibri" w:hAnsi="Calibri"/>
          <w:sz w:val="22"/>
          <w:szCs w:val="22"/>
          <w:color w:val="auto"/>
        </w:rPr>
        <w:t>2.35 “</w:t>
      </w:r>
      <w:r>
        <w:rPr>
          <w:rFonts w:ascii="Calibri" w:cs="Calibri" w:eastAsia="Calibri" w:hAnsi="Calibri"/>
          <w:sz w:val="22"/>
          <w:szCs w:val="22"/>
          <w:u w:val="single" w:color="auto"/>
          <w:color w:val="auto"/>
        </w:rPr>
        <w:t>Restricted Stock</w:t>
      </w:r>
      <w:r>
        <w:rPr>
          <w:rFonts w:ascii="Calibri" w:cs="Calibri" w:eastAsia="Calibri" w:hAnsi="Calibri"/>
          <w:sz w:val="22"/>
          <w:szCs w:val="22"/>
          <w:color w:val="auto"/>
        </w:rPr>
        <w:t>” means Shares awarded to a Partcipant pursuant to Artcle 8 that are subject to certain restrictons and may be subject to risk of forfeiture.</w:t>
      </w:r>
    </w:p>
    <w:p>
      <w:pPr>
        <w:spacing w:after="0" w:line="257" w:lineRule="exact"/>
        <w:rPr>
          <w:sz w:val="20"/>
          <w:szCs w:val="20"/>
          <w:color w:val="auto"/>
        </w:rPr>
      </w:pPr>
    </w:p>
    <w:p>
      <w:pPr>
        <w:ind w:right="160" w:firstLine="647"/>
        <w:spacing w:after="0" w:line="229" w:lineRule="auto"/>
        <w:rPr>
          <w:sz w:val="20"/>
          <w:szCs w:val="20"/>
          <w:color w:val="auto"/>
        </w:rPr>
      </w:pPr>
      <w:r>
        <w:rPr>
          <w:rFonts w:ascii="Calibri" w:cs="Calibri" w:eastAsia="Calibri" w:hAnsi="Calibri"/>
          <w:sz w:val="22"/>
          <w:szCs w:val="22"/>
          <w:color w:val="auto"/>
        </w:rPr>
        <w:t>2.36 “</w:t>
      </w:r>
      <w:r>
        <w:rPr>
          <w:rFonts w:ascii="Calibri" w:cs="Calibri" w:eastAsia="Calibri" w:hAnsi="Calibri"/>
          <w:sz w:val="22"/>
          <w:szCs w:val="22"/>
          <w:u w:val="single" w:color="auto"/>
          <w:color w:val="auto"/>
        </w:rPr>
        <w:t>Restricted Stock Unit</w:t>
      </w:r>
      <w:r>
        <w:rPr>
          <w:rFonts w:ascii="Calibri" w:cs="Calibri" w:eastAsia="Calibri" w:hAnsi="Calibri"/>
          <w:sz w:val="22"/>
          <w:szCs w:val="22"/>
          <w:color w:val="auto"/>
        </w:rPr>
        <w:t>” means an Award granted pursuant to Artcle 7 that shall be evidenced by a bookkeeping entry representng the equivalent of one Share.</w:t>
      </w:r>
    </w:p>
    <w:p>
      <w:pPr>
        <w:spacing w:after="0" w:line="233"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2.37</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Securites Act</w:t>
      </w:r>
      <w:r>
        <w:rPr>
          <w:rFonts w:ascii="Calibri" w:cs="Calibri" w:eastAsia="Calibri" w:hAnsi="Calibri"/>
          <w:sz w:val="21"/>
          <w:szCs w:val="21"/>
          <w:color w:val="auto"/>
        </w:rPr>
        <w:t>” means the U.S. Securites Act of 1933, as amended.</w:t>
      </w:r>
    </w:p>
    <w:p>
      <w:pPr>
        <w:spacing w:after="0" w:line="295" w:lineRule="exact"/>
        <w:rPr>
          <w:sz w:val="20"/>
          <w:szCs w:val="20"/>
          <w:color w:val="auto"/>
        </w:rPr>
      </w:pPr>
    </w:p>
    <w:p>
      <w:pPr>
        <w:ind w:right="540" w:firstLine="647"/>
        <w:spacing w:after="0" w:line="229" w:lineRule="auto"/>
        <w:rPr>
          <w:sz w:val="20"/>
          <w:szCs w:val="20"/>
          <w:color w:val="auto"/>
        </w:rPr>
      </w:pPr>
      <w:r>
        <w:rPr>
          <w:rFonts w:ascii="Calibri" w:cs="Calibri" w:eastAsia="Calibri" w:hAnsi="Calibri"/>
          <w:sz w:val="22"/>
          <w:szCs w:val="22"/>
          <w:color w:val="auto"/>
        </w:rPr>
        <w:t>2.38 “</w:t>
      </w:r>
      <w:r>
        <w:rPr>
          <w:rFonts w:ascii="Calibri" w:cs="Calibri" w:eastAsia="Calibri" w:hAnsi="Calibri"/>
          <w:sz w:val="22"/>
          <w:szCs w:val="22"/>
          <w:u w:val="single" w:color="auto"/>
          <w:color w:val="auto"/>
        </w:rPr>
        <w:t>Service</w:t>
      </w:r>
      <w:r>
        <w:rPr>
          <w:rFonts w:ascii="Calibri" w:cs="Calibri" w:eastAsia="Calibri" w:hAnsi="Calibri"/>
          <w:sz w:val="22"/>
          <w:szCs w:val="22"/>
          <w:color w:val="auto"/>
        </w:rPr>
        <w:t>” means service as an Employee or Non-Employee Director. Except as otherwise determined by the Commitee in its sole discreton, a Partcipant’s Service terminates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140"/>
          </w:cols>
          <w:pgMar w:left="420" w:top="1440" w:right="339" w:bottom="1440" w:gutter="0" w:footer="0" w:header="0"/>
        </w:sectPr>
      </w:pPr>
    </w:p>
    <w:bookmarkStart w:id="54" w:name="page55"/>
    <w:bookmarkEnd w:id="54"/>
    <w:p>
      <w:pPr>
        <w:spacing w:after="0" w:line="230" w:lineRule="auto"/>
        <w:rPr>
          <w:sz w:val="20"/>
          <w:szCs w:val="20"/>
          <w:color w:val="auto"/>
        </w:rPr>
      </w:pPr>
      <w:r>
        <w:rPr>
          <w:rFonts w:ascii="Calibri" w:cs="Calibri" w:eastAsia="Calibri" w:hAnsi="Calibri"/>
          <w:sz w:val="22"/>
          <w:szCs w:val="22"/>
          <w:color w:val="auto"/>
        </w:rPr>
        <w:t>when the Partcipant ceases to actvely provide services to the Company or an Afliate and shall not be extended by any notce period mandated under applicable employment laws or the terms of the Partcipant’s employment or service contract, if any. The Commitee shall determine which leaves shall count toward Service and when Service terminates for all purposes under the Plan. Further, unless otherwise determined by the Commitee, a Partcipant’s Service shall not be deemed to have terminated merely because of a change in the capacity in which the Partcipant provides Service to the Company or an Afliate, or a transfer between enttes (</w:t>
      </w:r>
      <w:r>
        <w:rPr>
          <w:rFonts w:ascii="Calibri" w:cs="Calibri" w:eastAsia="Calibri" w:hAnsi="Calibri"/>
          <w:sz w:val="22"/>
          <w:szCs w:val="22"/>
          <w:i w:val="1"/>
          <w:iCs w:val="1"/>
          <w:color w:val="auto"/>
        </w:rPr>
        <w:t>i.e.</w:t>
      </w:r>
      <w:r>
        <w:rPr>
          <w:rFonts w:ascii="Calibri" w:cs="Calibri" w:eastAsia="Calibri" w:hAnsi="Calibri"/>
          <w:sz w:val="22"/>
          <w:szCs w:val="22"/>
          <w:color w:val="auto"/>
        </w:rPr>
        <w:t xml:space="preserve">, the Company or any Afliates),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there is no interrupton or other terminaton of Service in connecton with the Partcipant’s change in capacity or transfer between enttes (except as may be required to efect the change in capacity or transfer between enttes). For purposes of determining whether an Opton is enttled to Incentve Stock Opton status, an Employee’s Service shall be treated as terminated ninety (90) days afer such Employee goes on leave, unless such Employee’s right to return to actve work is guaranteed by law or by a contract.</w:t>
      </w:r>
    </w:p>
    <w:p>
      <w:pPr>
        <w:spacing w:after="0" w:line="291"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2.39</w:t>
      </w:r>
      <w:r>
        <w:rPr>
          <w:sz w:val="20"/>
          <w:szCs w:val="20"/>
          <w:color w:val="auto"/>
        </w:rPr>
        <w:tab/>
      </w:r>
      <w:r>
        <w:rPr>
          <w:rFonts w:ascii="Calibri" w:cs="Calibri" w:eastAsia="Calibri" w:hAnsi="Calibri"/>
          <w:sz w:val="21"/>
          <w:szCs w:val="21"/>
          <w:color w:val="auto"/>
        </w:rPr>
        <w:t>“</w:t>
      </w:r>
      <w:r>
        <w:rPr>
          <w:rFonts w:ascii="Calibri" w:cs="Calibri" w:eastAsia="Calibri" w:hAnsi="Calibri"/>
          <w:sz w:val="21"/>
          <w:szCs w:val="21"/>
          <w:u w:val="single" w:color="auto"/>
          <w:color w:val="auto"/>
        </w:rPr>
        <w:t>Share</w:t>
      </w:r>
      <w:r>
        <w:rPr>
          <w:rFonts w:ascii="Calibri" w:cs="Calibri" w:eastAsia="Calibri" w:hAnsi="Calibri"/>
          <w:sz w:val="21"/>
          <w:szCs w:val="21"/>
          <w:color w:val="auto"/>
        </w:rPr>
        <w:t>” means a share of Common Stock.</w:t>
      </w:r>
    </w:p>
    <w:p>
      <w:pPr>
        <w:spacing w:after="0" w:line="309" w:lineRule="exact"/>
        <w:rPr>
          <w:sz w:val="20"/>
          <w:szCs w:val="20"/>
          <w:color w:val="auto"/>
        </w:rPr>
      </w:pPr>
    </w:p>
    <w:p>
      <w:pPr>
        <w:ind w:right="160" w:firstLine="647"/>
        <w:spacing w:after="0" w:line="229" w:lineRule="auto"/>
        <w:rPr>
          <w:sz w:val="20"/>
          <w:szCs w:val="20"/>
          <w:color w:val="auto"/>
        </w:rPr>
      </w:pPr>
      <w:r>
        <w:rPr>
          <w:rFonts w:ascii="Calibri" w:cs="Calibri" w:eastAsia="Calibri" w:hAnsi="Calibri"/>
          <w:sz w:val="22"/>
          <w:szCs w:val="22"/>
          <w:color w:val="auto"/>
        </w:rPr>
        <w:t>2.40 “</w:t>
      </w:r>
      <w:r>
        <w:rPr>
          <w:rFonts w:ascii="Calibri" w:cs="Calibri" w:eastAsia="Calibri" w:hAnsi="Calibri"/>
          <w:sz w:val="22"/>
          <w:szCs w:val="22"/>
          <w:u w:val="single" w:color="auto"/>
          <w:color w:val="auto"/>
        </w:rPr>
        <w:t>Stock Appreciaton Right</w:t>
      </w:r>
      <w:r>
        <w:rPr>
          <w:rFonts w:ascii="Calibri" w:cs="Calibri" w:eastAsia="Calibri" w:hAnsi="Calibri"/>
          <w:sz w:val="22"/>
          <w:szCs w:val="22"/>
          <w:color w:val="auto"/>
        </w:rPr>
        <w:t>” or “</w:t>
      </w:r>
      <w:r>
        <w:rPr>
          <w:rFonts w:ascii="Calibri" w:cs="Calibri" w:eastAsia="Calibri" w:hAnsi="Calibri"/>
          <w:sz w:val="22"/>
          <w:szCs w:val="22"/>
          <w:u w:val="single" w:color="auto"/>
          <w:color w:val="auto"/>
        </w:rPr>
        <w:t>SAR</w:t>
      </w:r>
      <w:r>
        <w:rPr>
          <w:rFonts w:ascii="Calibri" w:cs="Calibri" w:eastAsia="Calibri" w:hAnsi="Calibri"/>
          <w:sz w:val="22"/>
          <w:szCs w:val="22"/>
          <w:color w:val="auto"/>
        </w:rPr>
        <w:t>” means a right granted pursuant to Artcle 9 to receive a payment equal to the excess of the Fair Market Value of a specifed number of Shares on the date the SAR is exercised over the exercise price of the SAR, as set forth in the applicable Award Agreement.</w:t>
      </w:r>
    </w:p>
    <w:p>
      <w:pPr>
        <w:spacing w:after="0" w:line="257" w:lineRule="exact"/>
        <w:rPr>
          <w:sz w:val="20"/>
          <w:szCs w:val="20"/>
          <w:color w:val="auto"/>
        </w:rPr>
      </w:pPr>
    </w:p>
    <w:p>
      <w:pPr>
        <w:jc w:val="both"/>
        <w:ind w:right="460" w:firstLine="647"/>
        <w:spacing w:after="0" w:line="229" w:lineRule="auto"/>
        <w:rPr>
          <w:sz w:val="20"/>
          <w:szCs w:val="20"/>
          <w:color w:val="auto"/>
        </w:rPr>
      </w:pPr>
      <w:r>
        <w:rPr>
          <w:rFonts w:ascii="Calibri" w:cs="Calibri" w:eastAsia="Calibri" w:hAnsi="Calibri"/>
          <w:sz w:val="22"/>
          <w:szCs w:val="22"/>
          <w:color w:val="auto"/>
        </w:rPr>
        <w:t>2.41 “</w:t>
      </w:r>
      <w:r>
        <w:rPr>
          <w:rFonts w:ascii="Calibri" w:cs="Calibri" w:eastAsia="Calibri" w:hAnsi="Calibri"/>
          <w:sz w:val="22"/>
          <w:szCs w:val="22"/>
          <w:u w:val="single" w:color="auto"/>
          <w:color w:val="auto"/>
        </w:rPr>
        <w:t>Tax-Related Items</w:t>
      </w:r>
      <w:r>
        <w:rPr>
          <w:rFonts w:ascii="Calibri" w:cs="Calibri" w:eastAsia="Calibri" w:hAnsi="Calibri"/>
          <w:sz w:val="22"/>
          <w:szCs w:val="22"/>
          <w:color w:val="auto"/>
        </w:rPr>
        <w:t>” means any U.S. federal, state, and/or local taxes and any taxes imposed by a jurisdicton outside of the U.S. (including, without limitaton, income tax, social insurance and similar contributons, payroll tax, fringe benefts tax, payment on account, employment tax, stamp tax and any other taxes related to partcipaton in the Plan and legally applicable to a Partcipant, including any employer liability for which the Partcipant is liable pursuant to Applicable Laws or the applicable Award Agreement).</w:t>
      </w:r>
    </w:p>
    <w:p>
      <w:pPr>
        <w:spacing w:after="0" w:line="245"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3.</w:t>
      </w:r>
      <w:r>
        <w:rPr>
          <w:sz w:val="20"/>
          <w:szCs w:val="20"/>
          <w:color w:val="auto"/>
        </w:rPr>
        <w:tab/>
      </w:r>
      <w:r>
        <w:rPr>
          <w:rFonts w:ascii="Calibri" w:cs="Calibri" w:eastAsia="Calibri" w:hAnsi="Calibri"/>
          <w:sz w:val="21"/>
          <w:szCs w:val="21"/>
          <w:b w:val="1"/>
          <w:bCs w:val="1"/>
          <w:color w:val="auto"/>
        </w:rPr>
        <w:t>ADMINISTRATION</w:t>
      </w:r>
    </w:p>
    <w:p>
      <w:pPr>
        <w:spacing w:after="0" w:line="257" w:lineRule="exact"/>
        <w:rPr>
          <w:sz w:val="20"/>
          <w:szCs w:val="20"/>
          <w:color w:val="auto"/>
        </w:rPr>
      </w:pPr>
    </w:p>
    <w:p>
      <w:pPr>
        <w:ind w:right="120" w:firstLine="647"/>
        <w:spacing w:after="0" w:line="231" w:lineRule="auto"/>
        <w:rPr>
          <w:sz w:val="20"/>
          <w:szCs w:val="20"/>
          <w:color w:val="auto"/>
        </w:rPr>
      </w:pPr>
      <w:r>
        <w:rPr>
          <w:rFonts w:ascii="Calibri" w:cs="Calibri" w:eastAsia="Calibri" w:hAnsi="Calibri"/>
          <w:sz w:val="22"/>
          <w:szCs w:val="22"/>
          <w:color w:val="auto"/>
        </w:rPr>
        <w:t xml:space="preserve">3.1 </w:t>
      </w:r>
      <w:r>
        <w:rPr>
          <w:rFonts w:ascii="Calibri" w:cs="Calibri" w:eastAsia="Calibri" w:hAnsi="Calibri"/>
          <w:sz w:val="22"/>
          <w:szCs w:val="22"/>
          <w:u w:val="single" w:color="auto"/>
          <w:color w:val="auto"/>
        </w:rPr>
        <w:t>Commitee</w:t>
      </w:r>
      <w:r>
        <w:rPr>
          <w:rFonts w:ascii="Calibri" w:cs="Calibri" w:eastAsia="Calibri" w:hAnsi="Calibri"/>
          <w:sz w:val="22"/>
          <w:szCs w:val="22"/>
          <w:color w:val="auto"/>
        </w:rPr>
        <w:t>. The Board, at its discreton or as otherwise necessary to comply with the requirements of Secton 162(m) of the Code (with respect to Outstanding Qualifed Performance-Based Awards), Rule 16b-3 promulgated under the Exchange Act or to the extent required by any other Applicable Law or regulaton, may delegate administraton of the Plan to a Commitee consistng of two or more members of the Board. Unless otherwise determined by the Board, the Commitee shall consist solely of two or more Non-Employee Directors, each of whom is an “outside director,” within the meaning of Secton 162(m) of the Code (with respect to Outstanding Qualifed Performance-Based Awards), a “non-employee director” within the meaning of Rule 16b-3(b)(3) under the Exchange Act, or any successor rule, and an “independent director” under the applicable New York Stock Exchange rules (or other principal securites market on which Shares are traded). Notwithstanding the foregoing: (a) the full Board, actng by a majority of its members in ofce, shall conduct the general administraton of the Plan with respect to all Awards granted to Non-Employee Directors and for purposes of such Awards the term “Commitee” as used in this Plan shall be deemed to refer to the Board and (b) the Commitee may delegate its authority hereunder to the extent permited by Secton 3.5 hereof. Unless and untl the Board delegates administraton of the Plan to a Commitee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120"/>
          </w:cols>
          <w:pgMar w:left="420" w:top="1421" w:right="359" w:bottom="1440" w:gutter="0" w:footer="0" w:header="0"/>
        </w:sectPr>
      </w:pPr>
    </w:p>
    <w:bookmarkStart w:id="55" w:name="page56"/>
    <w:bookmarkEnd w:id="55"/>
    <w:p>
      <w:pPr>
        <w:ind w:right="100"/>
        <w:spacing w:after="0" w:line="243" w:lineRule="auto"/>
        <w:rPr>
          <w:sz w:val="20"/>
          <w:szCs w:val="20"/>
          <w:color w:val="auto"/>
        </w:rPr>
      </w:pPr>
      <w:r>
        <w:rPr>
          <w:rFonts w:ascii="Calibri" w:cs="Calibri" w:eastAsia="Calibri" w:hAnsi="Calibri"/>
          <w:sz w:val="21"/>
          <w:szCs w:val="21"/>
          <w:color w:val="auto"/>
        </w:rPr>
        <w:t>set forth below, the Plan shall be administered by the full Board, and for such purposes the term “Commitee” as used in this Plan shall be deemed to refer to the Board. In its sole discreton, the Board may at any tme and from tme to tme exercise any and all rights and dutes of the Commitee under the Plan, except with respect to maters which under Rule 16b-3 under the Exchange Act or Secton 162(m) of the Code (with respect to Outstanding Qualifed Performance- Based Awards), or any regulatons or rules issued thereunder, are required to be determined in the sole discreton of the Commitee.</w:t>
      </w:r>
    </w:p>
    <w:p>
      <w:pPr>
        <w:spacing w:after="0" w:line="255" w:lineRule="exact"/>
        <w:rPr>
          <w:sz w:val="20"/>
          <w:szCs w:val="20"/>
          <w:color w:val="auto"/>
        </w:rPr>
      </w:pPr>
    </w:p>
    <w:p>
      <w:pPr>
        <w:ind w:right="20" w:firstLine="647"/>
        <w:spacing w:after="0" w:line="231" w:lineRule="auto"/>
        <w:rPr>
          <w:sz w:val="20"/>
          <w:szCs w:val="20"/>
          <w:color w:val="auto"/>
        </w:rPr>
      </w:pPr>
      <w:r>
        <w:rPr>
          <w:rFonts w:ascii="Calibri" w:cs="Calibri" w:eastAsia="Calibri" w:hAnsi="Calibri"/>
          <w:sz w:val="22"/>
          <w:szCs w:val="22"/>
          <w:color w:val="auto"/>
        </w:rPr>
        <w:t xml:space="preserve">3.2 </w:t>
      </w:r>
      <w:r>
        <w:rPr>
          <w:rFonts w:ascii="Calibri" w:cs="Calibri" w:eastAsia="Calibri" w:hAnsi="Calibri"/>
          <w:sz w:val="22"/>
          <w:szCs w:val="22"/>
          <w:u w:val="single" w:color="auto"/>
          <w:color w:val="auto"/>
        </w:rPr>
        <w:t>Acton by the Commitee</w:t>
      </w:r>
      <w:r>
        <w:rPr>
          <w:rFonts w:ascii="Calibri" w:cs="Calibri" w:eastAsia="Calibri" w:hAnsi="Calibri"/>
          <w:sz w:val="22"/>
          <w:szCs w:val="22"/>
          <w:color w:val="auto"/>
        </w:rPr>
        <w:t>. Unless otherwise established by the Board or in any charter of the Commitee, a majority of the Commitee shall consttute a quorum and the acts of a majority of the members present at any meetng at which a quorum is present, and acts approved in writng by a majority of the Commitee in lieu of a meetng, shall be deemed the acts of the Commitee. Each member of the Commitee is enttled to, in good faith, rely or act upon any report or other informaton furnished to that member by any ofcer or other employee of the Company or any Afliate, the Company’s independent certfed public accountants, or any executve compensaton consultant or other professional retained by the Company to assist in the administraton of the Plan.</w:t>
      </w:r>
    </w:p>
    <w:p>
      <w:pPr>
        <w:spacing w:after="0" w:line="243" w:lineRule="exact"/>
        <w:rPr>
          <w:sz w:val="20"/>
          <w:szCs w:val="20"/>
          <w:color w:val="auto"/>
        </w:rPr>
      </w:pPr>
    </w:p>
    <w:p>
      <w:pPr>
        <w:ind w:right="120" w:firstLine="647"/>
        <w:spacing w:after="0" w:line="235" w:lineRule="auto"/>
        <w:rPr>
          <w:sz w:val="20"/>
          <w:szCs w:val="20"/>
          <w:color w:val="auto"/>
        </w:rPr>
      </w:pPr>
      <w:r>
        <w:rPr>
          <w:rFonts w:ascii="Calibri" w:cs="Calibri" w:eastAsia="Calibri" w:hAnsi="Calibri"/>
          <w:sz w:val="22"/>
          <w:szCs w:val="22"/>
          <w:color w:val="auto"/>
        </w:rPr>
        <w:t xml:space="preserve">3.3 </w:t>
      </w:r>
      <w:r>
        <w:rPr>
          <w:rFonts w:ascii="Calibri" w:cs="Calibri" w:eastAsia="Calibri" w:hAnsi="Calibri"/>
          <w:sz w:val="22"/>
          <w:szCs w:val="22"/>
          <w:u w:val="single" w:color="auto"/>
          <w:color w:val="auto"/>
        </w:rPr>
        <w:t>Authority of Commitee</w:t>
      </w:r>
      <w:r>
        <w:rPr>
          <w:rFonts w:ascii="Calibri" w:cs="Calibri" w:eastAsia="Calibri" w:hAnsi="Calibri"/>
          <w:sz w:val="22"/>
          <w:szCs w:val="22"/>
          <w:color w:val="auto"/>
        </w:rPr>
        <w:t>. Subject to any specifc designaton in the Plan, the Commitee has the exclusive power, authority and discreton to:</w:t>
      </w:r>
    </w:p>
    <w:p>
      <w:pPr>
        <w:spacing w:after="0" w:line="233" w:lineRule="exact"/>
        <w:rPr>
          <w:sz w:val="20"/>
          <w:szCs w:val="20"/>
          <w:color w:val="auto"/>
        </w:rPr>
      </w:pPr>
    </w:p>
    <w:p>
      <w:pPr>
        <w:ind w:left="1720" w:hanging="426"/>
        <w:spacing w:after="0"/>
        <w:tabs>
          <w:tab w:leader="none" w:pos="1720"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designate Partcipants to receive Awards;</w:t>
      </w:r>
    </w:p>
    <w:p>
      <w:pPr>
        <w:spacing w:after="0" w:line="242" w:lineRule="exact"/>
        <w:rPr>
          <w:rFonts w:ascii="Calibri" w:cs="Calibri" w:eastAsia="Calibri" w:hAnsi="Calibri"/>
          <w:sz w:val="22"/>
          <w:szCs w:val="22"/>
          <w:color w:val="auto"/>
        </w:rPr>
      </w:pPr>
    </w:p>
    <w:p>
      <w:pPr>
        <w:ind w:left="1740" w:hanging="446"/>
        <w:spacing w:after="0"/>
        <w:tabs>
          <w:tab w:leader="none" w:pos="1740"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determine the type or types of Awards to be granted to each Partcipant;</w:t>
      </w:r>
    </w:p>
    <w:p>
      <w:pPr>
        <w:spacing w:after="0" w:line="257" w:lineRule="exact"/>
        <w:rPr>
          <w:rFonts w:ascii="Calibri" w:cs="Calibri" w:eastAsia="Calibri" w:hAnsi="Calibri"/>
          <w:sz w:val="22"/>
          <w:szCs w:val="22"/>
          <w:color w:val="auto"/>
        </w:rPr>
      </w:pPr>
    </w:p>
    <w:p>
      <w:pPr>
        <w:ind w:left="1720" w:hanging="427"/>
        <w:spacing w:after="0"/>
        <w:tabs>
          <w:tab w:leader="none" w:pos="1720" w:val="left"/>
        </w:tabs>
        <w:numPr>
          <w:ilvl w:val="0"/>
          <w:numId w:val="18"/>
        </w:numPr>
        <w:rPr>
          <w:rFonts w:ascii="Calibri" w:cs="Calibri" w:eastAsia="Calibri" w:hAnsi="Calibri"/>
          <w:sz w:val="21"/>
          <w:szCs w:val="21"/>
          <w:color w:val="auto"/>
        </w:rPr>
      </w:pPr>
      <w:r>
        <w:rPr>
          <w:rFonts w:ascii="Calibri" w:cs="Calibri" w:eastAsia="Calibri" w:hAnsi="Calibri"/>
          <w:sz w:val="21"/>
          <w:szCs w:val="21"/>
          <w:color w:val="auto"/>
        </w:rPr>
        <w:t>determine the number of Awards to be granted and the number of Shares to which an Award will relate;</w:t>
      </w:r>
    </w:p>
    <w:p>
      <w:pPr>
        <w:spacing w:after="0" w:line="256" w:lineRule="exact"/>
        <w:rPr>
          <w:rFonts w:ascii="Calibri" w:cs="Calibri" w:eastAsia="Calibri" w:hAnsi="Calibri"/>
          <w:sz w:val="21"/>
          <w:szCs w:val="21"/>
          <w:color w:val="auto"/>
        </w:rPr>
      </w:pPr>
    </w:p>
    <w:p>
      <w:pPr>
        <w:ind w:left="160" w:right="260" w:firstLine="1133"/>
        <w:spacing w:after="0" w:line="229" w:lineRule="auto"/>
        <w:tabs>
          <w:tab w:leader="none" w:pos="1733"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determine the terms and conditons of any Award granted pursuant to the Plan, including, without limitaton, the exercise price, grant price, or purchase price, any restrictons or limitatons on the Award, any schedule for lapse of forfeiture restrictons or restrictons on the exercisability of an Award, and acceleratons or waivers thereof, any provisions related to recoupment of gain on an Award, based in each case on such consideratons as the Commitee in its sole discreton determines;</w:t>
      </w:r>
    </w:p>
    <w:p>
      <w:pPr>
        <w:spacing w:after="0" w:line="257" w:lineRule="exact"/>
        <w:rPr>
          <w:rFonts w:ascii="Calibri" w:cs="Calibri" w:eastAsia="Calibri" w:hAnsi="Calibri"/>
          <w:sz w:val="22"/>
          <w:szCs w:val="22"/>
          <w:color w:val="auto"/>
        </w:rPr>
      </w:pPr>
    </w:p>
    <w:p>
      <w:pPr>
        <w:ind w:left="160" w:firstLine="1133"/>
        <w:spacing w:after="0" w:line="229" w:lineRule="auto"/>
        <w:tabs>
          <w:tab w:leader="none" w:pos="1727"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determine whether, to what extent, and pursuant to what circumstances an Award may be setled in, or the exercise price of an Award may be paid in, cash, Shares, other Awards, or other property, or an Award may be cancelled, forfeited, or surrendered;</w:t>
      </w:r>
    </w:p>
    <w:p>
      <w:pPr>
        <w:spacing w:after="0" w:line="257" w:lineRule="exact"/>
        <w:rPr>
          <w:rFonts w:ascii="Calibri" w:cs="Calibri" w:eastAsia="Calibri" w:hAnsi="Calibri"/>
          <w:sz w:val="22"/>
          <w:szCs w:val="22"/>
          <w:color w:val="auto"/>
        </w:rPr>
      </w:pPr>
    </w:p>
    <w:p>
      <w:pPr>
        <w:ind w:left="160" w:right="260" w:firstLine="1133"/>
        <w:spacing w:after="0" w:line="229" w:lineRule="auto"/>
        <w:tabs>
          <w:tab w:leader="none" w:pos="1688"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prescribe the form of each Award Agreement, which need not be identcal for each Partcipant and may vary for Partcipants within and outside of the U.S.;</w:t>
      </w:r>
    </w:p>
    <w:p>
      <w:pPr>
        <w:spacing w:after="0" w:line="286" w:lineRule="exact"/>
        <w:rPr>
          <w:rFonts w:ascii="Calibri" w:cs="Calibri" w:eastAsia="Calibri" w:hAnsi="Calibri"/>
          <w:sz w:val="22"/>
          <w:szCs w:val="22"/>
          <w:color w:val="auto"/>
        </w:rPr>
      </w:pPr>
    </w:p>
    <w:p>
      <w:pPr>
        <w:ind w:left="1720" w:hanging="420"/>
        <w:spacing w:after="0"/>
        <w:tabs>
          <w:tab w:leader="none" w:pos="1720" w:val="left"/>
        </w:tabs>
        <w:numPr>
          <w:ilvl w:val="0"/>
          <w:numId w:val="18"/>
        </w:numPr>
        <w:rPr>
          <w:rFonts w:ascii="Calibri" w:cs="Calibri" w:eastAsia="Calibri" w:hAnsi="Calibri"/>
          <w:sz w:val="22"/>
          <w:szCs w:val="22"/>
          <w:color w:val="auto"/>
        </w:rPr>
      </w:pPr>
      <w:r>
        <w:rPr>
          <w:rFonts w:ascii="Calibri" w:cs="Calibri" w:eastAsia="Calibri" w:hAnsi="Calibri"/>
          <w:sz w:val="22"/>
          <w:szCs w:val="22"/>
          <w:color w:val="auto"/>
        </w:rPr>
        <w:t>decide all other maters that must be determined in connecton with an</w:t>
      </w:r>
    </w:p>
    <w:p>
      <w:pPr>
        <w:spacing w:after="0" w:line="1" w:lineRule="exact"/>
        <w:rPr>
          <w:sz w:val="20"/>
          <w:szCs w:val="20"/>
          <w:color w:val="auto"/>
        </w:rPr>
      </w:pPr>
    </w:p>
    <w:p>
      <w:pPr>
        <w:ind w:left="160"/>
        <w:spacing w:after="0"/>
        <w:rPr>
          <w:sz w:val="20"/>
          <w:szCs w:val="20"/>
          <w:color w:val="auto"/>
        </w:rPr>
      </w:pPr>
      <w:r>
        <w:rPr>
          <w:rFonts w:ascii="Calibri" w:cs="Calibri" w:eastAsia="Calibri" w:hAnsi="Calibri"/>
          <w:sz w:val="22"/>
          <w:szCs w:val="22"/>
          <w:color w:val="auto"/>
        </w:rPr>
        <w:t>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000"/>
          </w:cols>
          <w:pgMar w:left="420" w:top="1367" w:right="479" w:bottom="1440" w:gutter="0" w:footer="0" w:header="0"/>
        </w:sectPr>
      </w:pPr>
    </w:p>
    <w:bookmarkStart w:id="56" w:name="page57"/>
    <w:bookmarkEnd w:id="56"/>
    <w:p>
      <w:pPr>
        <w:jc w:val="both"/>
        <w:ind w:left="1940" w:hanging="640"/>
        <w:spacing w:after="0" w:line="229" w:lineRule="auto"/>
        <w:tabs>
          <w:tab w:leader="none" w:pos="1737" w:val="left"/>
        </w:tabs>
        <w:numPr>
          <w:ilvl w:val="0"/>
          <w:numId w:val="19"/>
        </w:numPr>
        <w:rPr>
          <w:rFonts w:ascii="Calibri" w:cs="Calibri" w:eastAsia="Calibri" w:hAnsi="Calibri"/>
          <w:sz w:val="22"/>
          <w:szCs w:val="22"/>
          <w:color w:val="auto"/>
        </w:rPr>
      </w:pPr>
      <w:r>
        <w:rPr>
          <w:rFonts w:ascii="Calibri" w:cs="Calibri" w:eastAsia="Calibri" w:hAnsi="Calibri"/>
          <w:sz w:val="22"/>
          <w:szCs w:val="22"/>
          <w:color w:val="auto"/>
        </w:rPr>
        <w:t>establish, adopt or revise any rules and regulatons, including adoptng sub-plans to the Plan, for the purposes of facilitatng compliance with foreign laws, easing the administraton of the Plan and/or taking advantage of tax-favorable treatment for Awards granted to Partcipants outside the U.S., in each case as it may deem necessary or advisable;</w:t>
      </w:r>
    </w:p>
    <w:p>
      <w:pPr>
        <w:spacing w:after="0" w:line="246" w:lineRule="exact"/>
        <w:rPr>
          <w:rFonts w:ascii="Calibri" w:cs="Calibri" w:eastAsia="Calibri" w:hAnsi="Calibri"/>
          <w:sz w:val="22"/>
          <w:szCs w:val="22"/>
          <w:color w:val="auto"/>
        </w:rPr>
      </w:pPr>
    </w:p>
    <w:p>
      <w:pPr>
        <w:ind w:left="1680" w:hanging="380"/>
        <w:spacing w:after="0"/>
        <w:tabs>
          <w:tab w:leader="none" w:pos="1680" w:val="left"/>
        </w:tabs>
        <w:numPr>
          <w:ilvl w:val="0"/>
          <w:numId w:val="19"/>
        </w:numPr>
        <w:rPr>
          <w:rFonts w:ascii="Calibri" w:cs="Calibri" w:eastAsia="Calibri" w:hAnsi="Calibri"/>
          <w:sz w:val="22"/>
          <w:szCs w:val="22"/>
          <w:color w:val="auto"/>
        </w:rPr>
      </w:pPr>
      <w:r>
        <w:rPr>
          <w:rFonts w:ascii="Calibri" w:cs="Calibri" w:eastAsia="Calibri" w:hAnsi="Calibri"/>
          <w:sz w:val="22"/>
          <w:szCs w:val="22"/>
          <w:color w:val="auto"/>
        </w:rPr>
        <w:t>suspend or terminate the Plan at any tme, subject to Artcle 15;</w:t>
      </w:r>
    </w:p>
    <w:p>
      <w:pPr>
        <w:spacing w:after="0" w:line="255" w:lineRule="exact"/>
        <w:rPr>
          <w:rFonts w:ascii="Calibri" w:cs="Calibri" w:eastAsia="Calibri" w:hAnsi="Calibri"/>
          <w:sz w:val="22"/>
          <w:szCs w:val="22"/>
          <w:color w:val="auto"/>
        </w:rPr>
      </w:pPr>
    </w:p>
    <w:p>
      <w:pPr>
        <w:ind w:left="160" w:right="120" w:firstLine="1133"/>
        <w:spacing w:after="0" w:line="229" w:lineRule="auto"/>
        <w:tabs>
          <w:tab w:leader="none" w:pos="1677" w:val="left"/>
        </w:tabs>
        <w:numPr>
          <w:ilvl w:val="0"/>
          <w:numId w:val="19"/>
        </w:numPr>
        <w:rPr>
          <w:rFonts w:ascii="Calibri" w:cs="Calibri" w:eastAsia="Calibri" w:hAnsi="Calibri"/>
          <w:sz w:val="22"/>
          <w:szCs w:val="22"/>
          <w:color w:val="auto"/>
        </w:rPr>
      </w:pPr>
      <w:r>
        <w:rPr>
          <w:rFonts w:ascii="Calibri" w:cs="Calibri" w:eastAsia="Calibri" w:hAnsi="Calibri"/>
          <w:sz w:val="22"/>
          <w:szCs w:val="22"/>
          <w:color w:val="auto"/>
        </w:rPr>
        <w:t xml:space="preserve">amend or modify the terms of an Award, including, without limitaton, accelerate the vestng and/or exercisability of any Award for any reason, including, without limitaton, the Partcipant's retrement or other terminaton; </w:t>
      </w:r>
      <w:r>
        <w:rPr>
          <w:rFonts w:ascii="Calibri" w:cs="Calibri" w:eastAsia="Calibri" w:hAnsi="Calibri"/>
          <w:sz w:val="22"/>
          <w:szCs w:val="22"/>
          <w:i w:val="1"/>
          <w:iCs w:val="1"/>
          <w:color w:val="auto"/>
        </w:rPr>
        <w:t>provided</w:t>
      </w:r>
      <w:r>
        <w:rPr>
          <w:rFonts w:ascii="Calibri" w:cs="Calibri" w:eastAsia="Calibri" w:hAnsi="Calibri"/>
          <w:sz w:val="22"/>
          <w:szCs w:val="22"/>
          <w:color w:val="auto"/>
        </w:rPr>
        <w:t>,</w:t>
      </w:r>
      <w:r>
        <w:rPr>
          <w:rFonts w:ascii="Calibri" w:cs="Calibri" w:eastAsia="Calibri" w:hAnsi="Calibri"/>
          <w:sz w:val="22"/>
          <w:szCs w:val="22"/>
          <w:i w:val="1"/>
          <w:iCs w:val="1"/>
          <w:color w:val="auto"/>
        </w:rPr>
        <w:t xml:space="preserve"> however</w:t>
      </w:r>
      <w:r>
        <w:rPr>
          <w:rFonts w:ascii="Calibri" w:cs="Calibri" w:eastAsia="Calibri" w:hAnsi="Calibri"/>
          <w:sz w:val="22"/>
          <w:szCs w:val="22"/>
          <w:color w:val="auto"/>
        </w:rPr>
        <w:t>, that no amendment or modifcaton of an outstanding Award other than the following types of</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amendments or modifcatons shall afect adversely, in any material way, any Award previously granted pursuant to the Plan without the prior writen consent of the Partcipant: (i) an amendment or modifcaton that may cause an Incentve Stock Opton to become a Non- Qualifed Stock Opton; (ii) an amendment made or other acton taken pursuant to Secton</w:t>
      </w:r>
    </w:p>
    <w:p>
      <w:pPr>
        <w:spacing w:after="0" w:line="15" w:lineRule="exact"/>
        <w:rPr>
          <w:rFonts w:ascii="Calibri" w:cs="Calibri" w:eastAsia="Calibri" w:hAnsi="Calibri"/>
          <w:sz w:val="22"/>
          <w:szCs w:val="22"/>
          <w:color w:val="auto"/>
        </w:rPr>
      </w:pPr>
    </w:p>
    <w:p>
      <w:pPr>
        <w:ind w:left="160" w:right="80"/>
        <w:spacing w:after="0" w:line="229" w:lineRule="auto"/>
        <w:rPr>
          <w:rFonts w:ascii="Calibri" w:cs="Calibri" w:eastAsia="Calibri" w:hAnsi="Calibri"/>
          <w:sz w:val="22"/>
          <w:szCs w:val="22"/>
          <w:color w:val="auto"/>
        </w:rPr>
      </w:pPr>
      <w:r>
        <w:rPr>
          <w:rFonts w:ascii="Calibri" w:cs="Calibri" w:eastAsia="Calibri" w:hAnsi="Calibri"/>
          <w:sz w:val="22"/>
          <w:szCs w:val="22"/>
          <w:color w:val="auto"/>
        </w:rPr>
        <w:t>16.14 of the Plan; (iii) any amendment or other acton that may be required or desirable to facilitate compliance with Applicable Laws, as determined in the sole discreton of the Commitee .</w:t>
      </w:r>
    </w:p>
    <w:p>
      <w:pPr>
        <w:spacing w:after="0" w:line="246" w:lineRule="exact"/>
        <w:rPr>
          <w:rFonts w:ascii="Calibri" w:cs="Calibri" w:eastAsia="Calibri" w:hAnsi="Calibri"/>
          <w:sz w:val="22"/>
          <w:szCs w:val="22"/>
          <w:color w:val="auto"/>
        </w:rPr>
      </w:pPr>
    </w:p>
    <w:p>
      <w:pPr>
        <w:ind w:left="1720" w:hanging="427"/>
        <w:spacing w:after="0"/>
        <w:tabs>
          <w:tab w:leader="none" w:pos="1720" w:val="left"/>
        </w:tabs>
        <w:numPr>
          <w:ilvl w:val="0"/>
          <w:numId w:val="19"/>
        </w:numPr>
        <w:rPr>
          <w:rFonts w:ascii="Calibri" w:cs="Calibri" w:eastAsia="Calibri" w:hAnsi="Calibri"/>
          <w:sz w:val="22"/>
          <w:szCs w:val="22"/>
          <w:color w:val="auto"/>
        </w:rPr>
      </w:pPr>
      <w:r>
        <w:rPr>
          <w:rFonts w:ascii="Calibri" w:cs="Calibri" w:eastAsia="Calibri" w:hAnsi="Calibri"/>
          <w:sz w:val="22"/>
          <w:szCs w:val="22"/>
          <w:color w:val="auto"/>
        </w:rPr>
        <w:t>interpret the terms of, and any mater arising pursuant to, the Plan or any Award Agreement; and</w:t>
      </w:r>
    </w:p>
    <w:p>
      <w:pPr>
        <w:spacing w:after="0" w:line="241" w:lineRule="exact"/>
        <w:rPr>
          <w:rFonts w:ascii="Calibri" w:cs="Calibri" w:eastAsia="Calibri" w:hAnsi="Calibri"/>
          <w:sz w:val="22"/>
          <w:szCs w:val="22"/>
          <w:color w:val="auto"/>
        </w:rPr>
      </w:pPr>
    </w:p>
    <w:p>
      <w:pPr>
        <w:ind w:left="160" w:right="820" w:firstLine="1133"/>
        <w:spacing w:after="0" w:line="229" w:lineRule="auto"/>
        <w:tabs>
          <w:tab w:leader="none" w:pos="1669" w:val="left"/>
        </w:tabs>
        <w:numPr>
          <w:ilvl w:val="0"/>
          <w:numId w:val="19"/>
        </w:numPr>
        <w:rPr>
          <w:rFonts w:ascii="Calibri" w:cs="Calibri" w:eastAsia="Calibri" w:hAnsi="Calibri"/>
          <w:sz w:val="22"/>
          <w:szCs w:val="22"/>
          <w:color w:val="auto"/>
        </w:rPr>
      </w:pPr>
      <w:r>
        <w:rPr>
          <w:rFonts w:ascii="Calibri" w:cs="Calibri" w:eastAsia="Calibri" w:hAnsi="Calibri"/>
          <w:sz w:val="22"/>
          <w:szCs w:val="22"/>
          <w:color w:val="auto"/>
        </w:rPr>
        <w:t>make all other decisions and determinatons that may be required pursuant to the Plan or that the Commitee deems necessary or advisable to administer the Plan.</w:t>
      </w:r>
    </w:p>
    <w:p>
      <w:pPr>
        <w:spacing w:after="0" w:line="257" w:lineRule="exact"/>
        <w:rPr>
          <w:sz w:val="20"/>
          <w:szCs w:val="20"/>
          <w:color w:val="auto"/>
        </w:rPr>
      </w:pPr>
    </w:p>
    <w:p>
      <w:pPr>
        <w:ind w:right="140" w:firstLine="647"/>
        <w:spacing w:after="0" w:line="233" w:lineRule="auto"/>
        <w:rPr>
          <w:sz w:val="20"/>
          <w:szCs w:val="20"/>
          <w:color w:val="auto"/>
        </w:rPr>
      </w:pPr>
      <w:r>
        <w:rPr>
          <w:rFonts w:ascii="Calibri" w:cs="Calibri" w:eastAsia="Calibri" w:hAnsi="Calibri"/>
          <w:sz w:val="22"/>
          <w:szCs w:val="22"/>
          <w:color w:val="auto"/>
        </w:rPr>
        <w:t xml:space="preserve">3.4 </w:t>
      </w:r>
      <w:r>
        <w:rPr>
          <w:rFonts w:ascii="Calibri" w:cs="Calibri" w:eastAsia="Calibri" w:hAnsi="Calibri"/>
          <w:sz w:val="22"/>
          <w:szCs w:val="22"/>
          <w:u w:val="single" w:color="auto"/>
          <w:color w:val="auto"/>
        </w:rPr>
        <w:t>Decisions Binding</w:t>
      </w:r>
      <w:r>
        <w:rPr>
          <w:rFonts w:ascii="Calibri" w:cs="Calibri" w:eastAsia="Calibri" w:hAnsi="Calibri"/>
          <w:sz w:val="22"/>
          <w:szCs w:val="22"/>
          <w:color w:val="auto"/>
        </w:rPr>
        <w:t>. The Commitee’s interpretaton of the Plan, any Awards granted pursuant to the Plan, and any Award Agreement and all decisions and determinatons by the Commitee with respect to the Plan are fnal, binding, and conclusive on all partes.</w:t>
      </w:r>
    </w:p>
    <w:p>
      <w:pPr>
        <w:spacing w:after="0" w:line="244" w:lineRule="exact"/>
        <w:rPr>
          <w:sz w:val="20"/>
          <w:szCs w:val="20"/>
          <w:color w:val="auto"/>
        </w:rPr>
      </w:pPr>
    </w:p>
    <w:p>
      <w:pPr>
        <w:ind w:right="100" w:firstLine="647"/>
        <w:spacing w:after="0" w:line="231" w:lineRule="auto"/>
        <w:rPr>
          <w:sz w:val="20"/>
          <w:szCs w:val="20"/>
          <w:color w:val="auto"/>
        </w:rPr>
      </w:pPr>
      <w:r>
        <w:rPr>
          <w:rFonts w:ascii="Calibri" w:cs="Calibri" w:eastAsia="Calibri" w:hAnsi="Calibri"/>
          <w:sz w:val="22"/>
          <w:szCs w:val="22"/>
          <w:color w:val="auto"/>
        </w:rPr>
        <w:t xml:space="preserve">3.5 </w:t>
      </w:r>
      <w:r>
        <w:rPr>
          <w:rFonts w:ascii="Calibri" w:cs="Calibri" w:eastAsia="Calibri" w:hAnsi="Calibri"/>
          <w:sz w:val="22"/>
          <w:szCs w:val="22"/>
          <w:u w:val="single" w:color="auto"/>
          <w:color w:val="auto"/>
        </w:rPr>
        <w:t>Delegaton of Authority</w:t>
      </w:r>
      <w:r>
        <w:rPr>
          <w:rFonts w:ascii="Calibri" w:cs="Calibri" w:eastAsia="Calibri" w:hAnsi="Calibri"/>
          <w:sz w:val="22"/>
          <w:szCs w:val="22"/>
          <w:color w:val="auto"/>
        </w:rPr>
        <w:t>. To the extent permited by Applicable Laws, the Board, from tme to tme, may delegate to a Commitee of one or more members of the Board (pursuant to delegaton that does not meet the requirement of Secton 3.1 hereof) or to one or more ofcers of the Company the authority to grant Awards to Partcipants other than (a) Employees who are subject to Secton 16 of the Exchange Act, or (b) ofcers of the Company (or Directors) to whom authority to grant or amend Awards has been delegated hereunder. Furthermore, if the authority to grant or amend Awards has been delegated to the Commitee pursuant and subject to the preceding sentence, such authority may be further delegated by the Commitee to one or more ofcers of the Company. For the avoidance of doubt, provided it meets the limitatons of this Secton 3.5, any delegaton hereunder shall include the right to modify Awards as necessary to accommodate changes in Applicable Laws or regulatons, including in jurisdictons outside the U.S. Furthermore, any delegaton hereunder shall be subject to the restrictons and limitatons that the Board (or, as applicable, the Commitee) specifes at the tme of such delegaton, and the Board (or, as applicable, the Commitee) may rescind at any tme the authority so delegated and/or appoint a new delegatee. At all tmes,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100"/>
          </w:cols>
          <w:pgMar w:left="420" w:top="1421" w:right="379" w:bottom="1440" w:gutter="0" w:footer="0" w:header="0"/>
        </w:sectPr>
      </w:pPr>
    </w:p>
    <w:bookmarkStart w:id="57" w:name="page58"/>
    <w:bookmarkEnd w:id="57"/>
    <w:p>
      <w:pPr>
        <w:ind w:right="560"/>
        <w:spacing w:after="0" w:line="229" w:lineRule="auto"/>
        <w:rPr>
          <w:sz w:val="20"/>
          <w:szCs w:val="20"/>
          <w:color w:val="auto"/>
        </w:rPr>
      </w:pPr>
      <w:r>
        <w:rPr>
          <w:rFonts w:ascii="Calibri" w:cs="Calibri" w:eastAsia="Calibri" w:hAnsi="Calibri"/>
          <w:sz w:val="22"/>
          <w:szCs w:val="22"/>
          <w:color w:val="auto"/>
        </w:rPr>
        <w:t>delegatee appointed under this Secton 3.5 shall serve in such capacity at the pleasure of the Board (or, as applicable, the Commitee).</w:t>
      </w:r>
    </w:p>
    <w:p>
      <w:pPr>
        <w:spacing w:after="0" w:line="271"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4.</w:t>
      </w:r>
      <w:r>
        <w:rPr>
          <w:sz w:val="20"/>
          <w:szCs w:val="20"/>
          <w:color w:val="auto"/>
        </w:rPr>
        <w:tab/>
      </w:r>
      <w:r>
        <w:rPr>
          <w:rFonts w:ascii="Calibri" w:cs="Calibri" w:eastAsia="Calibri" w:hAnsi="Calibri"/>
          <w:sz w:val="21"/>
          <w:szCs w:val="21"/>
          <w:b w:val="1"/>
          <w:bCs w:val="1"/>
          <w:color w:val="auto"/>
        </w:rPr>
        <w:t>SHARES SUBJECT TO THE PLAN</w:t>
      </w:r>
    </w:p>
    <w:p>
      <w:pPr>
        <w:spacing w:after="0" w:line="257" w:lineRule="exact"/>
        <w:rPr>
          <w:sz w:val="20"/>
          <w:szCs w:val="20"/>
          <w:color w:val="auto"/>
        </w:rPr>
      </w:pPr>
    </w:p>
    <w:p>
      <w:pPr>
        <w:jc w:val="both"/>
        <w:ind w:left="160" w:right="100" w:firstLine="647"/>
        <w:spacing w:after="0" w:line="230" w:lineRule="auto"/>
        <w:rPr>
          <w:sz w:val="20"/>
          <w:szCs w:val="20"/>
          <w:color w:val="auto"/>
        </w:rPr>
      </w:pPr>
      <w:r>
        <w:rPr>
          <w:rFonts w:ascii="Calibri" w:cs="Calibri" w:eastAsia="Calibri" w:hAnsi="Calibri"/>
          <w:sz w:val="22"/>
          <w:szCs w:val="22"/>
          <w:color w:val="auto"/>
        </w:rPr>
        <w:t xml:space="preserve">4.1 </w:t>
      </w:r>
      <w:r>
        <w:rPr>
          <w:rFonts w:ascii="Calibri" w:cs="Calibri" w:eastAsia="Calibri" w:hAnsi="Calibri"/>
          <w:sz w:val="22"/>
          <w:szCs w:val="22"/>
          <w:u w:val="single" w:color="auto"/>
          <w:color w:val="auto"/>
        </w:rPr>
        <w:t>Number of Shares</w:t>
      </w:r>
      <w:r>
        <w:rPr>
          <w:rFonts w:ascii="Calibri" w:cs="Calibri" w:eastAsia="Calibri" w:hAnsi="Calibri"/>
          <w:sz w:val="22"/>
          <w:szCs w:val="22"/>
          <w:color w:val="auto"/>
        </w:rPr>
        <w:t>. Subject to Artcle 13 hereof, the aggregate number of Shares that may be issued or transferred pursuant to Awards under the Plan shall be the sum of (i) 75,657,296 Shares, plus (ii) the number of Shares available for issuance under the Prior Plans (including Shares subject to awards granted under the Prior Plans that otherwise subsequently became available for issuance under the Prior Plans upon forfeiture, cancellaton, or terminaton of the awards or any other reason under the terms of the Prior Plans); provided, however, that only 53,000,000 Shares may be issued or transferred pursuant to new Awards granted on or following the Efectve Date. Subject to Artcle 13, the aggregate number of Shares that may be issued or transferred pursuant to the exercise of Incentve Stock Optons shall be 30,000,000.</w:t>
      </w:r>
    </w:p>
    <w:p>
      <w:pPr>
        <w:spacing w:after="0" w:line="263" w:lineRule="exact"/>
        <w:rPr>
          <w:sz w:val="20"/>
          <w:szCs w:val="20"/>
          <w:color w:val="auto"/>
        </w:rPr>
      </w:pPr>
    </w:p>
    <w:p>
      <w:pPr>
        <w:ind w:left="160" w:right="20" w:firstLine="1133"/>
        <w:spacing w:after="0" w:line="230" w:lineRule="auto"/>
        <w:tabs>
          <w:tab w:leader="none" w:pos="1723" w:val="left"/>
        </w:tabs>
        <w:numPr>
          <w:ilvl w:val="0"/>
          <w:numId w:val="20"/>
        </w:numPr>
        <w:rPr>
          <w:rFonts w:ascii="Calibri" w:cs="Calibri" w:eastAsia="Calibri" w:hAnsi="Calibri"/>
          <w:sz w:val="22"/>
          <w:szCs w:val="22"/>
          <w:color w:val="auto"/>
        </w:rPr>
      </w:pPr>
      <w:r>
        <w:rPr>
          <w:rFonts w:ascii="Calibri" w:cs="Calibri" w:eastAsia="Calibri" w:hAnsi="Calibri"/>
          <w:sz w:val="22"/>
          <w:szCs w:val="22"/>
          <w:u w:val="single" w:color="auto"/>
          <w:color w:val="auto"/>
        </w:rPr>
        <w:t>Shares Reissuable under Plan</w:t>
      </w:r>
      <w:r>
        <w:rPr>
          <w:rFonts w:ascii="Calibri" w:cs="Calibri" w:eastAsia="Calibri" w:hAnsi="Calibri"/>
          <w:sz w:val="22"/>
          <w:szCs w:val="22"/>
          <w:color w:val="auto"/>
        </w:rPr>
        <w:t>. The following Shares shall again be available for the grant of an Award pursuant to the Plan: (i) Shares that are not issued as a result of the terminaton, expiraton or lapsing of any Award for any reason; (ii) Shares subject to a Full Value Award that are not issued because the Award is setled in cash; (iii) Shares covered by an Opton which are surrendered in payment of the Opton exercise or purchase price or in satsfacton of obligatons for Tax-Related Items incident to the exercise of an Opton; (iv) Shares covered by an Award which are surrendered in satsfacton of obligatons for Tax-Related Items incident to the vestng or setlement of a Full Value Award. Notwithstanding the provisions of this Secton 4.1, no Shares may again be optoned, granted or awarded if such acton would cause an Incentve Stock Opton to fail to qualify as an Incentve Stock Opton.</w:t>
      </w:r>
    </w:p>
    <w:p>
      <w:pPr>
        <w:spacing w:after="0" w:line="263" w:lineRule="exact"/>
        <w:rPr>
          <w:rFonts w:ascii="Calibri" w:cs="Calibri" w:eastAsia="Calibri" w:hAnsi="Calibri"/>
          <w:sz w:val="22"/>
          <w:szCs w:val="22"/>
          <w:color w:val="auto"/>
        </w:rPr>
      </w:pPr>
    </w:p>
    <w:p>
      <w:pPr>
        <w:ind w:left="160" w:firstLine="1133"/>
        <w:spacing w:after="0" w:line="229" w:lineRule="auto"/>
        <w:tabs>
          <w:tab w:leader="none" w:pos="1733" w:val="left"/>
        </w:tabs>
        <w:numPr>
          <w:ilvl w:val="0"/>
          <w:numId w:val="20"/>
        </w:numPr>
        <w:rPr>
          <w:rFonts w:ascii="Calibri" w:cs="Calibri" w:eastAsia="Calibri" w:hAnsi="Calibri"/>
          <w:sz w:val="22"/>
          <w:szCs w:val="22"/>
          <w:color w:val="auto"/>
        </w:rPr>
      </w:pPr>
      <w:r>
        <w:rPr>
          <w:rFonts w:ascii="Calibri" w:cs="Calibri" w:eastAsia="Calibri" w:hAnsi="Calibri"/>
          <w:sz w:val="22"/>
          <w:szCs w:val="22"/>
          <w:u w:val="single" w:color="auto"/>
          <w:color w:val="auto"/>
        </w:rPr>
        <w:t>Shares Not Reissuable under Plan</w:t>
      </w:r>
      <w:r>
        <w:rPr>
          <w:rFonts w:ascii="Calibri" w:cs="Calibri" w:eastAsia="Calibri" w:hAnsi="Calibri"/>
          <w:sz w:val="22"/>
          <w:szCs w:val="22"/>
          <w:color w:val="auto"/>
        </w:rPr>
        <w:t>. Notwithstanding the foregoing, Shares that are repurchased on the open market with the proceeds of the exercise of an Opton shall be counted against the maximum number of Shares available for issuance pursuant to Secton 4.1 hereof and shall not be returned to the Plan.</w:t>
      </w:r>
    </w:p>
    <w:p>
      <w:pPr>
        <w:spacing w:after="0" w:line="257" w:lineRule="exact"/>
        <w:rPr>
          <w:rFonts w:ascii="Calibri" w:cs="Calibri" w:eastAsia="Calibri" w:hAnsi="Calibri"/>
          <w:sz w:val="22"/>
          <w:szCs w:val="22"/>
          <w:color w:val="auto"/>
        </w:rPr>
      </w:pPr>
    </w:p>
    <w:p>
      <w:pPr>
        <w:ind w:left="160" w:firstLine="1133"/>
        <w:spacing w:after="0" w:line="231" w:lineRule="auto"/>
        <w:tabs>
          <w:tab w:leader="none" w:pos="1711" w:val="left"/>
        </w:tabs>
        <w:numPr>
          <w:ilvl w:val="0"/>
          <w:numId w:val="20"/>
        </w:numPr>
        <w:rPr>
          <w:rFonts w:ascii="Calibri" w:cs="Calibri" w:eastAsia="Calibri" w:hAnsi="Calibri"/>
          <w:sz w:val="22"/>
          <w:szCs w:val="22"/>
          <w:color w:val="auto"/>
        </w:rPr>
      </w:pPr>
      <w:r>
        <w:rPr>
          <w:rFonts w:ascii="Calibri" w:cs="Calibri" w:eastAsia="Calibri" w:hAnsi="Calibri"/>
          <w:sz w:val="22"/>
          <w:szCs w:val="22"/>
          <w:u w:val="single" w:color="auto"/>
          <w:color w:val="auto"/>
        </w:rPr>
        <w:t>Shares Not Counted Against Share Pool Reserve</w:t>
      </w:r>
      <w:r>
        <w:rPr>
          <w:rFonts w:ascii="Calibri" w:cs="Calibri" w:eastAsia="Calibri" w:hAnsi="Calibri"/>
          <w:sz w:val="22"/>
          <w:szCs w:val="22"/>
          <w:color w:val="auto"/>
        </w:rPr>
        <w:t xml:space="preserve">. To the extent permited by Applicable Laws, Shares issued in assumpton of, or in substtuton for, any outstanding awards of any entty acquired in any form of combinaton by the Company or an Afliate shall not be counted against Shares available for grant pursuant to this Plan. Additonally, to the extent permited by Applicable Laws, in the event that a company acquired by (or combined with) the Company or an Afliate has shares available under a pre-existng plan approved by its shareholders and not adopted in contemplaton of such acquisiton or combinaton, the shares available for grant pursuant to the terms of such pre-existng plan (as adjusted, to the extent appropriate, using the exchange rato or other adjustment or valuaton rato or formula used in such acquisiton or combinaton to determine the consideraton payable to the shareholders of the enttes party to such acquisiton or combinaton) may, at the discreton of the Commitee, be used for Awards under the Plan in lieu of awards under the applicable pre- existng plan of the other company and shall not reduce the Shares authorized for grant under the Plan; </w:t>
      </w:r>
      <w:r>
        <w:rPr>
          <w:rFonts w:ascii="Calibri" w:cs="Calibri" w:eastAsia="Calibri" w:hAnsi="Calibri"/>
          <w:sz w:val="22"/>
          <w:szCs w:val="22"/>
          <w:i w:val="1"/>
          <w:iCs w:val="1"/>
          <w:color w:val="auto"/>
        </w:rPr>
        <w:t xml:space="preserve">provided </w:t>
      </w:r>
      <w:r>
        <w:rPr>
          <w:rFonts w:ascii="Calibri" w:cs="Calibri" w:eastAsia="Calibri" w:hAnsi="Calibri"/>
          <w:sz w:val="22"/>
          <w:szCs w:val="22"/>
          <w:color w:val="auto"/>
        </w:rPr>
        <w:t>that Awards using such available shares shall not be made afer the date awards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140"/>
          </w:cols>
          <w:pgMar w:left="420" w:top="1367" w:right="339" w:bottom="1440" w:gutter="0" w:footer="0" w:header="0"/>
        </w:sectPr>
      </w:pPr>
    </w:p>
    <w:bookmarkStart w:id="58" w:name="page59"/>
    <w:bookmarkEnd w:id="58"/>
    <w:p>
      <w:pPr>
        <w:ind w:left="160" w:right="120"/>
        <w:spacing w:after="0" w:line="232" w:lineRule="auto"/>
        <w:rPr>
          <w:sz w:val="20"/>
          <w:szCs w:val="20"/>
          <w:color w:val="auto"/>
        </w:rPr>
      </w:pPr>
      <w:r>
        <w:rPr>
          <w:rFonts w:ascii="Calibri" w:cs="Calibri" w:eastAsia="Calibri" w:hAnsi="Calibri"/>
          <w:sz w:val="22"/>
          <w:szCs w:val="22"/>
          <w:color w:val="auto"/>
        </w:rPr>
        <w:t>grants could have been made under the terms of the pre-existng plan absent the acquisiton or combinaton, and shall only be made to individuals who were not employees or directors of the Company or any Afliate in existence prior to such acquisiton or combinaton by the Company or an Afliate. The payment of Dividend Equivalent Rights in cash in conjuncton with any outstanding Awards shall not be counted against the Shares available for issuance under the Plan.</w:t>
      </w:r>
    </w:p>
    <w:p>
      <w:pPr>
        <w:spacing w:after="0" w:line="244" w:lineRule="exact"/>
        <w:rPr>
          <w:sz w:val="20"/>
          <w:szCs w:val="20"/>
          <w:color w:val="auto"/>
        </w:rPr>
      </w:pPr>
    </w:p>
    <w:p>
      <w:pPr>
        <w:jc w:val="both"/>
        <w:ind w:right="120" w:firstLine="647"/>
        <w:spacing w:after="0" w:line="235" w:lineRule="auto"/>
        <w:rPr>
          <w:sz w:val="20"/>
          <w:szCs w:val="20"/>
          <w:color w:val="auto"/>
        </w:rPr>
      </w:pPr>
      <w:r>
        <w:rPr>
          <w:rFonts w:ascii="Calibri" w:cs="Calibri" w:eastAsia="Calibri" w:hAnsi="Calibri"/>
          <w:sz w:val="22"/>
          <w:szCs w:val="22"/>
          <w:color w:val="auto"/>
        </w:rPr>
        <w:t xml:space="preserve">4.2 </w:t>
      </w:r>
      <w:r>
        <w:rPr>
          <w:rFonts w:ascii="Calibri" w:cs="Calibri" w:eastAsia="Calibri" w:hAnsi="Calibri"/>
          <w:sz w:val="22"/>
          <w:szCs w:val="22"/>
          <w:u w:val="single" w:color="auto"/>
          <w:color w:val="auto"/>
        </w:rPr>
        <w:t>Shares Distributed</w:t>
      </w:r>
      <w:r>
        <w:rPr>
          <w:rFonts w:ascii="Calibri" w:cs="Calibri" w:eastAsia="Calibri" w:hAnsi="Calibri"/>
          <w:sz w:val="22"/>
          <w:szCs w:val="22"/>
          <w:color w:val="auto"/>
        </w:rPr>
        <w:t>. Any Shares distributed pursuant to an Award may consist, in whole or in part, of authorized and unissued Shares, treasury Shares or Shares purchased on the open market, subject to Secton 4.1(b)(ii) hereof.</w:t>
      </w:r>
    </w:p>
    <w:p>
      <w:pPr>
        <w:spacing w:after="0" w:line="244" w:lineRule="exact"/>
        <w:rPr>
          <w:sz w:val="20"/>
          <w:szCs w:val="20"/>
          <w:color w:val="auto"/>
        </w:rPr>
      </w:pPr>
    </w:p>
    <w:p>
      <w:pPr>
        <w:jc w:val="both"/>
        <w:ind w:right="120" w:firstLine="647"/>
        <w:spacing w:after="0" w:line="233" w:lineRule="auto"/>
        <w:rPr>
          <w:sz w:val="20"/>
          <w:szCs w:val="20"/>
          <w:color w:val="auto"/>
        </w:rPr>
      </w:pPr>
      <w:r>
        <w:rPr>
          <w:rFonts w:ascii="Calibri" w:cs="Calibri" w:eastAsia="Calibri" w:hAnsi="Calibri"/>
          <w:sz w:val="22"/>
          <w:szCs w:val="22"/>
          <w:color w:val="auto"/>
        </w:rPr>
        <w:t xml:space="preserve">4.3 </w:t>
      </w:r>
      <w:r>
        <w:rPr>
          <w:rFonts w:ascii="Calibri" w:cs="Calibri" w:eastAsia="Calibri" w:hAnsi="Calibri"/>
          <w:sz w:val="22"/>
          <w:szCs w:val="22"/>
          <w:u w:val="single" w:color="auto"/>
          <w:color w:val="auto"/>
        </w:rPr>
        <w:t>Limitaton on Number of Shares Subject to Awards</w:t>
      </w:r>
      <w:r>
        <w:rPr>
          <w:rFonts w:ascii="Calibri" w:cs="Calibri" w:eastAsia="Calibri" w:hAnsi="Calibri"/>
          <w:sz w:val="22"/>
          <w:szCs w:val="22"/>
          <w:color w:val="auto"/>
        </w:rPr>
        <w:t>. Notwithstanding any provision in the Plan to the contrary, and subject to Artcle 13, the maximum number of Shares subject to all Awards that may be granted to any one Partcipant during any calendar year shall be 1,500,000 Shares.</w:t>
      </w:r>
    </w:p>
    <w:p>
      <w:pPr>
        <w:spacing w:after="0" w:line="257" w:lineRule="exact"/>
        <w:rPr>
          <w:sz w:val="20"/>
          <w:szCs w:val="20"/>
          <w:color w:val="auto"/>
        </w:rPr>
      </w:pPr>
    </w:p>
    <w:p>
      <w:pPr>
        <w:jc w:val="both"/>
        <w:ind w:firstLine="647"/>
        <w:spacing w:after="0" w:line="231" w:lineRule="auto"/>
        <w:rPr>
          <w:sz w:val="20"/>
          <w:szCs w:val="20"/>
          <w:color w:val="auto"/>
        </w:rPr>
      </w:pPr>
      <w:r>
        <w:rPr>
          <w:rFonts w:ascii="Calibri" w:cs="Calibri" w:eastAsia="Calibri" w:hAnsi="Calibri"/>
          <w:sz w:val="22"/>
          <w:szCs w:val="22"/>
          <w:color w:val="auto"/>
        </w:rPr>
        <w:t xml:space="preserve">4.4 </w:t>
      </w:r>
      <w:r>
        <w:rPr>
          <w:rFonts w:ascii="Calibri" w:cs="Calibri" w:eastAsia="Calibri" w:hAnsi="Calibri"/>
          <w:sz w:val="22"/>
          <w:szCs w:val="22"/>
          <w:u w:val="single" w:color="auto"/>
          <w:color w:val="auto"/>
        </w:rPr>
        <w:t>Non-Employee Director Award Limit</w:t>
      </w:r>
      <w:r>
        <w:rPr>
          <w:rFonts w:ascii="Calibri" w:cs="Calibri" w:eastAsia="Calibri" w:hAnsi="Calibri"/>
          <w:sz w:val="22"/>
          <w:szCs w:val="22"/>
          <w:color w:val="auto"/>
        </w:rPr>
        <w:t>. Notwithstanding any provision to the contrary in the Plan or in any policy of the Company regarding compensaton payable to a Non- Employee Director, the sum of the grant date fair value (determined as of the grant date in accordance with Financial Accountng Standards Board Accountng Standards Codifcaton Topic 718, or any successor thereto) of all Awards payable in Common Stock to an individual as compensaton for services as a Non-Employee Director, together with cash compensaton earned by the Non-Employee Director during any calendar year, shall not exceed $800,000 in any calendar year.</w:t>
      </w:r>
    </w:p>
    <w:p>
      <w:pPr>
        <w:spacing w:after="0" w:line="234"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5.</w:t>
      </w:r>
      <w:r>
        <w:rPr>
          <w:sz w:val="20"/>
          <w:szCs w:val="20"/>
          <w:color w:val="auto"/>
        </w:rPr>
        <w:tab/>
      </w:r>
      <w:r>
        <w:rPr>
          <w:rFonts w:ascii="Calibri" w:cs="Calibri" w:eastAsia="Calibri" w:hAnsi="Calibri"/>
          <w:sz w:val="21"/>
          <w:szCs w:val="21"/>
          <w:b w:val="1"/>
          <w:bCs w:val="1"/>
          <w:color w:val="auto"/>
        </w:rPr>
        <w:t>ELIGIBILITY AND PARTICIPATION</w:t>
      </w:r>
    </w:p>
    <w:p>
      <w:pPr>
        <w:spacing w:after="0" w:line="255" w:lineRule="exact"/>
        <w:rPr>
          <w:sz w:val="20"/>
          <w:szCs w:val="20"/>
          <w:color w:val="auto"/>
        </w:rPr>
      </w:pPr>
    </w:p>
    <w:p>
      <w:pPr>
        <w:ind w:right="60" w:firstLine="647"/>
        <w:spacing w:after="0" w:line="229" w:lineRule="auto"/>
        <w:rPr>
          <w:sz w:val="20"/>
          <w:szCs w:val="20"/>
          <w:color w:val="auto"/>
        </w:rPr>
      </w:pPr>
      <w:r>
        <w:rPr>
          <w:rFonts w:ascii="Calibri" w:cs="Calibri" w:eastAsia="Calibri" w:hAnsi="Calibri"/>
          <w:sz w:val="22"/>
          <w:szCs w:val="22"/>
          <w:color w:val="auto"/>
        </w:rPr>
        <w:t xml:space="preserve">5.1 </w:t>
      </w:r>
      <w:r>
        <w:rPr>
          <w:rFonts w:ascii="Calibri" w:cs="Calibri" w:eastAsia="Calibri" w:hAnsi="Calibri"/>
          <w:sz w:val="22"/>
          <w:szCs w:val="22"/>
          <w:u w:val="single" w:color="auto"/>
          <w:color w:val="auto"/>
        </w:rPr>
        <w:t>Eligibility</w:t>
      </w:r>
      <w:r>
        <w:rPr>
          <w:rFonts w:ascii="Calibri" w:cs="Calibri" w:eastAsia="Calibri" w:hAnsi="Calibri"/>
          <w:sz w:val="22"/>
          <w:szCs w:val="22"/>
          <w:color w:val="auto"/>
        </w:rPr>
        <w:t>. Each Eligible Individual shall be eligible to be granted one or more Awards pursuant to the Plan. An Eligible Individual who is subject to taxaton in the U.S. and who is providing Services to an Afliate may be granted Optons or SARs under this Plan only if the Afliate qualifes as an “eligible issuer of service recipient stock” within the meaning of the U.S. Department of Treasury regulatons promulgated under Secton 409A of the Code.</w:t>
      </w:r>
    </w:p>
    <w:p>
      <w:pPr>
        <w:spacing w:after="0" w:line="258" w:lineRule="exact"/>
        <w:rPr>
          <w:sz w:val="20"/>
          <w:szCs w:val="20"/>
          <w:color w:val="auto"/>
        </w:rPr>
      </w:pPr>
    </w:p>
    <w:p>
      <w:pPr>
        <w:ind w:right="160" w:firstLine="647"/>
        <w:spacing w:after="0" w:line="232" w:lineRule="auto"/>
        <w:rPr>
          <w:sz w:val="20"/>
          <w:szCs w:val="20"/>
          <w:color w:val="auto"/>
        </w:rPr>
      </w:pPr>
      <w:r>
        <w:rPr>
          <w:rFonts w:ascii="Calibri" w:cs="Calibri" w:eastAsia="Calibri" w:hAnsi="Calibri"/>
          <w:sz w:val="22"/>
          <w:szCs w:val="22"/>
          <w:color w:val="auto"/>
        </w:rPr>
        <w:t xml:space="preserve">5.2 </w:t>
      </w:r>
      <w:r>
        <w:rPr>
          <w:rFonts w:ascii="Calibri" w:cs="Calibri" w:eastAsia="Calibri" w:hAnsi="Calibri"/>
          <w:sz w:val="22"/>
          <w:szCs w:val="22"/>
          <w:u w:val="single" w:color="auto"/>
          <w:color w:val="auto"/>
        </w:rPr>
        <w:t>Partcipaton</w:t>
      </w:r>
      <w:r>
        <w:rPr>
          <w:rFonts w:ascii="Calibri" w:cs="Calibri" w:eastAsia="Calibri" w:hAnsi="Calibri"/>
          <w:sz w:val="22"/>
          <w:szCs w:val="22"/>
          <w:color w:val="auto"/>
        </w:rPr>
        <w:t>. Subject to the provisions of the Plan, the Commitee, from tme to tme, may select from among all Eligible Individuals those to whom Awards shall be granted, and shall determine the nature and amount of each Award. No Eligible Individual shall have any right to be granted an Award pursuant to this Plan and the grant of an Award to an Eligible Individual shall not imply any enttlement to receive future Awards.</w:t>
      </w:r>
    </w:p>
    <w:p>
      <w:pPr>
        <w:spacing w:after="0" w:line="234"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6.</w:t>
      </w:r>
      <w:r>
        <w:rPr>
          <w:sz w:val="20"/>
          <w:szCs w:val="20"/>
          <w:color w:val="auto"/>
        </w:rPr>
        <w:tab/>
      </w:r>
      <w:r>
        <w:rPr>
          <w:rFonts w:ascii="Calibri" w:cs="Calibri" w:eastAsia="Calibri" w:hAnsi="Calibri"/>
          <w:sz w:val="21"/>
          <w:szCs w:val="21"/>
          <w:b w:val="1"/>
          <w:bCs w:val="1"/>
          <w:color w:val="auto"/>
        </w:rPr>
        <w:t>STOCK OPTIONS</w:t>
      </w:r>
    </w:p>
    <w:p>
      <w:pPr>
        <w:spacing w:after="0" w:line="255" w:lineRule="exact"/>
        <w:rPr>
          <w:sz w:val="20"/>
          <w:szCs w:val="20"/>
          <w:color w:val="auto"/>
        </w:rPr>
      </w:pPr>
    </w:p>
    <w:p>
      <w:pPr>
        <w:ind w:right="920" w:firstLine="647"/>
        <w:spacing w:after="0" w:line="229" w:lineRule="auto"/>
        <w:rPr>
          <w:sz w:val="20"/>
          <w:szCs w:val="20"/>
          <w:color w:val="auto"/>
        </w:rPr>
      </w:pPr>
      <w:r>
        <w:rPr>
          <w:rFonts w:ascii="Calibri" w:cs="Calibri" w:eastAsia="Calibri" w:hAnsi="Calibri"/>
          <w:sz w:val="22"/>
          <w:szCs w:val="22"/>
          <w:color w:val="auto"/>
        </w:rPr>
        <w:t xml:space="preserve">6.1 </w:t>
      </w:r>
      <w:r>
        <w:rPr>
          <w:rFonts w:ascii="Calibri" w:cs="Calibri" w:eastAsia="Calibri" w:hAnsi="Calibri"/>
          <w:sz w:val="22"/>
          <w:szCs w:val="22"/>
          <w:u w:val="single" w:color="auto"/>
          <w:color w:val="auto"/>
        </w:rPr>
        <w:t>General</w:t>
      </w:r>
      <w:r>
        <w:rPr>
          <w:rFonts w:ascii="Calibri" w:cs="Calibri" w:eastAsia="Calibri" w:hAnsi="Calibri"/>
          <w:sz w:val="22"/>
          <w:szCs w:val="22"/>
          <w:color w:val="auto"/>
        </w:rPr>
        <w:t>. The Commitee is authorized to grant Optons to Eligible Individuals on the following terms and conditons, and the Commitee may specify such additonal terms and conditons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140"/>
          </w:cols>
          <w:pgMar w:left="420" w:top="1367" w:right="339" w:bottom="1440" w:gutter="0" w:footer="0" w:header="0"/>
        </w:sectPr>
      </w:pPr>
    </w:p>
    <w:bookmarkStart w:id="59" w:name="page60"/>
    <w:bookmarkEnd w:id="59"/>
    <w:p>
      <w:pPr>
        <w:jc w:val="both"/>
        <w:ind w:firstLine="1133"/>
        <w:spacing w:after="0" w:line="229" w:lineRule="auto"/>
        <w:tabs>
          <w:tab w:leader="none" w:pos="1563" w:val="left"/>
        </w:tabs>
        <w:numPr>
          <w:ilvl w:val="0"/>
          <w:numId w:val="21"/>
        </w:numPr>
        <w:rPr>
          <w:rFonts w:ascii="Calibri" w:cs="Calibri" w:eastAsia="Calibri" w:hAnsi="Calibri"/>
          <w:sz w:val="22"/>
          <w:szCs w:val="22"/>
          <w:color w:val="auto"/>
        </w:rPr>
      </w:pPr>
      <w:r>
        <w:rPr>
          <w:rFonts w:ascii="Calibri" w:cs="Calibri" w:eastAsia="Calibri" w:hAnsi="Calibri"/>
          <w:sz w:val="22"/>
          <w:szCs w:val="22"/>
          <w:u w:val="single" w:color="auto"/>
          <w:color w:val="auto"/>
        </w:rPr>
        <w:t>Exercise Price.</w:t>
      </w:r>
      <w:r>
        <w:rPr>
          <w:rFonts w:ascii="Calibri" w:cs="Calibri" w:eastAsia="Calibri" w:hAnsi="Calibri"/>
          <w:sz w:val="22"/>
          <w:szCs w:val="22"/>
          <w:color w:val="auto"/>
        </w:rPr>
        <w:t xml:space="preserve"> The exercise price per Share subject to an Opton shall be determined by the Commitee and set forth in the Award Agreement; provided that, subject to Secton 6.2(c) hereof, the per-Share exercise price for any Opton shall not be less than 100% of the Fair Market Value of a Share on the date of grant.</w:t>
      </w:r>
    </w:p>
    <w:p>
      <w:pPr>
        <w:spacing w:after="0" w:line="257" w:lineRule="exact"/>
        <w:rPr>
          <w:rFonts w:ascii="Calibri" w:cs="Calibri" w:eastAsia="Calibri" w:hAnsi="Calibri"/>
          <w:sz w:val="22"/>
          <w:szCs w:val="22"/>
          <w:color w:val="auto"/>
        </w:rPr>
      </w:pPr>
    </w:p>
    <w:p>
      <w:pPr>
        <w:ind w:firstLine="1133"/>
        <w:spacing w:after="0" w:line="229" w:lineRule="auto"/>
        <w:tabs>
          <w:tab w:leader="none" w:pos="1573" w:val="left"/>
        </w:tabs>
        <w:numPr>
          <w:ilvl w:val="0"/>
          <w:numId w:val="21"/>
        </w:numPr>
        <w:rPr>
          <w:rFonts w:ascii="Calibri" w:cs="Calibri" w:eastAsia="Calibri" w:hAnsi="Calibri"/>
          <w:sz w:val="22"/>
          <w:szCs w:val="22"/>
          <w:color w:val="auto"/>
        </w:rPr>
      </w:pPr>
      <w:r>
        <w:rPr>
          <w:rFonts w:ascii="Calibri" w:cs="Calibri" w:eastAsia="Calibri" w:hAnsi="Calibri"/>
          <w:sz w:val="22"/>
          <w:szCs w:val="22"/>
          <w:u w:val="single" w:color="auto"/>
          <w:color w:val="auto"/>
        </w:rPr>
        <w:t>Time and Conditons of Exercise</w:t>
      </w:r>
      <w:r>
        <w:rPr>
          <w:rFonts w:ascii="Calibri" w:cs="Calibri" w:eastAsia="Calibri" w:hAnsi="Calibri"/>
          <w:sz w:val="22"/>
          <w:szCs w:val="22"/>
          <w:color w:val="auto"/>
        </w:rPr>
        <w:t>. The Commitee shall determine the tme or tmes at which an Opton may be exercised in whole or in part; provided that the term of any Opton granted under the Plan shall not exceed ten (10) years. Subject to Secton 12.3, the Commitee also shall specify the vestng conditons, if any, as it deems appropriate that must be satsfed before all or part of an Opton may be exercised. The vestng conditons, if any, may be based on, among other conditons, a Partcipant’s contnued Service, the atainment of performance conditons, or a combinaton of both.</w:t>
      </w:r>
    </w:p>
    <w:p>
      <w:pPr>
        <w:spacing w:after="0" w:line="257" w:lineRule="exact"/>
        <w:rPr>
          <w:rFonts w:ascii="Calibri" w:cs="Calibri" w:eastAsia="Calibri" w:hAnsi="Calibri"/>
          <w:sz w:val="22"/>
          <w:szCs w:val="22"/>
          <w:color w:val="auto"/>
        </w:rPr>
      </w:pPr>
    </w:p>
    <w:p>
      <w:pPr>
        <w:ind w:right="120" w:firstLine="1133"/>
        <w:spacing w:after="0" w:line="242" w:lineRule="auto"/>
        <w:tabs>
          <w:tab w:leader="none" w:pos="1551" w:val="left"/>
        </w:tabs>
        <w:numPr>
          <w:ilvl w:val="0"/>
          <w:numId w:val="21"/>
        </w:numPr>
        <w:rPr>
          <w:rFonts w:ascii="Calibri" w:cs="Calibri" w:eastAsia="Calibri" w:hAnsi="Calibri"/>
          <w:sz w:val="21"/>
          <w:szCs w:val="21"/>
          <w:color w:val="auto"/>
        </w:rPr>
      </w:pPr>
      <w:r>
        <w:rPr>
          <w:rFonts w:ascii="Calibri" w:cs="Calibri" w:eastAsia="Calibri" w:hAnsi="Calibri"/>
          <w:sz w:val="21"/>
          <w:szCs w:val="21"/>
          <w:u w:val="single" w:color="auto"/>
          <w:color w:val="auto"/>
        </w:rPr>
        <w:t>Payment</w:t>
      </w:r>
      <w:r>
        <w:rPr>
          <w:rFonts w:ascii="Calibri" w:cs="Calibri" w:eastAsia="Calibri" w:hAnsi="Calibri"/>
          <w:sz w:val="21"/>
          <w:szCs w:val="21"/>
          <w:color w:val="auto"/>
        </w:rPr>
        <w:t xml:space="preserve">. The Commitee shall determine the methods by which the exercise price of an Opton may be paid, including the following methods: (i) cash or check; (ii) surrender of Shares or delivery of a properly executed form of atestaton of ownership of Shares as the Commitee may require (including withholding of Shares otherwise deliverable upon exercise of the Opton) which have a Fair Market Value on the date or surrender of atestaton equal to the aggregate exercise price of the Shares as to which the Opton is to be exercised; (iii) promissory note from a Partcipant to the Company or a third-party loan guaranteed by the Company (in either case, with such loan bearing interest at no less than such rate as shall then preclude the imputaton of interest under the Code); (iv) through the delivery of a notce that the Partcipant has placed a market sell order with a broker with respect to Shares then issuable upon exercise of the Opton, and that the broker has been directed to pay a sufcient porton of the net proceeds of the sale to the Company in satsfacton of the Opton exercise price, </w:t>
      </w:r>
      <w:r>
        <w:rPr>
          <w:rFonts w:ascii="Calibri" w:cs="Calibri" w:eastAsia="Calibri" w:hAnsi="Calibri"/>
          <w:sz w:val="21"/>
          <w:szCs w:val="21"/>
          <w:i w:val="1"/>
          <w:iCs w:val="1"/>
          <w:color w:val="auto"/>
        </w:rPr>
        <w:t>provided</w:t>
      </w:r>
      <w:r>
        <w:rPr>
          <w:rFonts w:ascii="Calibri" w:cs="Calibri" w:eastAsia="Calibri" w:hAnsi="Calibri"/>
          <w:sz w:val="21"/>
          <w:szCs w:val="21"/>
          <w:color w:val="auto"/>
        </w:rPr>
        <w:t xml:space="preserve"> that payment of such proceeds is then made to the Company upon setlement of such sale; (v) by a “net exercise” arrangement pursuant to which the number of Shares issuable upon exercise of the Opton shall be reduced by the largest whole number of Shares (or a number of whole Shares and Fractonal Shares to the extent authorized pursuant to Secton 16.10) having an aggregate fair market value that does not exceed the aggregate exercise price (plus withholding taxes, if applicable) and any remaining balance of the aggregate exercise price (and/or applicable withholding taxes) not satsfed by such reducton in the number of whole Shares (to the extent the issuance of Fractonal Shares is not authorized pursuant to Secton 16.10) to be issued shall be paid by Partcipant in cash or other form of payment approved by the Commitee; (vi) other property acceptable to the Commitee; or (vii) any combinaton of the foregoing methods of payment. The Award Agreement will specify the methods of paying the exercise price available to each Partcipant. The Commitee also shall determine the methods by which Shares shall be delivered or deemed to be delivered to Partcipants. Notwithstanding any other provision of the Plan to the contrary, no Partcipant who is a Director or an “executve ofcer” of the Company within the meaning of Secton 13(k) of the Exchange Act shall be permited to pay the exercise price of an Opton, or contnue any extension of credit with respect to the exercise price of an Opton, with a loan from the Company or a loan arranged by the Company in violaton of Secton 13(k)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0940"/>
          </w:cols>
          <w:pgMar w:left="580" w:top="1367" w:right="379" w:bottom="1440" w:gutter="0" w:footer="0" w:header="0"/>
        </w:sectPr>
      </w:pPr>
    </w:p>
    <w:bookmarkStart w:id="60" w:name="page61"/>
    <w:bookmarkEnd w:id="60"/>
    <w:p>
      <w:pPr>
        <w:ind w:left="1740" w:hanging="446"/>
        <w:spacing w:after="0"/>
        <w:tabs>
          <w:tab w:leader="none" w:pos="1740" w:val="left"/>
        </w:tabs>
        <w:numPr>
          <w:ilvl w:val="0"/>
          <w:numId w:val="22"/>
        </w:numPr>
        <w:rPr>
          <w:rFonts w:ascii="Calibri" w:cs="Calibri" w:eastAsia="Calibri" w:hAnsi="Calibri"/>
          <w:sz w:val="22"/>
          <w:szCs w:val="22"/>
          <w:color w:val="auto"/>
        </w:rPr>
      </w:pPr>
      <w:r>
        <w:rPr>
          <w:rFonts w:ascii="Calibri" w:cs="Calibri" w:eastAsia="Calibri" w:hAnsi="Calibri"/>
          <w:sz w:val="22"/>
          <w:szCs w:val="22"/>
          <w:u w:val="single" w:color="auto"/>
          <w:color w:val="auto"/>
        </w:rPr>
        <w:t>Exercise of Opton</w:t>
      </w:r>
      <w:r>
        <w:rPr>
          <w:rFonts w:ascii="Calibri" w:cs="Calibri" w:eastAsia="Calibri" w:hAnsi="Calibri"/>
          <w:sz w:val="22"/>
          <w:szCs w:val="22"/>
          <w:color w:val="auto"/>
        </w:rPr>
        <w:t>.</w:t>
      </w:r>
    </w:p>
    <w:p>
      <w:pPr>
        <w:spacing w:after="0" w:line="295" w:lineRule="exact"/>
        <w:rPr>
          <w:rFonts w:ascii="Calibri" w:cs="Calibri" w:eastAsia="Calibri" w:hAnsi="Calibri"/>
          <w:sz w:val="22"/>
          <w:szCs w:val="22"/>
          <w:color w:val="auto"/>
        </w:rPr>
      </w:pPr>
    </w:p>
    <w:p>
      <w:pPr>
        <w:ind w:left="640" w:firstLine="1302"/>
        <w:spacing w:after="0" w:line="231" w:lineRule="auto"/>
        <w:tabs>
          <w:tab w:leader="none" w:pos="2312" w:val="left"/>
        </w:tabs>
        <w:numPr>
          <w:ilvl w:val="1"/>
          <w:numId w:val="22"/>
        </w:numPr>
        <w:rPr>
          <w:rFonts w:ascii="Calibri" w:cs="Calibri" w:eastAsia="Calibri" w:hAnsi="Calibri"/>
          <w:sz w:val="22"/>
          <w:szCs w:val="22"/>
          <w:color w:val="auto"/>
        </w:rPr>
      </w:pPr>
      <w:r>
        <w:rPr>
          <w:rFonts w:ascii="Calibri" w:cs="Calibri" w:eastAsia="Calibri" w:hAnsi="Calibri"/>
          <w:sz w:val="22"/>
          <w:szCs w:val="22"/>
          <w:u w:val="single" w:color="auto"/>
          <w:color w:val="auto"/>
        </w:rPr>
        <w:t>Procedure for Exercise; Rights as a Shareholder</w:t>
      </w:r>
      <w:r>
        <w:rPr>
          <w:rFonts w:ascii="Calibri" w:cs="Calibri" w:eastAsia="Calibri" w:hAnsi="Calibri"/>
          <w:sz w:val="22"/>
          <w:szCs w:val="22"/>
          <w:color w:val="auto"/>
        </w:rPr>
        <w:t>. Unless otherwise authorized pursuant to Secton 16.10, an Opton may not be exercised for a Fractonal Share. An Opton shall be deemed exercised when the Company receives: (A) a notce of exercise (in such form as the Commitee may specify from tme to tme) from the person enttled to exercise the Opton, and (B) full payment for the Shares with respect to which the Opton is exercised (together with applicable withholding taxes). Full payment may consist of any consideraton and method of payment authorized by the Commitee and permited by the Award Agreement and the Plan. Shares issued upon exercise of an Opton shall be issued in the name of the Partcipant. Untl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an Opton, notwithstanding the exercise of the Opton. The Company shall issue (or cause to be issued) such Shares promptly afer the Opton is exercised. No adjustment shall be made for a dividend or other right for which the record date is prior to the date the Shares are issued, except as provided in Secton 13.1 of the Plan.</w:t>
      </w:r>
    </w:p>
    <w:p>
      <w:pPr>
        <w:spacing w:after="0" w:line="257" w:lineRule="exact"/>
        <w:rPr>
          <w:rFonts w:ascii="Calibri" w:cs="Calibri" w:eastAsia="Calibri" w:hAnsi="Calibri"/>
          <w:sz w:val="22"/>
          <w:szCs w:val="22"/>
          <w:color w:val="auto"/>
        </w:rPr>
      </w:pPr>
    </w:p>
    <w:p>
      <w:pPr>
        <w:ind w:left="640" w:firstLine="1302"/>
        <w:spacing w:after="0" w:line="231" w:lineRule="auto"/>
        <w:tabs>
          <w:tab w:leader="none" w:pos="2362" w:val="left"/>
        </w:tabs>
        <w:numPr>
          <w:ilvl w:val="1"/>
          <w:numId w:val="22"/>
        </w:numPr>
        <w:rPr>
          <w:rFonts w:ascii="Calibri" w:cs="Calibri" w:eastAsia="Calibri" w:hAnsi="Calibri"/>
          <w:sz w:val="22"/>
          <w:szCs w:val="22"/>
          <w:color w:val="auto"/>
        </w:rPr>
      </w:pPr>
      <w:r>
        <w:rPr>
          <w:rFonts w:ascii="Calibri" w:cs="Calibri" w:eastAsia="Calibri" w:hAnsi="Calibri"/>
          <w:sz w:val="22"/>
          <w:szCs w:val="22"/>
          <w:u w:val="single" w:color="auto"/>
          <w:color w:val="auto"/>
        </w:rPr>
        <w:t>Terminaton of Partcipant’s Service</w:t>
      </w:r>
      <w:r>
        <w:rPr>
          <w:rFonts w:ascii="Calibri" w:cs="Calibri" w:eastAsia="Calibri" w:hAnsi="Calibri"/>
          <w:sz w:val="22"/>
          <w:szCs w:val="22"/>
          <w:color w:val="auto"/>
        </w:rPr>
        <w:t xml:space="preserve">. If a Partcipant ceases to provide Service, including as a result of the Partcipant’s death or Disability, the Partcipant may exercise his or her Opton within such period of tme as is specifed in the Award Agreement to the extent that the Opton is vested on the date of terminaton (but in no event later than the expiraton of the term of such Opton as set forth in the Award Agreement). Unless otherwise provided by the Commitee, if on the date of terminaton of Service the Partcipant is not vested as to his or her entre Opton, the unvested porton of the Opton shall be forfeited and the Shares covered by the unvested porton of the Opton shall revert to the Plan. If, afer terminaton of Service, the Partcipant does not exercise his or her Opton within the tme specifed by the Commitee, the Opton shall terminate, and the Shares covered by such Opton shall revert to the Plan. To the extent the Opton is exercisable following a Partcipant’s death, the Opton may be exercised by such persons as may be specifed in the Award Agreement, which may include any of the following: (i) the Partcipant’s designated benefciary,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such designaton is permited under Applicable Laws and that such benefciary has been designated before the Partcipant’s death in a form acceptable to the Company; (ii) the Partcipant’s legal representatve or representatves; (iii) the person or persons enttled to do so pursuant to the Partcipant’s last will and testament; or (iv) if the Partcipant fails to make testamentary dispositon of the Opton or dies intestate, by the person or persons enttled to receive the Opton pursuant to the applicable laws of descent and distributon.</w:t>
      </w:r>
    </w:p>
    <w:p>
      <w:pPr>
        <w:spacing w:after="0" w:line="254" w:lineRule="exact"/>
        <w:rPr>
          <w:sz w:val="20"/>
          <w:szCs w:val="20"/>
          <w:color w:val="auto"/>
        </w:rPr>
      </w:pPr>
    </w:p>
    <w:p>
      <w:pPr>
        <w:ind w:right="120" w:firstLine="647"/>
        <w:spacing w:after="0" w:line="246" w:lineRule="auto"/>
        <w:rPr>
          <w:sz w:val="20"/>
          <w:szCs w:val="20"/>
          <w:color w:val="auto"/>
        </w:rPr>
      </w:pPr>
      <w:r>
        <w:rPr>
          <w:rFonts w:ascii="Calibri" w:cs="Calibri" w:eastAsia="Calibri" w:hAnsi="Calibri"/>
          <w:sz w:val="21"/>
          <w:szCs w:val="21"/>
          <w:color w:val="auto"/>
        </w:rPr>
        <w:t xml:space="preserve">6.2 </w:t>
      </w:r>
      <w:r>
        <w:rPr>
          <w:rFonts w:ascii="Calibri" w:cs="Calibri" w:eastAsia="Calibri" w:hAnsi="Calibri"/>
          <w:sz w:val="21"/>
          <w:szCs w:val="21"/>
          <w:u w:val="single" w:color="auto"/>
          <w:color w:val="auto"/>
        </w:rPr>
        <w:t>Incentve Stock Optons</w:t>
      </w:r>
      <w:r>
        <w:rPr>
          <w:rFonts w:ascii="Calibri" w:cs="Calibri" w:eastAsia="Calibri" w:hAnsi="Calibri"/>
          <w:sz w:val="21"/>
          <w:szCs w:val="21"/>
          <w:color w:val="auto"/>
        </w:rPr>
        <w:t>. Incentve Stock Optons shall be granted only to Employees of the Company or any “subsidiary corporaton,” as defned in Secton 424(f) of the Code and any applicable U.S. Department of Treasury regulatons promulgated thereunder, of the Company, and the terms of any Incentve Stock Optons granted pursuant to the Plan, in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040"/>
          </w:cols>
          <w:pgMar w:left="420" w:top="1356" w:right="439" w:bottom="1440" w:gutter="0" w:footer="0" w:header="0"/>
        </w:sectPr>
      </w:pPr>
    </w:p>
    <w:bookmarkStart w:id="61" w:name="page62"/>
    <w:bookmarkEnd w:id="61"/>
    <w:p>
      <w:pPr>
        <w:spacing w:after="0"/>
        <w:rPr>
          <w:sz w:val="20"/>
          <w:szCs w:val="20"/>
          <w:color w:val="auto"/>
        </w:rPr>
      </w:pPr>
      <w:r>
        <w:rPr>
          <w:rFonts w:ascii="Calibri" w:cs="Calibri" w:eastAsia="Calibri" w:hAnsi="Calibri"/>
          <w:sz w:val="22"/>
          <w:szCs w:val="22"/>
          <w:color w:val="auto"/>
        </w:rPr>
        <w:t>additon to the requirements of Secton 6.1 hereof, must comply with the provisions of this Secton 6.2.</w:t>
      </w:r>
    </w:p>
    <w:p>
      <w:pPr>
        <w:spacing w:after="0" w:line="39" w:lineRule="exact"/>
        <w:rPr>
          <w:sz w:val="20"/>
          <w:szCs w:val="20"/>
          <w:color w:val="auto"/>
        </w:rPr>
      </w:pPr>
    </w:p>
    <w:p>
      <w:pPr>
        <w:ind w:left="160" w:right="740" w:firstLine="1133"/>
        <w:spacing w:after="0" w:line="229" w:lineRule="auto"/>
        <w:tabs>
          <w:tab w:leader="none" w:pos="1723" w:val="left"/>
        </w:tabs>
        <w:numPr>
          <w:ilvl w:val="1"/>
          <w:numId w:val="23"/>
        </w:numPr>
        <w:rPr>
          <w:rFonts w:ascii="Calibri" w:cs="Calibri" w:eastAsia="Calibri" w:hAnsi="Calibri"/>
          <w:sz w:val="22"/>
          <w:szCs w:val="22"/>
          <w:color w:val="auto"/>
        </w:rPr>
      </w:pPr>
      <w:r>
        <w:rPr>
          <w:rFonts w:ascii="Calibri" w:cs="Calibri" w:eastAsia="Calibri" w:hAnsi="Calibri"/>
          <w:sz w:val="22"/>
          <w:szCs w:val="22"/>
          <w:u w:val="single" w:color="auto"/>
          <w:color w:val="auto"/>
        </w:rPr>
        <w:t>Expiraton</w:t>
      </w:r>
      <w:r>
        <w:rPr>
          <w:rFonts w:ascii="Calibri" w:cs="Calibri" w:eastAsia="Calibri" w:hAnsi="Calibri"/>
          <w:sz w:val="22"/>
          <w:szCs w:val="22"/>
          <w:color w:val="auto"/>
        </w:rPr>
        <w:t>. Subject to Secton 6.2(c) hereof, an Incentve Stock Opton shall expire and may not be exercised to any extent by anyone afer the frst to occur of the following events:</w:t>
      </w:r>
    </w:p>
    <w:p>
      <w:pPr>
        <w:spacing w:after="0" w:line="244" w:lineRule="exact"/>
        <w:rPr>
          <w:rFonts w:ascii="Calibri" w:cs="Calibri" w:eastAsia="Calibri" w:hAnsi="Calibri"/>
          <w:sz w:val="22"/>
          <w:szCs w:val="22"/>
          <w:color w:val="auto"/>
        </w:rPr>
      </w:pPr>
    </w:p>
    <w:p>
      <w:pPr>
        <w:ind w:left="2320" w:hanging="378"/>
        <w:spacing w:after="0"/>
        <w:tabs>
          <w:tab w:leader="none" w:pos="2320" w:val="left"/>
        </w:tabs>
        <w:numPr>
          <w:ilvl w:val="2"/>
          <w:numId w:val="23"/>
        </w:numPr>
        <w:rPr>
          <w:rFonts w:ascii="Calibri" w:cs="Calibri" w:eastAsia="Calibri" w:hAnsi="Calibri"/>
          <w:sz w:val="22"/>
          <w:szCs w:val="22"/>
          <w:color w:val="auto"/>
        </w:rPr>
      </w:pPr>
      <w:r>
        <w:rPr>
          <w:rFonts w:ascii="Calibri" w:cs="Calibri" w:eastAsia="Calibri" w:hAnsi="Calibri"/>
          <w:sz w:val="22"/>
          <w:szCs w:val="22"/>
          <w:color w:val="auto"/>
        </w:rPr>
        <w:t>Ten (10) years from the date of grant, unless an earlier tme is set in the Award Agreement;</w:t>
      </w:r>
    </w:p>
    <w:p>
      <w:pPr>
        <w:spacing w:after="0" w:line="257" w:lineRule="exact"/>
        <w:rPr>
          <w:rFonts w:ascii="Calibri" w:cs="Calibri" w:eastAsia="Calibri" w:hAnsi="Calibri"/>
          <w:sz w:val="22"/>
          <w:szCs w:val="22"/>
          <w:color w:val="auto"/>
        </w:rPr>
      </w:pPr>
    </w:p>
    <w:p>
      <w:pPr>
        <w:ind w:left="640" w:right="540" w:firstLine="1302"/>
        <w:spacing w:after="0" w:line="229" w:lineRule="auto"/>
        <w:tabs>
          <w:tab w:leader="none" w:pos="2361" w:val="left"/>
        </w:tabs>
        <w:numPr>
          <w:ilvl w:val="2"/>
          <w:numId w:val="23"/>
        </w:numPr>
        <w:rPr>
          <w:rFonts w:ascii="Calibri" w:cs="Calibri" w:eastAsia="Calibri" w:hAnsi="Calibri"/>
          <w:sz w:val="22"/>
          <w:szCs w:val="22"/>
          <w:color w:val="auto"/>
        </w:rPr>
      </w:pPr>
      <w:r>
        <w:rPr>
          <w:rFonts w:ascii="Calibri" w:cs="Calibri" w:eastAsia="Calibri" w:hAnsi="Calibri"/>
          <w:sz w:val="22"/>
          <w:szCs w:val="22"/>
          <w:color w:val="auto"/>
        </w:rPr>
        <w:t>Three (3) months afer the date of the Partcipant’s terminaton of Service on account of any reason other than death or Disability (within the meaning of Secton 22(e)(3) of the Code); and</w:t>
      </w:r>
    </w:p>
    <w:p>
      <w:pPr>
        <w:spacing w:after="0" w:line="257" w:lineRule="exact"/>
        <w:rPr>
          <w:rFonts w:ascii="Calibri" w:cs="Calibri" w:eastAsia="Calibri" w:hAnsi="Calibri"/>
          <w:sz w:val="22"/>
          <w:szCs w:val="22"/>
          <w:color w:val="auto"/>
        </w:rPr>
      </w:pPr>
    </w:p>
    <w:p>
      <w:pPr>
        <w:ind w:left="640" w:right="500" w:firstLine="1302"/>
        <w:spacing w:after="0" w:line="229" w:lineRule="auto"/>
        <w:tabs>
          <w:tab w:leader="none" w:pos="2411" w:val="left"/>
        </w:tabs>
        <w:numPr>
          <w:ilvl w:val="2"/>
          <w:numId w:val="23"/>
        </w:numPr>
        <w:rPr>
          <w:rFonts w:ascii="Calibri" w:cs="Calibri" w:eastAsia="Calibri" w:hAnsi="Calibri"/>
          <w:sz w:val="22"/>
          <w:szCs w:val="22"/>
          <w:color w:val="auto"/>
        </w:rPr>
      </w:pPr>
      <w:r>
        <w:rPr>
          <w:rFonts w:ascii="Calibri" w:cs="Calibri" w:eastAsia="Calibri" w:hAnsi="Calibri"/>
          <w:sz w:val="22"/>
          <w:szCs w:val="22"/>
          <w:color w:val="auto"/>
        </w:rPr>
        <w:t>One (1) year afer the date of the Partcipant’s terminaton of Service on account of death or Disability (within the meaning of Secton 22(e)(3) of the Code).</w:t>
      </w:r>
    </w:p>
    <w:p>
      <w:pPr>
        <w:spacing w:after="0" w:line="243" w:lineRule="exact"/>
        <w:rPr>
          <w:rFonts w:ascii="Calibri" w:cs="Calibri" w:eastAsia="Calibri" w:hAnsi="Calibri"/>
          <w:sz w:val="22"/>
          <w:szCs w:val="22"/>
          <w:color w:val="auto"/>
        </w:rPr>
      </w:pPr>
    </w:p>
    <w:p>
      <w:pPr>
        <w:ind w:left="160" w:right="20" w:firstLine="1133"/>
        <w:spacing w:after="0" w:line="231" w:lineRule="auto"/>
        <w:tabs>
          <w:tab w:leader="none" w:pos="1733" w:val="left"/>
        </w:tabs>
        <w:numPr>
          <w:ilvl w:val="1"/>
          <w:numId w:val="23"/>
        </w:numPr>
        <w:rPr>
          <w:rFonts w:ascii="Calibri" w:cs="Calibri" w:eastAsia="Calibri" w:hAnsi="Calibri"/>
          <w:sz w:val="22"/>
          <w:szCs w:val="22"/>
          <w:color w:val="auto"/>
        </w:rPr>
      </w:pPr>
      <w:r>
        <w:rPr>
          <w:rFonts w:ascii="Calibri" w:cs="Calibri" w:eastAsia="Calibri" w:hAnsi="Calibri"/>
          <w:sz w:val="22"/>
          <w:szCs w:val="22"/>
          <w:u w:val="single" w:color="auto"/>
          <w:color w:val="auto"/>
        </w:rPr>
        <w:t>Dollar Limitaton</w:t>
      </w:r>
      <w:r>
        <w:rPr>
          <w:rFonts w:ascii="Calibri" w:cs="Calibri" w:eastAsia="Calibri" w:hAnsi="Calibri"/>
          <w:sz w:val="22"/>
          <w:szCs w:val="22"/>
          <w:color w:val="auto"/>
        </w:rPr>
        <w:t>. The aggregate Fair Market Value (determined as of the tme the Opton is granted) of all Shares with respect to which Incentve Stock Optons are frst exercisable by a Partcipant in any calendar year may not exceed US$100,000 or such other limitaton as imposed by Secton 422(d) of the Code, or any successor provision. To the extent that Incentve Stock Optons are frst exercisable by a Partcipant in excess of such limitaton, the excess shall be considered Non-Qualifed Stock Optons.</w:t>
      </w:r>
    </w:p>
    <w:p>
      <w:pPr>
        <w:spacing w:after="0" w:line="260" w:lineRule="exact"/>
        <w:rPr>
          <w:rFonts w:ascii="Calibri" w:cs="Calibri" w:eastAsia="Calibri" w:hAnsi="Calibri"/>
          <w:sz w:val="22"/>
          <w:szCs w:val="22"/>
          <w:color w:val="auto"/>
        </w:rPr>
      </w:pPr>
    </w:p>
    <w:p>
      <w:pPr>
        <w:ind w:left="160" w:firstLine="1133"/>
        <w:spacing w:after="0" w:line="229" w:lineRule="auto"/>
        <w:tabs>
          <w:tab w:leader="none" w:pos="1711" w:val="left"/>
        </w:tabs>
        <w:numPr>
          <w:ilvl w:val="1"/>
          <w:numId w:val="23"/>
        </w:numPr>
        <w:rPr>
          <w:rFonts w:ascii="Calibri" w:cs="Calibri" w:eastAsia="Calibri" w:hAnsi="Calibri"/>
          <w:sz w:val="22"/>
          <w:szCs w:val="22"/>
          <w:color w:val="auto"/>
        </w:rPr>
      </w:pPr>
      <w:r>
        <w:rPr>
          <w:rFonts w:ascii="Calibri" w:cs="Calibri" w:eastAsia="Calibri" w:hAnsi="Calibri"/>
          <w:sz w:val="22"/>
          <w:szCs w:val="22"/>
          <w:u w:val="single" w:color="auto"/>
          <w:color w:val="auto"/>
        </w:rPr>
        <w:t>Ten Percent Owners</w:t>
      </w:r>
      <w:r>
        <w:rPr>
          <w:rFonts w:ascii="Calibri" w:cs="Calibri" w:eastAsia="Calibri" w:hAnsi="Calibri"/>
          <w:sz w:val="22"/>
          <w:szCs w:val="22"/>
          <w:color w:val="auto"/>
        </w:rPr>
        <w:t>. An Incentve Stock Opton shall be granted to any individual who, at the date of grant, owns stock possessing more than ten percent (10%) of the total combined votng power of all classes of Shares of the Company only if such Opton is granted at a price that is not less than 110% of Fair Market Value on the date of grant and the Opton is exercisable for no more than fve (5) years from the date of grant.</w:t>
      </w:r>
    </w:p>
    <w:p>
      <w:pPr>
        <w:spacing w:after="0" w:line="257" w:lineRule="exact"/>
        <w:rPr>
          <w:rFonts w:ascii="Calibri" w:cs="Calibri" w:eastAsia="Calibri" w:hAnsi="Calibri"/>
          <w:sz w:val="22"/>
          <w:szCs w:val="22"/>
          <w:color w:val="auto"/>
        </w:rPr>
      </w:pPr>
    </w:p>
    <w:p>
      <w:pPr>
        <w:ind w:left="160" w:right="180" w:firstLine="1133"/>
        <w:spacing w:after="0" w:line="229" w:lineRule="auto"/>
        <w:tabs>
          <w:tab w:leader="none" w:pos="1733" w:val="left"/>
        </w:tabs>
        <w:numPr>
          <w:ilvl w:val="1"/>
          <w:numId w:val="23"/>
        </w:numPr>
        <w:rPr>
          <w:rFonts w:ascii="Calibri" w:cs="Calibri" w:eastAsia="Calibri" w:hAnsi="Calibri"/>
          <w:sz w:val="22"/>
          <w:szCs w:val="22"/>
          <w:color w:val="auto"/>
        </w:rPr>
      </w:pPr>
      <w:r>
        <w:rPr>
          <w:rFonts w:ascii="Calibri" w:cs="Calibri" w:eastAsia="Calibri" w:hAnsi="Calibri"/>
          <w:sz w:val="22"/>
          <w:szCs w:val="22"/>
          <w:u w:val="single" w:color="auto"/>
          <w:color w:val="auto"/>
        </w:rPr>
        <w:t>Notce of Dispositon</w:t>
      </w:r>
      <w:r>
        <w:rPr>
          <w:rFonts w:ascii="Calibri" w:cs="Calibri" w:eastAsia="Calibri" w:hAnsi="Calibri"/>
          <w:sz w:val="22"/>
          <w:szCs w:val="22"/>
          <w:color w:val="auto"/>
        </w:rPr>
        <w:t>. The Partcipant shall give the Company prompt notce of any dispositon of Shares acquired by exercise of an Incentve Stock Opton within</w:t>
      </w:r>
    </w:p>
    <w:p>
      <w:pPr>
        <w:spacing w:after="0" w:line="14" w:lineRule="exact"/>
        <w:rPr>
          <w:rFonts w:ascii="Calibri" w:cs="Calibri" w:eastAsia="Calibri" w:hAnsi="Calibri"/>
          <w:sz w:val="22"/>
          <w:szCs w:val="22"/>
          <w:color w:val="auto"/>
        </w:rPr>
      </w:pPr>
    </w:p>
    <w:p>
      <w:pPr>
        <w:ind w:left="160" w:right="40"/>
        <w:spacing w:after="0" w:line="229" w:lineRule="auto"/>
        <w:tabs>
          <w:tab w:leader="none" w:pos="389" w:val="left"/>
        </w:tabs>
        <w:numPr>
          <w:ilvl w:val="0"/>
          <w:numId w:val="24"/>
        </w:numPr>
        <w:rPr>
          <w:rFonts w:ascii="Calibri" w:cs="Calibri" w:eastAsia="Calibri" w:hAnsi="Calibri"/>
          <w:sz w:val="22"/>
          <w:szCs w:val="22"/>
          <w:color w:val="auto"/>
        </w:rPr>
      </w:pPr>
      <w:r>
        <w:rPr>
          <w:rFonts w:ascii="Calibri" w:cs="Calibri" w:eastAsia="Calibri" w:hAnsi="Calibri"/>
          <w:sz w:val="22"/>
          <w:szCs w:val="22"/>
          <w:color w:val="auto"/>
        </w:rPr>
        <w:t>two (2) years from the date of grant of such Incentve Stock Opton or (ii) one (1) year afer the transfer of such Shares to the Partcipant.</w:t>
      </w:r>
    </w:p>
    <w:p>
      <w:pPr>
        <w:spacing w:after="0" w:line="230" w:lineRule="exact"/>
        <w:rPr>
          <w:rFonts w:ascii="Calibri" w:cs="Calibri" w:eastAsia="Calibri" w:hAnsi="Calibri"/>
          <w:sz w:val="22"/>
          <w:szCs w:val="22"/>
          <w:color w:val="auto"/>
        </w:rPr>
      </w:pPr>
    </w:p>
    <w:p>
      <w:pPr>
        <w:ind w:left="1720" w:hanging="427"/>
        <w:spacing w:after="0"/>
        <w:tabs>
          <w:tab w:leader="none" w:pos="1720" w:val="left"/>
        </w:tabs>
        <w:numPr>
          <w:ilvl w:val="1"/>
          <w:numId w:val="24"/>
        </w:numPr>
        <w:rPr>
          <w:rFonts w:ascii="Calibri" w:cs="Calibri" w:eastAsia="Calibri" w:hAnsi="Calibri"/>
          <w:sz w:val="22"/>
          <w:szCs w:val="22"/>
          <w:color w:val="auto"/>
        </w:rPr>
      </w:pPr>
      <w:r>
        <w:rPr>
          <w:rFonts w:ascii="Calibri" w:cs="Calibri" w:eastAsia="Calibri" w:hAnsi="Calibri"/>
          <w:sz w:val="22"/>
          <w:szCs w:val="22"/>
          <w:u w:val="single" w:color="auto"/>
          <w:color w:val="auto"/>
        </w:rPr>
        <w:t>Right to Exercise</w:t>
      </w:r>
      <w:r>
        <w:rPr>
          <w:rFonts w:ascii="Calibri" w:cs="Calibri" w:eastAsia="Calibri" w:hAnsi="Calibri"/>
          <w:sz w:val="22"/>
          <w:szCs w:val="22"/>
          <w:color w:val="auto"/>
        </w:rPr>
        <w:t>. During a Partcipant’s lifetme, only the Partcipant may exercise an Incentve Stock</w:t>
      </w:r>
    </w:p>
    <w:p>
      <w:pPr>
        <w:spacing w:after="0" w:line="1" w:lineRule="exact"/>
        <w:rPr>
          <w:rFonts w:ascii="Calibri" w:cs="Calibri" w:eastAsia="Calibri" w:hAnsi="Calibri"/>
          <w:sz w:val="22"/>
          <w:szCs w:val="22"/>
          <w:color w:val="auto"/>
        </w:rPr>
      </w:pPr>
    </w:p>
    <w:p>
      <w:pPr>
        <w:ind w:left="160"/>
        <w:spacing w:after="0"/>
        <w:rPr>
          <w:rFonts w:ascii="Calibri" w:cs="Calibri" w:eastAsia="Calibri" w:hAnsi="Calibri"/>
          <w:sz w:val="22"/>
          <w:szCs w:val="22"/>
          <w:color w:val="auto"/>
        </w:rPr>
      </w:pPr>
      <w:r>
        <w:rPr>
          <w:rFonts w:ascii="Calibri" w:cs="Calibri" w:eastAsia="Calibri" w:hAnsi="Calibri"/>
          <w:sz w:val="22"/>
          <w:szCs w:val="22"/>
          <w:color w:val="auto"/>
        </w:rPr>
        <w:t>Opton.</w:t>
      </w:r>
    </w:p>
    <w:p>
      <w:pPr>
        <w:spacing w:after="0" w:line="243" w:lineRule="exact"/>
        <w:rPr>
          <w:rFonts w:ascii="Calibri" w:cs="Calibri" w:eastAsia="Calibri" w:hAnsi="Calibri"/>
          <w:sz w:val="22"/>
          <w:szCs w:val="22"/>
          <w:color w:val="auto"/>
        </w:rPr>
      </w:pPr>
    </w:p>
    <w:p>
      <w:pPr>
        <w:ind w:left="160" w:right="20" w:firstLine="1133"/>
        <w:spacing w:after="0" w:line="233" w:lineRule="auto"/>
        <w:tabs>
          <w:tab w:leader="none" w:pos="1688" w:val="left"/>
        </w:tabs>
        <w:numPr>
          <w:ilvl w:val="1"/>
          <w:numId w:val="24"/>
        </w:numPr>
        <w:rPr>
          <w:rFonts w:ascii="Calibri" w:cs="Calibri" w:eastAsia="Calibri" w:hAnsi="Calibri"/>
          <w:sz w:val="22"/>
          <w:szCs w:val="22"/>
          <w:color w:val="auto"/>
        </w:rPr>
      </w:pPr>
      <w:r>
        <w:rPr>
          <w:rFonts w:ascii="Calibri" w:cs="Calibri" w:eastAsia="Calibri" w:hAnsi="Calibri"/>
          <w:sz w:val="22"/>
          <w:szCs w:val="22"/>
          <w:u w:val="single" w:color="auto"/>
          <w:color w:val="auto"/>
        </w:rPr>
        <w:t>Failure to Meet Requirements</w:t>
      </w:r>
      <w:r>
        <w:rPr>
          <w:rFonts w:ascii="Calibri" w:cs="Calibri" w:eastAsia="Calibri" w:hAnsi="Calibri"/>
          <w:sz w:val="22"/>
          <w:szCs w:val="22"/>
          <w:color w:val="auto"/>
        </w:rPr>
        <w:t>. Any Opton (or porton thereof) purported to be an Incentve Stock Opton, which, for any reason, fails to meet the requirements of Secton 422 of the Code shall be considered a Non-Qualifed Stock Opton.</w:t>
      </w:r>
    </w:p>
    <w:p>
      <w:pPr>
        <w:spacing w:after="0" w:line="233"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7.</w:t>
      </w:r>
      <w:r>
        <w:rPr>
          <w:sz w:val="20"/>
          <w:szCs w:val="20"/>
          <w:color w:val="auto"/>
        </w:rPr>
        <w:tab/>
      </w:r>
      <w:r>
        <w:rPr>
          <w:rFonts w:ascii="Calibri" w:cs="Calibri" w:eastAsia="Calibri" w:hAnsi="Calibri"/>
          <w:sz w:val="21"/>
          <w:szCs w:val="21"/>
          <w:b w:val="1"/>
          <w:bCs w:val="1"/>
          <w:color w:val="auto"/>
        </w:rPr>
        <w:t>RESTRICTED STOCK UNITS</w:t>
      </w:r>
    </w:p>
    <w:p>
      <w:pPr>
        <w:spacing w:after="0" w:line="255" w:lineRule="exact"/>
        <w:rPr>
          <w:sz w:val="20"/>
          <w:szCs w:val="20"/>
          <w:color w:val="auto"/>
        </w:rPr>
      </w:pPr>
    </w:p>
    <w:p>
      <w:pPr>
        <w:ind w:right="60" w:firstLine="647"/>
        <w:spacing w:after="0" w:line="229" w:lineRule="auto"/>
        <w:rPr>
          <w:sz w:val="20"/>
          <w:szCs w:val="20"/>
          <w:color w:val="auto"/>
        </w:rPr>
      </w:pPr>
      <w:r>
        <w:rPr>
          <w:rFonts w:ascii="Calibri" w:cs="Calibri" w:eastAsia="Calibri" w:hAnsi="Calibri"/>
          <w:sz w:val="22"/>
          <w:szCs w:val="22"/>
          <w:color w:val="auto"/>
        </w:rPr>
        <w:t xml:space="preserve">7.1 </w:t>
      </w:r>
      <w:r>
        <w:rPr>
          <w:rFonts w:ascii="Calibri" w:cs="Calibri" w:eastAsia="Calibri" w:hAnsi="Calibri"/>
          <w:sz w:val="22"/>
          <w:szCs w:val="22"/>
          <w:u w:val="single" w:color="auto"/>
          <w:color w:val="auto"/>
        </w:rPr>
        <w:t>Restricted Stock Units</w:t>
      </w:r>
      <w:r>
        <w:rPr>
          <w:rFonts w:ascii="Calibri" w:cs="Calibri" w:eastAsia="Calibri" w:hAnsi="Calibri"/>
          <w:sz w:val="22"/>
          <w:szCs w:val="22"/>
          <w:color w:val="auto"/>
        </w:rPr>
        <w:t>. The Commitee is authorized to grant Restricted Stock Units to Eligible Individuals in such amounts and subject to such terms and conditons not inconsistent with the Plan as the Commitee shall impose.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0980"/>
          </w:cols>
          <w:pgMar w:left="420" w:top="1356" w:right="499" w:bottom="1440" w:gutter="0" w:footer="0" w:header="0"/>
        </w:sectPr>
      </w:pPr>
    </w:p>
    <w:bookmarkStart w:id="62" w:name="page63"/>
    <w:bookmarkEnd w:id="62"/>
    <w:p>
      <w:pPr>
        <w:spacing w:after="0" w:line="211" w:lineRule="exact"/>
        <w:rPr>
          <w:sz w:val="20"/>
          <w:szCs w:val="20"/>
          <w:color w:val="auto"/>
        </w:rPr>
      </w:pPr>
    </w:p>
    <w:p>
      <w:pPr>
        <w:ind w:right="40" w:firstLine="647"/>
        <w:spacing w:after="0" w:line="229" w:lineRule="auto"/>
        <w:rPr>
          <w:sz w:val="20"/>
          <w:szCs w:val="20"/>
          <w:color w:val="auto"/>
        </w:rPr>
      </w:pPr>
      <w:r>
        <w:rPr>
          <w:rFonts w:ascii="Calibri" w:cs="Calibri" w:eastAsia="Calibri" w:hAnsi="Calibri"/>
          <w:sz w:val="22"/>
          <w:szCs w:val="22"/>
          <w:color w:val="auto"/>
        </w:rPr>
        <w:t xml:space="preserve">7.2 </w:t>
      </w:r>
      <w:r>
        <w:rPr>
          <w:rFonts w:ascii="Calibri" w:cs="Calibri" w:eastAsia="Calibri" w:hAnsi="Calibri"/>
          <w:sz w:val="22"/>
          <w:szCs w:val="22"/>
          <w:u w:val="single" w:color="auto"/>
          <w:color w:val="auto"/>
        </w:rPr>
        <w:t>Vestng Conditons</w:t>
      </w:r>
      <w:r>
        <w:rPr>
          <w:rFonts w:ascii="Calibri" w:cs="Calibri" w:eastAsia="Calibri" w:hAnsi="Calibri"/>
          <w:sz w:val="22"/>
          <w:szCs w:val="22"/>
          <w:color w:val="auto"/>
        </w:rPr>
        <w:t>. Subject to Secton 12.3, the Commitee shall specify the date or dates on which the Restricted Stock Units shall become fully vested and nonforfeitable, and may specify such conditons to vestng, if any, as it deems appropriate. The vestng conditons, if any, may be based on among other conditons, a Partcipant’s contnued Service, the atainment of performance conditons, or a combinaton of both.</w:t>
      </w:r>
    </w:p>
    <w:p>
      <w:pPr>
        <w:spacing w:after="0" w:line="258" w:lineRule="exact"/>
        <w:rPr>
          <w:sz w:val="20"/>
          <w:szCs w:val="20"/>
          <w:color w:val="auto"/>
        </w:rPr>
      </w:pPr>
    </w:p>
    <w:p>
      <w:pPr>
        <w:ind w:right="40" w:firstLine="647"/>
        <w:spacing w:after="0" w:line="231" w:lineRule="auto"/>
        <w:rPr>
          <w:sz w:val="20"/>
          <w:szCs w:val="20"/>
          <w:color w:val="auto"/>
        </w:rPr>
      </w:pPr>
      <w:r>
        <w:rPr>
          <w:rFonts w:ascii="Calibri" w:cs="Calibri" w:eastAsia="Calibri" w:hAnsi="Calibri"/>
          <w:sz w:val="22"/>
          <w:szCs w:val="22"/>
          <w:color w:val="auto"/>
        </w:rPr>
        <w:t xml:space="preserve">7.3 </w:t>
      </w:r>
      <w:r>
        <w:rPr>
          <w:rFonts w:ascii="Calibri" w:cs="Calibri" w:eastAsia="Calibri" w:hAnsi="Calibri"/>
          <w:sz w:val="22"/>
          <w:szCs w:val="22"/>
          <w:u w:val="single" w:color="auto"/>
          <w:color w:val="auto"/>
        </w:rPr>
        <w:t>Form and Timing of Payment</w:t>
      </w:r>
      <w:r>
        <w:rPr>
          <w:rFonts w:ascii="Calibri" w:cs="Calibri" w:eastAsia="Calibri" w:hAnsi="Calibri"/>
          <w:sz w:val="22"/>
          <w:szCs w:val="22"/>
          <w:color w:val="auto"/>
        </w:rPr>
        <w:t>. The Commitee shall specify the setlement date applicable to each grant of Restricted Stock Units, which date shall not be earlier than the date or dates on which the Restricted Stock Units shall become fully vested and nonforfeitable, or such setlement date may be deferred to any later date, subject to compliance with Secton 409A of the Code, as applicable. On the setlement date, the Company shall, subject to Secton 12.6(a) hereof and satsfacton of applicable Tax-Related Items (as further set forth in Secton 16.3 hereof), transfer to the Partcipant one Share for each Restricted Stock Unit scheduled to be paid out on such date and not previously forfeited. Alternatvely, setlement of a Restricted Stock Unit may be made in cash (in an amount refectng the Fair Market Value of the Shares that otherwise would have been issued) or any combinaton of cash and Shares, as determined by the Commitee, in its sole discreton, in either case, less applicable Tax-Related Items (as further set forth in Secton 16.3 hereof). Untl a Restricted Stock Unit is setled, the number of Restricted Stock Units shall be subject to adjustment pursuant to Artcle 13 hereof.</w:t>
      </w:r>
    </w:p>
    <w:p>
      <w:pPr>
        <w:spacing w:after="0" w:line="250" w:lineRule="exact"/>
        <w:rPr>
          <w:sz w:val="20"/>
          <w:szCs w:val="20"/>
          <w:color w:val="auto"/>
        </w:rPr>
      </w:pPr>
    </w:p>
    <w:p>
      <w:pPr>
        <w:ind w:right="40" w:firstLine="647"/>
        <w:spacing w:after="0" w:line="235" w:lineRule="auto"/>
        <w:rPr>
          <w:sz w:val="20"/>
          <w:szCs w:val="20"/>
          <w:color w:val="auto"/>
        </w:rPr>
      </w:pPr>
      <w:r>
        <w:rPr>
          <w:rFonts w:ascii="Calibri" w:cs="Calibri" w:eastAsia="Calibri" w:hAnsi="Calibri"/>
          <w:sz w:val="22"/>
          <w:szCs w:val="22"/>
          <w:color w:val="auto"/>
        </w:rPr>
        <w:t xml:space="preserve">7.4 </w:t>
      </w:r>
      <w:r>
        <w:rPr>
          <w:rFonts w:ascii="Calibri" w:cs="Calibri" w:eastAsia="Calibri" w:hAnsi="Calibri"/>
          <w:sz w:val="22"/>
          <w:szCs w:val="22"/>
          <w:u w:val="single" w:color="auto"/>
          <w:color w:val="auto"/>
        </w:rPr>
        <w:t>Forfeiture</w:t>
      </w:r>
      <w:r>
        <w:rPr>
          <w:rFonts w:ascii="Calibri" w:cs="Calibri" w:eastAsia="Calibri" w:hAnsi="Calibri"/>
          <w:sz w:val="22"/>
          <w:szCs w:val="22"/>
          <w:color w:val="auto"/>
        </w:rPr>
        <w:t>. Except as otherwise determined by the Commitee at the tme of the grant of the Award or thereafer, any Restricted Stock Units that are not vested as of the date of the Partcipant’s terminaton of Service shall be forfeited.</w:t>
      </w:r>
    </w:p>
    <w:p>
      <w:pPr>
        <w:spacing w:after="0" w:line="244" w:lineRule="exact"/>
        <w:rPr>
          <w:sz w:val="20"/>
          <w:szCs w:val="20"/>
          <w:color w:val="auto"/>
        </w:rPr>
      </w:pPr>
    </w:p>
    <w:p>
      <w:pPr>
        <w:ind w:right="400" w:firstLine="647"/>
        <w:spacing w:after="0" w:line="232" w:lineRule="auto"/>
        <w:rPr>
          <w:sz w:val="20"/>
          <w:szCs w:val="20"/>
          <w:color w:val="auto"/>
        </w:rPr>
      </w:pPr>
      <w:r>
        <w:rPr>
          <w:rFonts w:ascii="Calibri" w:cs="Calibri" w:eastAsia="Calibri" w:hAnsi="Calibri"/>
          <w:sz w:val="22"/>
          <w:szCs w:val="22"/>
          <w:color w:val="auto"/>
        </w:rPr>
        <w:t xml:space="preserve">7.5 </w:t>
      </w:r>
      <w:r>
        <w:rPr>
          <w:rFonts w:ascii="Calibri" w:cs="Calibri" w:eastAsia="Calibri" w:hAnsi="Calibri"/>
          <w:sz w:val="22"/>
          <w:szCs w:val="22"/>
          <w:u w:val="single" w:color="auto"/>
          <w:color w:val="auto"/>
        </w:rPr>
        <w:t>General Creditors</w:t>
      </w:r>
      <w:r>
        <w:rPr>
          <w:rFonts w:ascii="Calibri" w:cs="Calibri" w:eastAsia="Calibri" w:hAnsi="Calibri"/>
          <w:sz w:val="22"/>
          <w:szCs w:val="22"/>
          <w:color w:val="auto"/>
        </w:rPr>
        <w:t>. A Partcipant who has been granted Restricted Stock Units shall have no rights other than those of a general creditor of the Company. Restricted Stock Units represent an unfunded and unsecured obligaton of the Company, subject to the terms and conditons of the applicable Award Agreement evidencing the grant of the Restricted Stock Units.</w:t>
      </w:r>
    </w:p>
    <w:p>
      <w:pPr>
        <w:spacing w:after="0" w:line="247"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8.</w:t>
      </w:r>
      <w:r>
        <w:rPr>
          <w:sz w:val="20"/>
          <w:szCs w:val="20"/>
          <w:color w:val="auto"/>
        </w:rPr>
        <w:tab/>
      </w:r>
      <w:r>
        <w:rPr>
          <w:rFonts w:ascii="Calibri" w:cs="Calibri" w:eastAsia="Calibri" w:hAnsi="Calibri"/>
          <w:sz w:val="21"/>
          <w:szCs w:val="21"/>
          <w:b w:val="1"/>
          <w:bCs w:val="1"/>
          <w:color w:val="auto"/>
        </w:rPr>
        <w:t>RESTRICTED STOCK AWARDS</w:t>
      </w:r>
    </w:p>
    <w:p>
      <w:pPr>
        <w:spacing w:after="0" w:line="241" w:lineRule="exact"/>
        <w:rPr>
          <w:sz w:val="20"/>
          <w:szCs w:val="20"/>
          <w:color w:val="auto"/>
        </w:rPr>
      </w:pPr>
    </w:p>
    <w:p>
      <w:pPr>
        <w:ind w:firstLine="647"/>
        <w:spacing w:after="0" w:line="233" w:lineRule="auto"/>
        <w:rPr>
          <w:sz w:val="20"/>
          <w:szCs w:val="20"/>
          <w:color w:val="auto"/>
        </w:rPr>
      </w:pPr>
      <w:r>
        <w:rPr>
          <w:rFonts w:ascii="Calibri" w:cs="Calibri" w:eastAsia="Calibri" w:hAnsi="Calibri"/>
          <w:sz w:val="22"/>
          <w:szCs w:val="22"/>
          <w:color w:val="auto"/>
        </w:rPr>
        <w:t xml:space="preserve">8.1 </w:t>
      </w:r>
      <w:r>
        <w:rPr>
          <w:rFonts w:ascii="Calibri" w:cs="Calibri" w:eastAsia="Calibri" w:hAnsi="Calibri"/>
          <w:sz w:val="22"/>
          <w:szCs w:val="22"/>
          <w:u w:val="single" w:color="auto"/>
          <w:color w:val="auto"/>
        </w:rPr>
        <w:t>Grant of Restricted Stock</w:t>
      </w:r>
      <w:r>
        <w:rPr>
          <w:rFonts w:ascii="Calibri" w:cs="Calibri" w:eastAsia="Calibri" w:hAnsi="Calibri"/>
          <w:sz w:val="22"/>
          <w:szCs w:val="22"/>
          <w:color w:val="auto"/>
        </w:rPr>
        <w:t>. The Commitee is authorized to grant Restricted Stock to Eligible Individuals selected by the Commitee in such amounts and subject to such terms and conditons not inconsistent with the Plan as the Commitee shall impose.</w:t>
      </w:r>
    </w:p>
    <w:p>
      <w:pPr>
        <w:spacing w:after="0" w:line="257" w:lineRule="exact"/>
        <w:rPr>
          <w:sz w:val="20"/>
          <w:szCs w:val="20"/>
          <w:color w:val="auto"/>
        </w:rPr>
      </w:pPr>
    </w:p>
    <w:p>
      <w:pPr>
        <w:ind w:right="40" w:firstLine="647"/>
        <w:spacing w:after="0" w:line="229" w:lineRule="auto"/>
        <w:rPr>
          <w:sz w:val="20"/>
          <w:szCs w:val="20"/>
          <w:color w:val="auto"/>
        </w:rPr>
      </w:pPr>
      <w:r>
        <w:rPr>
          <w:rFonts w:ascii="Calibri" w:cs="Calibri" w:eastAsia="Calibri" w:hAnsi="Calibri"/>
          <w:sz w:val="22"/>
          <w:szCs w:val="22"/>
          <w:color w:val="auto"/>
        </w:rPr>
        <w:t xml:space="preserve">8.2 </w:t>
      </w:r>
      <w:r>
        <w:rPr>
          <w:rFonts w:ascii="Calibri" w:cs="Calibri" w:eastAsia="Calibri" w:hAnsi="Calibri"/>
          <w:sz w:val="22"/>
          <w:szCs w:val="22"/>
          <w:u w:val="single" w:color="auto"/>
          <w:color w:val="auto"/>
        </w:rPr>
        <w:t>Purchase Price</w:t>
      </w:r>
      <w:r>
        <w:rPr>
          <w:rFonts w:ascii="Calibri" w:cs="Calibri" w:eastAsia="Calibri" w:hAnsi="Calibri"/>
          <w:sz w:val="22"/>
          <w:szCs w:val="22"/>
          <w:color w:val="auto"/>
        </w:rPr>
        <w:t>. At the tme of the grant of Restricted Stock, the Commitee shall determine the price, if any, to be paid by the Partcipant for each Share subject to the Award. The purchase price of Shares acquired pursuant to the Award shall be paid either: (i) in cash at the tme of purchase; (ii) at the sole discreton of the Commitee, by Service rendered or to be rendered to the Company or an Afliate; or (iii) in any other form of legal consideraton that may be acceptable to the Commitee in its sole discreton and in compliance with Applicable Laws.</w:t>
      </w:r>
    </w:p>
    <w:p>
      <w:pPr>
        <w:spacing w:after="0" w:line="258" w:lineRule="exact"/>
        <w:rPr>
          <w:sz w:val="20"/>
          <w:szCs w:val="20"/>
          <w:color w:val="auto"/>
        </w:rPr>
      </w:pPr>
    </w:p>
    <w:p>
      <w:pPr>
        <w:ind w:right="180" w:firstLine="647"/>
        <w:spacing w:after="0" w:line="229" w:lineRule="auto"/>
        <w:rPr>
          <w:sz w:val="20"/>
          <w:szCs w:val="20"/>
          <w:color w:val="auto"/>
        </w:rPr>
      </w:pPr>
      <w:r>
        <w:rPr>
          <w:rFonts w:ascii="Calibri" w:cs="Calibri" w:eastAsia="Calibri" w:hAnsi="Calibri"/>
          <w:sz w:val="22"/>
          <w:szCs w:val="22"/>
          <w:color w:val="auto"/>
        </w:rPr>
        <w:t xml:space="preserve">8.3 </w:t>
      </w:r>
      <w:r>
        <w:rPr>
          <w:rFonts w:ascii="Calibri" w:cs="Calibri" w:eastAsia="Calibri" w:hAnsi="Calibri"/>
          <w:sz w:val="22"/>
          <w:szCs w:val="22"/>
          <w:u w:val="single" w:color="auto"/>
          <w:color w:val="auto"/>
        </w:rPr>
        <w:t>Issuance and Restrictons</w:t>
      </w:r>
      <w:r>
        <w:rPr>
          <w:rFonts w:ascii="Calibri" w:cs="Calibri" w:eastAsia="Calibri" w:hAnsi="Calibri"/>
          <w:sz w:val="22"/>
          <w:szCs w:val="22"/>
          <w:color w:val="auto"/>
        </w:rPr>
        <w:t>. Subject to Secton 12.3 hereof, Restricted Stock shall be subject to such restrictons, if any, on transferability and other restrictons as the Commitee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060"/>
          </w:cols>
          <w:pgMar w:left="420" w:top="1440" w:right="419" w:bottom="1440" w:gutter="0" w:footer="0" w:header="0"/>
        </w:sectPr>
      </w:pPr>
    </w:p>
    <w:bookmarkStart w:id="63" w:name="page64"/>
    <w:bookmarkEnd w:id="63"/>
    <w:p>
      <w:pPr>
        <w:ind w:right="20"/>
        <w:spacing w:after="0" w:line="231" w:lineRule="auto"/>
        <w:rPr>
          <w:sz w:val="20"/>
          <w:szCs w:val="20"/>
          <w:color w:val="auto"/>
        </w:rPr>
      </w:pPr>
      <w:r>
        <w:rPr>
          <w:rFonts w:ascii="Calibri" w:cs="Calibri" w:eastAsia="Calibri" w:hAnsi="Calibri"/>
          <w:sz w:val="22"/>
          <w:szCs w:val="22"/>
          <w:color w:val="auto"/>
        </w:rPr>
        <w:t>may impose (including, without limitaton, limitatons on the right to vote Restricted Stock or the right to receive dividends on the Restricted Stock). The restrictons, if any, may be based on, among other conditons, a Partcipant’s contnued Service, the atainment of performance conditons, or a combinaton of both. These restrictons, if any, may lapse separately or in combinaton at such tmes, pursuant to such circumstances, in such installments, or otherwise, as the Commitee determines at the tme of the grant of the Award or thereafer.</w:t>
      </w:r>
    </w:p>
    <w:p>
      <w:pPr>
        <w:spacing w:after="0" w:line="260" w:lineRule="exact"/>
        <w:rPr>
          <w:sz w:val="20"/>
          <w:szCs w:val="20"/>
          <w:color w:val="auto"/>
        </w:rPr>
      </w:pPr>
    </w:p>
    <w:p>
      <w:pPr>
        <w:ind w:right="920" w:firstLine="647"/>
        <w:spacing w:after="0" w:line="229" w:lineRule="auto"/>
        <w:rPr>
          <w:sz w:val="20"/>
          <w:szCs w:val="20"/>
          <w:color w:val="auto"/>
        </w:rPr>
      </w:pPr>
      <w:r>
        <w:rPr>
          <w:rFonts w:ascii="Calibri" w:cs="Calibri" w:eastAsia="Calibri" w:hAnsi="Calibri"/>
          <w:sz w:val="22"/>
          <w:szCs w:val="22"/>
          <w:color w:val="auto"/>
        </w:rPr>
        <w:t xml:space="preserve">8.4 </w:t>
      </w:r>
      <w:r>
        <w:rPr>
          <w:rFonts w:ascii="Calibri" w:cs="Calibri" w:eastAsia="Calibri" w:hAnsi="Calibri"/>
          <w:sz w:val="22"/>
          <w:szCs w:val="22"/>
          <w:u w:val="single" w:color="auto"/>
          <w:color w:val="auto"/>
        </w:rPr>
        <w:t>Dividends</w:t>
      </w:r>
      <w:r>
        <w:rPr>
          <w:rFonts w:ascii="Calibri" w:cs="Calibri" w:eastAsia="Calibri" w:hAnsi="Calibri"/>
          <w:sz w:val="22"/>
          <w:szCs w:val="22"/>
          <w:color w:val="auto"/>
        </w:rPr>
        <w:t>. Any dividends that are distributed with respect to Shares of Restricted Stock shall be paid in accordance with the applicable Award Agreement, subject to the provisions of Secton 12.4(b).</w:t>
      </w:r>
    </w:p>
    <w:p>
      <w:pPr>
        <w:spacing w:after="0" w:line="257" w:lineRule="exact"/>
        <w:rPr>
          <w:sz w:val="20"/>
          <w:szCs w:val="20"/>
          <w:color w:val="auto"/>
        </w:rPr>
      </w:pPr>
    </w:p>
    <w:p>
      <w:pPr>
        <w:ind w:firstLine="647"/>
        <w:spacing w:after="0" w:line="229" w:lineRule="auto"/>
        <w:rPr>
          <w:sz w:val="20"/>
          <w:szCs w:val="20"/>
          <w:color w:val="auto"/>
        </w:rPr>
      </w:pPr>
      <w:r>
        <w:rPr>
          <w:rFonts w:ascii="Calibri" w:cs="Calibri" w:eastAsia="Calibri" w:hAnsi="Calibri"/>
          <w:sz w:val="22"/>
          <w:szCs w:val="22"/>
          <w:color w:val="auto"/>
        </w:rPr>
        <w:t xml:space="preserve">8.5 </w:t>
      </w:r>
      <w:r>
        <w:rPr>
          <w:rFonts w:ascii="Calibri" w:cs="Calibri" w:eastAsia="Calibri" w:hAnsi="Calibri"/>
          <w:sz w:val="22"/>
          <w:szCs w:val="22"/>
          <w:u w:val="single" w:color="auto"/>
          <w:color w:val="auto"/>
        </w:rPr>
        <w:t>Forfeiture</w:t>
      </w:r>
      <w:r>
        <w:rPr>
          <w:rFonts w:ascii="Calibri" w:cs="Calibri" w:eastAsia="Calibri" w:hAnsi="Calibri"/>
          <w:sz w:val="22"/>
          <w:szCs w:val="22"/>
          <w:color w:val="auto"/>
        </w:rPr>
        <w:t>. Except as otherwise determined by the Commitee at the tme of the grant of the Award or thereafer, upon terminaton of Service during the applicable restricton period, Restricted Stock that is at that tme subject to restrictons shall be forfeited.</w:t>
      </w:r>
    </w:p>
    <w:p>
      <w:pPr>
        <w:spacing w:after="0" w:line="257" w:lineRule="exact"/>
        <w:rPr>
          <w:sz w:val="20"/>
          <w:szCs w:val="20"/>
          <w:color w:val="auto"/>
        </w:rPr>
      </w:pPr>
    </w:p>
    <w:p>
      <w:pPr>
        <w:ind w:right="60" w:firstLine="647"/>
        <w:spacing w:after="0" w:line="231" w:lineRule="auto"/>
        <w:rPr>
          <w:sz w:val="20"/>
          <w:szCs w:val="20"/>
          <w:color w:val="auto"/>
        </w:rPr>
      </w:pPr>
      <w:r>
        <w:rPr>
          <w:rFonts w:ascii="Calibri" w:cs="Calibri" w:eastAsia="Calibri" w:hAnsi="Calibri"/>
          <w:sz w:val="22"/>
          <w:szCs w:val="22"/>
          <w:color w:val="auto"/>
        </w:rPr>
        <w:t xml:space="preserve">8.6 </w:t>
      </w:r>
      <w:r>
        <w:rPr>
          <w:rFonts w:ascii="Calibri" w:cs="Calibri" w:eastAsia="Calibri" w:hAnsi="Calibri"/>
          <w:sz w:val="22"/>
          <w:szCs w:val="22"/>
          <w:u w:val="single" w:color="auto"/>
          <w:color w:val="auto"/>
        </w:rPr>
        <w:t>Certfcates for Restricted Stock</w:t>
      </w:r>
      <w:r>
        <w:rPr>
          <w:rFonts w:ascii="Calibri" w:cs="Calibri" w:eastAsia="Calibri" w:hAnsi="Calibri"/>
          <w:sz w:val="22"/>
          <w:szCs w:val="22"/>
          <w:color w:val="auto"/>
        </w:rPr>
        <w:t>. Restricted Stock granted pursuant to the Plan may be evidenced in such manner as the Commitee shall determine. If certfcates representng shares of Restricted Stock are registered in the name of the Partcipant, certfcates shall bear an appropriate legend referring to the terms, conditons, and restrictons applicable to such Restricted Stock, and the Company may, at its discreton, retain physical possession of the certfcate untl such tme as all applicable restrictons lapse.</w:t>
      </w:r>
    </w:p>
    <w:p>
      <w:pPr>
        <w:spacing w:after="0" w:line="236"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2"/>
          <w:szCs w:val="22"/>
          <w:b w:val="1"/>
          <w:bCs w:val="1"/>
          <w:color w:val="auto"/>
        </w:rPr>
        <w:t>ARTICLE 9.</w:t>
      </w:r>
      <w:r>
        <w:rPr>
          <w:sz w:val="20"/>
          <w:szCs w:val="20"/>
          <w:color w:val="auto"/>
        </w:rPr>
        <w:tab/>
      </w:r>
      <w:r>
        <w:rPr>
          <w:rFonts w:ascii="Calibri" w:cs="Calibri" w:eastAsia="Calibri" w:hAnsi="Calibri"/>
          <w:sz w:val="21"/>
          <w:szCs w:val="21"/>
          <w:b w:val="1"/>
          <w:bCs w:val="1"/>
          <w:color w:val="auto"/>
        </w:rPr>
        <w:t>STOCK APPRECIATION RIGHTS</w:t>
      </w:r>
    </w:p>
    <w:p>
      <w:pPr>
        <w:spacing w:after="0" w:line="255" w:lineRule="exact"/>
        <w:rPr>
          <w:sz w:val="20"/>
          <w:szCs w:val="20"/>
          <w:color w:val="auto"/>
        </w:rPr>
      </w:pPr>
    </w:p>
    <w:p>
      <w:pPr>
        <w:ind w:right="540" w:firstLine="647"/>
        <w:spacing w:after="0" w:line="229" w:lineRule="auto"/>
        <w:rPr>
          <w:sz w:val="20"/>
          <w:szCs w:val="20"/>
          <w:color w:val="auto"/>
        </w:rPr>
      </w:pPr>
      <w:r>
        <w:rPr>
          <w:rFonts w:ascii="Calibri" w:cs="Calibri" w:eastAsia="Calibri" w:hAnsi="Calibri"/>
          <w:sz w:val="22"/>
          <w:szCs w:val="22"/>
          <w:color w:val="auto"/>
        </w:rPr>
        <w:t xml:space="preserve">9.1 </w:t>
      </w:r>
      <w:r>
        <w:rPr>
          <w:rFonts w:ascii="Calibri" w:cs="Calibri" w:eastAsia="Calibri" w:hAnsi="Calibri"/>
          <w:sz w:val="22"/>
          <w:szCs w:val="22"/>
          <w:u w:val="single" w:color="auto"/>
          <w:color w:val="auto"/>
        </w:rPr>
        <w:t>Grant of Stock Appreciaton Rights</w:t>
      </w:r>
      <w:r>
        <w:rPr>
          <w:rFonts w:ascii="Calibri" w:cs="Calibri" w:eastAsia="Calibri" w:hAnsi="Calibri"/>
          <w:sz w:val="22"/>
          <w:szCs w:val="22"/>
          <w:color w:val="auto"/>
        </w:rPr>
        <w:t>. The Commitee is authorized to grant SARs to Eligible Individuals on the following terms and conditons, and the Commitee may specify such additonal terms and conditons as:</w:t>
      </w:r>
    </w:p>
    <w:p>
      <w:pPr>
        <w:spacing w:after="0" w:line="257" w:lineRule="exact"/>
        <w:rPr>
          <w:sz w:val="20"/>
          <w:szCs w:val="20"/>
          <w:color w:val="auto"/>
        </w:rPr>
      </w:pPr>
    </w:p>
    <w:p>
      <w:pPr>
        <w:ind w:left="160" w:right="120" w:firstLine="1133"/>
        <w:spacing w:after="0" w:line="229" w:lineRule="auto"/>
        <w:tabs>
          <w:tab w:leader="none" w:pos="1723" w:val="left"/>
        </w:tabs>
        <w:numPr>
          <w:ilvl w:val="0"/>
          <w:numId w:val="25"/>
        </w:numPr>
        <w:rPr>
          <w:rFonts w:ascii="Calibri" w:cs="Calibri" w:eastAsia="Calibri" w:hAnsi="Calibri"/>
          <w:sz w:val="22"/>
          <w:szCs w:val="22"/>
          <w:color w:val="auto"/>
        </w:rPr>
      </w:pPr>
      <w:r>
        <w:rPr>
          <w:rFonts w:ascii="Calibri" w:cs="Calibri" w:eastAsia="Calibri" w:hAnsi="Calibri"/>
          <w:sz w:val="22"/>
          <w:szCs w:val="22"/>
          <w:u w:val="single" w:color="auto"/>
          <w:color w:val="auto"/>
        </w:rPr>
        <w:t>Exercise Price</w:t>
      </w:r>
      <w:r>
        <w:rPr>
          <w:rFonts w:ascii="Calibri" w:cs="Calibri" w:eastAsia="Calibri" w:hAnsi="Calibri"/>
          <w:sz w:val="22"/>
          <w:szCs w:val="22"/>
          <w:color w:val="auto"/>
        </w:rPr>
        <w:t xml:space="preserve">. The exercise price per Share subject to a SAR shall be determined by the Commitee and set forth in the Award Agreement;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the exercise price per Share for any SAR shall not be less than 100% of the Fair Market Value of a Share on the date of grant.</w:t>
      </w:r>
    </w:p>
    <w:p>
      <w:pPr>
        <w:spacing w:after="0" w:line="257" w:lineRule="exact"/>
        <w:rPr>
          <w:rFonts w:ascii="Calibri" w:cs="Calibri" w:eastAsia="Calibri" w:hAnsi="Calibri"/>
          <w:sz w:val="22"/>
          <w:szCs w:val="22"/>
          <w:color w:val="auto"/>
        </w:rPr>
      </w:pPr>
    </w:p>
    <w:p>
      <w:pPr>
        <w:ind w:left="160" w:right="40" w:firstLine="1133"/>
        <w:spacing w:after="0" w:line="231" w:lineRule="auto"/>
        <w:tabs>
          <w:tab w:leader="none" w:pos="1733" w:val="left"/>
        </w:tabs>
        <w:numPr>
          <w:ilvl w:val="0"/>
          <w:numId w:val="25"/>
        </w:numPr>
        <w:rPr>
          <w:rFonts w:ascii="Calibri" w:cs="Calibri" w:eastAsia="Calibri" w:hAnsi="Calibri"/>
          <w:sz w:val="22"/>
          <w:szCs w:val="22"/>
          <w:color w:val="auto"/>
        </w:rPr>
      </w:pPr>
      <w:r>
        <w:rPr>
          <w:rFonts w:ascii="Calibri" w:cs="Calibri" w:eastAsia="Calibri" w:hAnsi="Calibri"/>
          <w:sz w:val="22"/>
          <w:szCs w:val="22"/>
          <w:u w:val="single" w:color="auto"/>
          <w:color w:val="auto"/>
        </w:rPr>
        <w:t>Time and Conditons of Exercise</w:t>
      </w:r>
      <w:r>
        <w:rPr>
          <w:rFonts w:ascii="Calibri" w:cs="Calibri" w:eastAsia="Calibri" w:hAnsi="Calibri"/>
          <w:sz w:val="22"/>
          <w:szCs w:val="22"/>
          <w:color w:val="auto"/>
        </w:rPr>
        <w:t xml:space="preserve">. The Commitee shall determine the tme or tmes at which a SAR may be exercised in whole or in part;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the term of any SAR granted under the Plan shall not exceed ten (10) years. Subject to Secton 12.3, the Commitee also shall specify the vestng conditons, if any, as it deems appropriate that must be satsfed before all or part of a SAR may be exercised. The vestng conditons, if any, may be based on, among other conditons, a Partcipant’s contnued Service, the atainment of performance conditons, or a combinaton of both.</w:t>
      </w:r>
    </w:p>
    <w:p>
      <w:pPr>
        <w:spacing w:after="0" w:line="246" w:lineRule="exact"/>
        <w:rPr>
          <w:rFonts w:ascii="Calibri" w:cs="Calibri" w:eastAsia="Calibri" w:hAnsi="Calibri"/>
          <w:sz w:val="22"/>
          <w:szCs w:val="22"/>
          <w:color w:val="auto"/>
        </w:rPr>
      </w:pPr>
    </w:p>
    <w:p>
      <w:pPr>
        <w:ind w:left="160" w:right="40" w:firstLine="1133"/>
        <w:spacing w:after="0" w:line="233" w:lineRule="auto"/>
        <w:tabs>
          <w:tab w:leader="none" w:pos="1711" w:val="left"/>
        </w:tabs>
        <w:numPr>
          <w:ilvl w:val="0"/>
          <w:numId w:val="25"/>
        </w:numPr>
        <w:rPr>
          <w:rFonts w:ascii="Calibri" w:cs="Calibri" w:eastAsia="Calibri" w:hAnsi="Calibri"/>
          <w:sz w:val="22"/>
          <w:szCs w:val="22"/>
          <w:color w:val="auto"/>
        </w:rPr>
      </w:pPr>
      <w:r>
        <w:rPr>
          <w:rFonts w:ascii="Calibri" w:cs="Calibri" w:eastAsia="Calibri" w:hAnsi="Calibri"/>
          <w:sz w:val="22"/>
          <w:szCs w:val="22"/>
          <w:color w:val="auto"/>
        </w:rPr>
        <w:t>Unless otherwise authorized pursuant to Secton 16.10, a SAR may not be exercised for a Fractonal Share. A SAR shall be deemed exercised when the Company receives a notce of exercise (in such form as the Commitee may specify from tme to tme) from the person enttled to exercise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020"/>
          </w:cols>
          <w:pgMar w:left="420" w:top="1367" w:right="459" w:bottom="1440" w:gutter="0" w:footer="0" w:header="0"/>
        </w:sectPr>
      </w:pPr>
    </w:p>
    <w:bookmarkStart w:id="64" w:name="page65"/>
    <w:bookmarkEnd w:id="64"/>
    <w:p>
      <w:pPr>
        <w:ind w:right="40" w:firstLine="647"/>
        <w:spacing w:after="0" w:line="226" w:lineRule="auto"/>
        <w:rPr>
          <w:sz w:val="20"/>
          <w:szCs w:val="20"/>
          <w:color w:val="auto"/>
        </w:rPr>
      </w:pPr>
      <w:r>
        <w:rPr>
          <w:rFonts w:ascii="Calibri" w:cs="Calibri" w:eastAsia="Calibri" w:hAnsi="Calibri"/>
          <w:sz w:val="22"/>
          <w:szCs w:val="22"/>
          <w:color w:val="auto"/>
        </w:rPr>
        <w:t xml:space="preserve">9.2 </w:t>
      </w:r>
      <w:r>
        <w:rPr>
          <w:rFonts w:ascii="Calibri" w:cs="Calibri" w:eastAsia="Calibri" w:hAnsi="Calibri"/>
          <w:sz w:val="22"/>
          <w:szCs w:val="22"/>
          <w:u w:val="single" w:color="auto"/>
          <w:color w:val="auto"/>
        </w:rPr>
        <w:t>Tandem Stock Appreciaton Rights</w:t>
      </w:r>
      <w:r>
        <w:rPr>
          <w:rFonts w:ascii="Calibri" w:cs="Calibri" w:eastAsia="Calibri" w:hAnsi="Calibri"/>
          <w:sz w:val="22"/>
          <w:szCs w:val="22"/>
          <w:b w:val="1"/>
          <w:bCs w:val="1"/>
          <w:color w:val="auto"/>
        </w:rPr>
        <w:t>.</w:t>
      </w:r>
      <w:r>
        <w:rPr>
          <w:rFonts w:ascii="Calibri" w:cs="Calibri" w:eastAsia="Calibri" w:hAnsi="Calibri"/>
          <w:sz w:val="22"/>
          <w:szCs w:val="22"/>
          <w:color w:val="auto"/>
        </w:rPr>
        <w:t xml:space="preserve"> A SAR may be granted in connecton with an Opton, either at the tme of grant or at any tme thereafer during the term of the Opton. A SAR granted in connecton with an Opton will enttle the holder, upon exercise, to surrender the Opton or any porton thereof to the extent unexercised, with respect to the number of Shares as to which such SAR is exercised, and to receive payment of an amount computed as described in Secton 9.3. The Opton shall, to the extent and when surrendered, cease to be exercisable. A SAR granted in connecton with an Opton hereunder will have an exercise price per share equal to the per share exercise price of the Opton, will be exercisable at such tme or tmes, and only to the extent, that the related Opton is exercisable, and will expire no later than the related Opton expires. If a related Opton is exercised in whole or in part, then the SAR related to the Shares purchased terminates as of the date of such exercise.</w:t>
      </w:r>
    </w:p>
    <w:p>
      <w:pPr>
        <w:spacing w:after="0" w:line="238" w:lineRule="exact"/>
        <w:rPr>
          <w:sz w:val="20"/>
          <w:szCs w:val="20"/>
          <w:color w:val="auto"/>
        </w:rPr>
      </w:pPr>
    </w:p>
    <w:p>
      <w:pPr>
        <w:ind w:left="640"/>
        <w:spacing w:after="0"/>
        <w:tabs>
          <w:tab w:leader="none" w:pos="1100" w:val="left"/>
        </w:tabs>
        <w:rPr>
          <w:sz w:val="20"/>
          <w:szCs w:val="20"/>
          <w:color w:val="auto"/>
        </w:rPr>
      </w:pPr>
      <w:r>
        <w:rPr>
          <w:rFonts w:ascii="Calibri" w:cs="Calibri" w:eastAsia="Calibri" w:hAnsi="Calibri"/>
          <w:sz w:val="22"/>
          <w:szCs w:val="22"/>
          <w:color w:val="auto"/>
        </w:rPr>
        <w:t>9.3</w:t>
      </w:r>
      <w:r>
        <w:rPr>
          <w:sz w:val="20"/>
          <w:szCs w:val="20"/>
          <w:color w:val="auto"/>
        </w:rPr>
        <w:tab/>
      </w:r>
      <w:r>
        <w:rPr>
          <w:rFonts w:ascii="Calibri" w:cs="Calibri" w:eastAsia="Calibri" w:hAnsi="Calibri"/>
          <w:sz w:val="21"/>
          <w:szCs w:val="21"/>
          <w:u w:val="single" w:color="auto"/>
          <w:color w:val="auto"/>
        </w:rPr>
        <w:t>Payment and Limitatons on Exercise</w:t>
      </w:r>
      <w:r>
        <w:rPr>
          <w:rFonts w:ascii="Calibri" w:cs="Calibri" w:eastAsia="Calibri" w:hAnsi="Calibri"/>
          <w:sz w:val="21"/>
          <w:szCs w:val="21"/>
          <w:color w:val="auto"/>
        </w:rPr>
        <w:t>.</w:t>
      </w:r>
    </w:p>
    <w:p>
      <w:pPr>
        <w:spacing w:after="0" w:line="296" w:lineRule="exact"/>
        <w:rPr>
          <w:sz w:val="20"/>
          <w:szCs w:val="20"/>
          <w:color w:val="auto"/>
        </w:rPr>
      </w:pPr>
    </w:p>
    <w:p>
      <w:pPr>
        <w:jc w:val="both"/>
        <w:ind w:left="160" w:right="140" w:firstLine="1133"/>
        <w:spacing w:after="0" w:line="231" w:lineRule="auto"/>
        <w:tabs>
          <w:tab w:leader="none" w:pos="1723" w:val="left"/>
        </w:tabs>
        <w:numPr>
          <w:ilvl w:val="0"/>
          <w:numId w:val="26"/>
        </w:numPr>
        <w:rPr>
          <w:rFonts w:ascii="Calibri" w:cs="Calibri" w:eastAsia="Calibri" w:hAnsi="Calibri"/>
          <w:sz w:val="22"/>
          <w:szCs w:val="22"/>
          <w:color w:val="auto"/>
        </w:rPr>
      </w:pPr>
      <w:r>
        <w:rPr>
          <w:rFonts w:ascii="Calibri" w:cs="Calibri" w:eastAsia="Calibri" w:hAnsi="Calibri"/>
          <w:sz w:val="22"/>
          <w:szCs w:val="22"/>
          <w:color w:val="auto"/>
        </w:rPr>
        <w:t>A SAR shall enttle the Partcipant (or other person enttled to exercise the SAR pursuant to the Plan) to exercise all or a specifed porton of the SAR (to the extent then exercisable pursuant to its terms) and to receive from the Company an amount equal to the excess of the aggregate Fair Market Value of the Shares on the date the SAR is exercised over the aggregate exercise price of the SAR, less applicable Tax-Related Items (as further set forth in Secton 16.3 hereof), subject to any limitatons the Commitee may impose.</w:t>
      </w:r>
    </w:p>
    <w:p>
      <w:pPr>
        <w:spacing w:after="0" w:line="260" w:lineRule="exact"/>
        <w:rPr>
          <w:rFonts w:ascii="Calibri" w:cs="Calibri" w:eastAsia="Calibri" w:hAnsi="Calibri"/>
          <w:sz w:val="22"/>
          <w:szCs w:val="22"/>
          <w:color w:val="auto"/>
        </w:rPr>
      </w:pPr>
    </w:p>
    <w:p>
      <w:pPr>
        <w:ind w:left="160" w:firstLine="1133"/>
        <w:spacing w:after="0" w:line="241" w:lineRule="auto"/>
        <w:tabs>
          <w:tab w:leader="none" w:pos="1733" w:val="left"/>
        </w:tabs>
        <w:numPr>
          <w:ilvl w:val="0"/>
          <w:numId w:val="26"/>
        </w:numPr>
        <w:rPr>
          <w:rFonts w:ascii="Calibri" w:cs="Calibri" w:eastAsia="Calibri" w:hAnsi="Calibri"/>
          <w:sz w:val="21"/>
          <w:szCs w:val="21"/>
          <w:color w:val="auto"/>
        </w:rPr>
      </w:pPr>
      <w:r>
        <w:rPr>
          <w:rFonts w:ascii="Calibri" w:cs="Calibri" w:eastAsia="Calibri" w:hAnsi="Calibri"/>
          <w:sz w:val="21"/>
          <w:szCs w:val="21"/>
          <w:color w:val="auto"/>
        </w:rPr>
        <w:t>Payment of the amounts determined under Secton 9.3(a) hereof shall be in cash, in Shares (based on the Fair Market Value of the Shares as of the date the SAR is exercised) or a combinaton of both, as determined by the Commitee in the Award Agreement. To the extent Shares are issued upon exercise of a SAR, the Shares shall be issued in the name of the Partcipant. Untl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 The Company shall issue (or cause to be issued) such Shares promptly afer the SAR is exercised. No adjustment shall be made for a dividend or other right for which the record date is prior to the date the Shares are issued, except as provided in Secton 13.1 of the Plan. The provisions of Secton 6.1(d)(ii) regarding the treatment of a terminaton of the Partcipant’s Service shall also apply to SARs.</w:t>
      </w:r>
    </w:p>
    <w:p>
      <w:pPr>
        <w:spacing w:after="0" w:line="250" w:lineRule="exact"/>
        <w:rPr>
          <w:sz w:val="20"/>
          <w:szCs w:val="20"/>
          <w:color w:val="auto"/>
        </w:rPr>
      </w:pPr>
    </w:p>
    <w:p>
      <w:pPr>
        <w:spacing w:after="0"/>
        <w:tabs>
          <w:tab w:leader="none" w:pos="1220" w:val="left"/>
        </w:tabs>
        <w:rPr>
          <w:sz w:val="20"/>
          <w:szCs w:val="20"/>
          <w:color w:val="auto"/>
        </w:rPr>
      </w:pPr>
      <w:r>
        <w:rPr>
          <w:rFonts w:ascii="Calibri" w:cs="Calibri" w:eastAsia="Calibri" w:hAnsi="Calibri"/>
          <w:sz w:val="22"/>
          <w:szCs w:val="22"/>
          <w:b w:val="1"/>
          <w:bCs w:val="1"/>
          <w:color w:val="auto"/>
        </w:rPr>
        <w:t>ARTICLE 10.</w:t>
      </w:r>
      <w:r>
        <w:rPr>
          <w:sz w:val="20"/>
          <w:szCs w:val="20"/>
          <w:color w:val="auto"/>
        </w:rPr>
        <w:tab/>
      </w:r>
      <w:r>
        <w:rPr>
          <w:rFonts w:ascii="Calibri" w:cs="Calibri" w:eastAsia="Calibri" w:hAnsi="Calibri"/>
          <w:sz w:val="21"/>
          <w:szCs w:val="21"/>
          <w:b w:val="1"/>
          <w:bCs w:val="1"/>
          <w:color w:val="auto"/>
        </w:rPr>
        <w:t>OTHER SHARE-BASED AWARDS</w:t>
      </w:r>
    </w:p>
    <w:p>
      <w:pPr>
        <w:spacing w:after="0" w:line="255" w:lineRule="exact"/>
        <w:rPr>
          <w:sz w:val="20"/>
          <w:szCs w:val="20"/>
          <w:color w:val="auto"/>
        </w:rPr>
      </w:pPr>
    </w:p>
    <w:p>
      <w:pPr>
        <w:ind w:firstLine="647"/>
        <w:spacing w:after="0" w:line="230" w:lineRule="auto"/>
        <w:rPr>
          <w:sz w:val="20"/>
          <w:szCs w:val="20"/>
          <w:color w:val="auto"/>
        </w:rPr>
      </w:pPr>
      <w:r>
        <w:rPr>
          <w:rFonts w:ascii="Calibri" w:cs="Calibri" w:eastAsia="Calibri" w:hAnsi="Calibri"/>
          <w:sz w:val="22"/>
          <w:szCs w:val="22"/>
          <w:color w:val="auto"/>
        </w:rPr>
        <w:t xml:space="preserve">10.1 </w:t>
      </w:r>
      <w:r>
        <w:rPr>
          <w:rFonts w:ascii="Calibri" w:cs="Calibri" w:eastAsia="Calibri" w:hAnsi="Calibri"/>
          <w:sz w:val="22"/>
          <w:szCs w:val="22"/>
          <w:u w:val="single" w:color="auto"/>
          <w:color w:val="auto"/>
        </w:rPr>
        <w:t>Grants of Other Share-Based Awards</w:t>
      </w:r>
      <w:r>
        <w:rPr>
          <w:rFonts w:ascii="Calibri" w:cs="Calibri" w:eastAsia="Calibri" w:hAnsi="Calibri"/>
          <w:sz w:val="22"/>
          <w:szCs w:val="22"/>
          <w:color w:val="auto"/>
        </w:rPr>
        <w:t>. Subject to limitaton under Applicable Laws, the Commitee is authorized under the Plan to grant Awards (other than Optons, Restricted Stock Units, Restricted Stock and SARs) to Eligible Individuals subject to the terms and conditons set forth in this Artcle 10 and such other terms and conditons as may be specifed by the Commitee that are not inconsistent with the provisions of the Plan and that, by their terms, involve or might involve the issuance of, consist of, or are denominated in, payable in, valued in whole or in part by reference to, or otherwise relate to, Shares. The Commitee may also grant Shares as a bonus, or may grant other Awards in lieu of obligatons of the Company or an Afliate to pay cash or other property under the Plan or other plans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0980"/>
          </w:cols>
          <w:pgMar w:left="420" w:top="1367" w:right="499" w:bottom="1440" w:gutter="0" w:footer="0" w:header="0"/>
        </w:sectPr>
      </w:pPr>
    </w:p>
    <w:bookmarkStart w:id="65" w:name="page66"/>
    <w:bookmarkEnd w:id="65"/>
    <w:p>
      <w:pPr>
        <w:ind w:right="140"/>
        <w:spacing w:after="0" w:line="232" w:lineRule="auto"/>
        <w:rPr>
          <w:sz w:val="20"/>
          <w:szCs w:val="20"/>
          <w:color w:val="auto"/>
        </w:rPr>
      </w:pPr>
      <w:r>
        <w:rPr>
          <w:rFonts w:ascii="Calibri" w:cs="Calibri" w:eastAsia="Calibri" w:hAnsi="Calibri"/>
          <w:sz w:val="22"/>
          <w:szCs w:val="22"/>
          <w:color w:val="auto"/>
        </w:rPr>
        <w:t>compensatory arrangements. The terms and conditons applicable to such other Awards shall be determined from tme to tme by the Commitee and set forth in an applicable Award Agreement. The Commitee may establish one or more separate programs under the Plan for the purpose of issuing partcular forms of Awards to one or more classes of Partcipants on such terms and conditons as determined by the Commitee from tme to tme.</w:t>
      </w:r>
    </w:p>
    <w:p>
      <w:pPr>
        <w:spacing w:after="0" w:line="244" w:lineRule="exact"/>
        <w:rPr>
          <w:sz w:val="20"/>
          <w:szCs w:val="20"/>
          <w:color w:val="auto"/>
        </w:rPr>
      </w:pPr>
    </w:p>
    <w:p>
      <w:pPr>
        <w:ind w:right="100" w:firstLine="647"/>
        <w:spacing w:after="0" w:line="233" w:lineRule="auto"/>
        <w:rPr>
          <w:sz w:val="20"/>
          <w:szCs w:val="20"/>
          <w:color w:val="auto"/>
        </w:rPr>
      </w:pPr>
      <w:r>
        <w:rPr>
          <w:rFonts w:ascii="Calibri" w:cs="Calibri" w:eastAsia="Calibri" w:hAnsi="Calibri"/>
          <w:sz w:val="22"/>
          <w:szCs w:val="22"/>
          <w:color w:val="auto"/>
        </w:rPr>
        <w:t xml:space="preserve">10.2 </w:t>
      </w:r>
      <w:r>
        <w:rPr>
          <w:rFonts w:ascii="Calibri" w:cs="Calibri" w:eastAsia="Calibri" w:hAnsi="Calibri"/>
          <w:sz w:val="22"/>
          <w:szCs w:val="22"/>
          <w:u w:val="single" w:color="auto"/>
          <w:color w:val="auto"/>
        </w:rPr>
        <w:t>Exercise Price</w:t>
      </w:r>
      <w:r>
        <w:rPr>
          <w:rFonts w:ascii="Calibri" w:cs="Calibri" w:eastAsia="Calibri" w:hAnsi="Calibri"/>
          <w:sz w:val="22"/>
          <w:szCs w:val="22"/>
          <w:color w:val="auto"/>
        </w:rPr>
        <w:t xml:space="preserve">. The Commitee may establish the exercise price, if any, of any Other Share-Based Award granted pursuant to this Artcle 10;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such exercise price shall not be less than the Fair Market Value of a Share on the date of grant for an Award that is intended to be exempt from Secton 409A of the Code.</w:t>
      </w:r>
    </w:p>
    <w:p>
      <w:pPr>
        <w:spacing w:after="0" w:line="257" w:lineRule="exact"/>
        <w:rPr>
          <w:sz w:val="20"/>
          <w:szCs w:val="20"/>
          <w:color w:val="auto"/>
        </w:rPr>
      </w:pPr>
    </w:p>
    <w:p>
      <w:pPr>
        <w:ind w:right="340" w:firstLine="647"/>
        <w:spacing w:after="0" w:line="229" w:lineRule="auto"/>
        <w:rPr>
          <w:sz w:val="20"/>
          <w:szCs w:val="20"/>
          <w:color w:val="auto"/>
        </w:rPr>
      </w:pPr>
      <w:r>
        <w:rPr>
          <w:rFonts w:ascii="Calibri" w:cs="Calibri" w:eastAsia="Calibri" w:hAnsi="Calibri"/>
          <w:sz w:val="22"/>
          <w:szCs w:val="22"/>
          <w:color w:val="auto"/>
        </w:rPr>
        <w:t xml:space="preserve">10.3 </w:t>
      </w:r>
      <w:r>
        <w:rPr>
          <w:rFonts w:ascii="Calibri" w:cs="Calibri" w:eastAsia="Calibri" w:hAnsi="Calibri"/>
          <w:sz w:val="22"/>
          <w:szCs w:val="22"/>
          <w:u w:val="single" w:color="auto"/>
          <w:color w:val="auto"/>
        </w:rPr>
        <w:t>Form of Payment</w:t>
      </w:r>
      <w:r>
        <w:rPr>
          <w:rFonts w:ascii="Calibri" w:cs="Calibri" w:eastAsia="Calibri" w:hAnsi="Calibri"/>
          <w:sz w:val="22"/>
          <w:szCs w:val="22"/>
          <w:color w:val="auto"/>
        </w:rPr>
        <w:t>. Payments with respect to any Awards granted under Secton 10.1 shall be made in cash or cash equivalent, in Shares or any combinaton of the foregoing, as determined by the Commitee.</w:t>
      </w:r>
    </w:p>
    <w:p>
      <w:pPr>
        <w:spacing w:after="0" w:line="257" w:lineRule="exact"/>
        <w:rPr>
          <w:sz w:val="20"/>
          <w:szCs w:val="20"/>
          <w:color w:val="auto"/>
        </w:rPr>
      </w:pPr>
    </w:p>
    <w:p>
      <w:pPr>
        <w:ind w:right="40" w:firstLine="647"/>
        <w:spacing w:after="0" w:line="229" w:lineRule="auto"/>
        <w:rPr>
          <w:sz w:val="20"/>
          <w:szCs w:val="20"/>
          <w:color w:val="auto"/>
        </w:rPr>
      </w:pPr>
      <w:r>
        <w:rPr>
          <w:rFonts w:ascii="Calibri" w:cs="Calibri" w:eastAsia="Calibri" w:hAnsi="Calibri"/>
          <w:sz w:val="22"/>
          <w:szCs w:val="22"/>
          <w:color w:val="auto"/>
        </w:rPr>
        <w:t xml:space="preserve">10.4 </w:t>
      </w:r>
      <w:r>
        <w:rPr>
          <w:rFonts w:ascii="Calibri" w:cs="Calibri" w:eastAsia="Calibri" w:hAnsi="Calibri"/>
          <w:sz w:val="22"/>
          <w:szCs w:val="22"/>
          <w:u w:val="single" w:color="auto"/>
          <w:color w:val="auto"/>
        </w:rPr>
        <w:t>Vestng Conditons</w:t>
      </w:r>
      <w:r>
        <w:rPr>
          <w:rFonts w:ascii="Calibri" w:cs="Calibri" w:eastAsia="Calibri" w:hAnsi="Calibri"/>
          <w:sz w:val="22"/>
          <w:szCs w:val="22"/>
          <w:color w:val="auto"/>
        </w:rPr>
        <w:t>. Subject to Secton 12.3, the Commitee shall specify the date or dates on which the Awards granted pursuant to this Artcle 10 shall become fully vested and nonforfeitable, and may specify such conditons to vestng as it deems appropriate. The vestng conditons may be based on, among other vestng conditons, a Partcipant’s contnued Service, the atainment of performance conditons, or a combinaton of both.</w:t>
      </w:r>
    </w:p>
    <w:p>
      <w:pPr>
        <w:spacing w:after="0" w:line="258" w:lineRule="exact"/>
        <w:rPr>
          <w:sz w:val="20"/>
          <w:szCs w:val="20"/>
          <w:color w:val="auto"/>
        </w:rPr>
      </w:pPr>
    </w:p>
    <w:p>
      <w:pPr>
        <w:ind w:right="240" w:firstLine="647"/>
        <w:spacing w:after="0" w:line="229" w:lineRule="auto"/>
        <w:rPr>
          <w:sz w:val="20"/>
          <w:szCs w:val="20"/>
          <w:color w:val="auto"/>
        </w:rPr>
      </w:pPr>
      <w:r>
        <w:rPr>
          <w:rFonts w:ascii="Calibri" w:cs="Calibri" w:eastAsia="Calibri" w:hAnsi="Calibri"/>
          <w:sz w:val="22"/>
          <w:szCs w:val="22"/>
          <w:color w:val="auto"/>
        </w:rPr>
        <w:t xml:space="preserve">10.5 </w:t>
      </w:r>
      <w:r>
        <w:rPr>
          <w:rFonts w:ascii="Calibri" w:cs="Calibri" w:eastAsia="Calibri" w:hAnsi="Calibri"/>
          <w:sz w:val="22"/>
          <w:szCs w:val="22"/>
          <w:u w:val="single" w:color="auto"/>
          <w:color w:val="auto"/>
        </w:rPr>
        <w:t>Term</w:t>
      </w:r>
      <w:r>
        <w:rPr>
          <w:rFonts w:ascii="Calibri" w:cs="Calibri" w:eastAsia="Calibri" w:hAnsi="Calibri"/>
          <w:sz w:val="22"/>
          <w:szCs w:val="22"/>
          <w:color w:val="auto"/>
        </w:rPr>
        <w:t xml:space="preserve">. Except as otherwise provided herein, the Commitee shall set, in its discreton, the term of any Award granted pursuant to this Artcle 10;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that the term of any Award granted pursuant to this Artcle 10 shall not exceed ten (10) years.</w:t>
      </w:r>
    </w:p>
    <w:p>
      <w:pPr>
        <w:spacing w:after="0" w:line="247" w:lineRule="exact"/>
        <w:rPr>
          <w:sz w:val="20"/>
          <w:szCs w:val="20"/>
          <w:color w:val="auto"/>
        </w:rPr>
      </w:pPr>
    </w:p>
    <w:p>
      <w:pPr>
        <w:spacing w:after="0"/>
        <w:tabs>
          <w:tab w:leader="none" w:pos="1220" w:val="left"/>
        </w:tabs>
        <w:rPr>
          <w:sz w:val="20"/>
          <w:szCs w:val="20"/>
          <w:color w:val="auto"/>
        </w:rPr>
      </w:pPr>
      <w:r>
        <w:rPr>
          <w:rFonts w:ascii="Calibri" w:cs="Calibri" w:eastAsia="Calibri" w:hAnsi="Calibri"/>
          <w:sz w:val="22"/>
          <w:szCs w:val="22"/>
          <w:b w:val="1"/>
          <w:bCs w:val="1"/>
          <w:color w:val="auto"/>
        </w:rPr>
        <w:t>ARTICLE 11.</w:t>
      </w:r>
      <w:r>
        <w:rPr>
          <w:sz w:val="20"/>
          <w:szCs w:val="20"/>
          <w:color w:val="auto"/>
        </w:rPr>
        <w:tab/>
      </w:r>
      <w:r>
        <w:rPr>
          <w:rFonts w:ascii="Calibri" w:cs="Calibri" w:eastAsia="Calibri" w:hAnsi="Calibri"/>
          <w:sz w:val="21"/>
          <w:szCs w:val="21"/>
          <w:b w:val="1"/>
          <w:bCs w:val="1"/>
          <w:color w:val="auto"/>
        </w:rPr>
        <w:t>PERFORMANCE-BASED AWARDS</w:t>
      </w:r>
    </w:p>
    <w:p>
      <w:pPr>
        <w:spacing w:after="0" w:line="255" w:lineRule="exact"/>
        <w:rPr>
          <w:sz w:val="20"/>
          <w:szCs w:val="20"/>
          <w:color w:val="auto"/>
        </w:rPr>
      </w:pPr>
    </w:p>
    <w:p>
      <w:pPr>
        <w:ind w:right="140" w:firstLine="647"/>
        <w:spacing w:after="0" w:line="229" w:lineRule="auto"/>
        <w:rPr>
          <w:sz w:val="20"/>
          <w:szCs w:val="20"/>
          <w:color w:val="auto"/>
        </w:rPr>
      </w:pPr>
      <w:r>
        <w:rPr>
          <w:rFonts w:ascii="Calibri" w:cs="Calibri" w:eastAsia="Calibri" w:hAnsi="Calibri"/>
          <w:sz w:val="22"/>
          <w:szCs w:val="22"/>
          <w:color w:val="auto"/>
        </w:rPr>
        <w:t xml:space="preserve">11.1 </w:t>
      </w:r>
      <w:r>
        <w:rPr>
          <w:rFonts w:ascii="Calibri" w:cs="Calibri" w:eastAsia="Calibri" w:hAnsi="Calibri"/>
          <w:sz w:val="22"/>
          <w:szCs w:val="22"/>
          <w:u w:val="single" w:color="auto"/>
          <w:color w:val="auto"/>
        </w:rPr>
        <w:t>Purpose</w:t>
      </w:r>
      <w:r>
        <w:rPr>
          <w:rFonts w:ascii="Calibri" w:cs="Calibri" w:eastAsia="Calibri" w:hAnsi="Calibri"/>
          <w:sz w:val="22"/>
          <w:szCs w:val="22"/>
          <w:color w:val="auto"/>
        </w:rPr>
        <w:t xml:space="preserve">. If the Commitee, in its discreton, decides to grant a Performance-Based Award to an Eligible Individual, the provisions of this Artcle 11 shall control over any contrary provision contained in Artcles 6 through 10; </w:t>
      </w:r>
      <w:r>
        <w:rPr>
          <w:rFonts w:ascii="Calibri" w:cs="Calibri" w:eastAsia="Calibri" w:hAnsi="Calibri"/>
          <w:sz w:val="22"/>
          <w:szCs w:val="22"/>
          <w:i w:val="1"/>
          <w:iCs w:val="1"/>
          <w:color w:val="auto"/>
        </w:rPr>
        <w:t xml:space="preserve">provided </w:t>
      </w:r>
      <w:r>
        <w:rPr>
          <w:rFonts w:ascii="Calibri" w:cs="Calibri" w:eastAsia="Calibri" w:hAnsi="Calibri"/>
          <w:sz w:val="22"/>
          <w:szCs w:val="22"/>
          <w:color w:val="auto"/>
        </w:rPr>
        <w:t>that the Commitee may in its discreton grant Awards to Eligible Individuals that are based on Performance Criteria</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or other performance conditons but that do not satsfy the requirements of this Artcle 11.</w:t>
      </w:r>
    </w:p>
    <w:p>
      <w:pPr>
        <w:spacing w:after="0" w:line="258" w:lineRule="exact"/>
        <w:rPr>
          <w:sz w:val="20"/>
          <w:szCs w:val="20"/>
          <w:color w:val="auto"/>
        </w:rPr>
      </w:pPr>
    </w:p>
    <w:p>
      <w:pPr>
        <w:ind w:firstLine="647"/>
        <w:spacing w:after="0" w:line="231" w:lineRule="auto"/>
        <w:rPr>
          <w:sz w:val="20"/>
          <w:szCs w:val="20"/>
          <w:color w:val="auto"/>
        </w:rPr>
      </w:pPr>
      <w:r>
        <w:rPr>
          <w:rFonts w:ascii="Calibri" w:cs="Calibri" w:eastAsia="Calibri" w:hAnsi="Calibri"/>
          <w:sz w:val="22"/>
          <w:szCs w:val="22"/>
          <w:color w:val="auto"/>
        </w:rPr>
        <w:t xml:space="preserve">11.2 </w:t>
      </w:r>
      <w:r>
        <w:rPr>
          <w:rFonts w:ascii="Calibri" w:cs="Calibri" w:eastAsia="Calibri" w:hAnsi="Calibri"/>
          <w:sz w:val="22"/>
          <w:szCs w:val="22"/>
          <w:u w:val="single" w:color="auto"/>
          <w:color w:val="auto"/>
        </w:rPr>
        <w:t>Applicability</w:t>
      </w:r>
      <w:r>
        <w:rPr>
          <w:rFonts w:ascii="Calibri" w:cs="Calibri" w:eastAsia="Calibri" w:hAnsi="Calibri"/>
          <w:sz w:val="22"/>
          <w:szCs w:val="22"/>
          <w:color w:val="auto"/>
        </w:rPr>
        <w:t>. This Artcle 11 shall apply only to those Eligible Individuals selected by the Commitee to receive Performance-Based Awards. The designaton of an Eligible Individual as a Partcipant for a Performance Period shall not enttle the Partcipant, in any manner, to receive an Award for the period. Moreover, the designaton of an Eligible Individual as a Partcipant for a partcular Performance Period shall not require designaton of such Eligible Individual as a Partcipant in any subsequent Performance Period and designaton of one Eligible Individual as a Partcipant shall not require designaton of any other Eligible Individuals as a Partcipant in such period or in any other Performance Period.</w:t>
      </w:r>
    </w:p>
    <w:p>
      <w:pPr>
        <w:spacing w:after="0" w:line="258" w:lineRule="exact"/>
        <w:rPr>
          <w:sz w:val="20"/>
          <w:szCs w:val="20"/>
          <w:color w:val="auto"/>
        </w:rPr>
      </w:pPr>
    </w:p>
    <w:p>
      <w:pPr>
        <w:ind w:right="40" w:firstLine="647"/>
        <w:spacing w:after="0" w:line="229" w:lineRule="auto"/>
        <w:rPr>
          <w:sz w:val="20"/>
          <w:szCs w:val="20"/>
          <w:color w:val="auto"/>
        </w:rPr>
      </w:pPr>
      <w:r>
        <w:rPr>
          <w:rFonts w:ascii="Calibri" w:cs="Calibri" w:eastAsia="Calibri" w:hAnsi="Calibri"/>
          <w:sz w:val="22"/>
          <w:szCs w:val="22"/>
          <w:color w:val="auto"/>
        </w:rPr>
        <w:t xml:space="preserve">11.3 </w:t>
      </w:r>
      <w:r>
        <w:rPr>
          <w:rFonts w:ascii="Calibri" w:cs="Calibri" w:eastAsia="Calibri" w:hAnsi="Calibri"/>
          <w:sz w:val="22"/>
          <w:szCs w:val="22"/>
          <w:u w:val="single" w:color="auto"/>
          <w:color w:val="auto"/>
        </w:rPr>
        <w:t>Procedures with Respect to Performance-Based Awards</w:t>
      </w:r>
      <w:r>
        <w:rPr>
          <w:rFonts w:ascii="Calibri" w:cs="Calibri" w:eastAsia="Calibri" w:hAnsi="Calibri"/>
          <w:sz w:val="22"/>
          <w:szCs w:val="22"/>
          <w:color w:val="auto"/>
        </w:rPr>
        <w:t>. With respect to any Performance-Based Awards, which may be granted to one or more Eligible Individuals, within the frst twenty-fve percent (25%) of the Performance Period in queston or period of Service, the Commitee, in writng (a) shall designate one or more Eligible Individuals as eligible for an Award, (b) shall designate the Performance Period over which the Performance Goals shall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17</w:t>
      </w:r>
    </w:p>
    <w:p>
      <w:pPr>
        <w:sectPr>
          <w:pgSz w:w="11900" w:h="16838" w:orient="portrait"/>
          <w:cols w:equalWidth="0" w:num="1">
            <w:col w:w="11040"/>
          </w:cols>
          <w:pgMar w:left="420" w:top="1367" w:right="439" w:bottom="1440" w:gutter="0" w:footer="0" w:header="0"/>
        </w:sectPr>
      </w:pPr>
    </w:p>
    <w:bookmarkStart w:id="66" w:name="page67"/>
    <w:bookmarkEnd w:id="66"/>
    <w:p>
      <w:pPr>
        <w:spacing w:after="0" w:line="230" w:lineRule="auto"/>
        <w:rPr>
          <w:sz w:val="20"/>
          <w:szCs w:val="20"/>
          <w:color w:val="auto"/>
        </w:rPr>
      </w:pPr>
      <w:r>
        <w:rPr>
          <w:rFonts w:ascii="Calibri" w:cs="Calibri" w:eastAsia="Calibri" w:hAnsi="Calibri"/>
          <w:sz w:val="22"/>
          <w:szCs w:val="22"/>
          <w:color w:val="auto"/>
        </w:rPr>
        <w:t>measured; (c) shall select the Performance Criteria applicable to the Performance Period, (d) shall establish the Performance Goals, and amounts of such Awards, as applicable, which may be earned for such Performance Period, and (e) shall specify the relatonship between Performance Criteria and the Performance Goals and the amounts of such Awards, as applicable, to be earned by each Eligible Individuals for such Performance Period. Following the completon of each Performance Period, the Commitee shall certfy in writng whether the applicable Performance Goals have been achieved for such Performance Period. In determining the amount earned by an Eligible Individual, the Commitee shall have the right to adjust or eliminate the amount payable at a given level of performance to take into account additonal factors that the Commitee may deem relevant to the assessment of individual or corporate performance for the Performance Period.</w:t>
      </w:r>
    </w:p>
    <w:p>
      <w:pPr>
        <w:spacing w:after="0" w:line="263" w:lineRule="exact"/>
        <w:rPr>
          <w:sz w:val="20"/>
          <w:szCs w:val="20"/>
          <w:color w:val="auto"/>
        </w:rPr>
      </w:pPr>
    </w:p>
    <w:p>
      <w:pPr>
        <w:ind w:right="100" w:firstLine="647"/>
        <w:spacing w:after="0" w:line="231" w:lineRule="auto"/>
        <w:rPr>
          <w:sz w:val="20"/>
          <w:szCs w:val="20"/>
          <w:color w:val="auto"/>
        </w:rPr>
      </w:pPr>
      <w:r>
        <w:rPr>
          <w:rFonts w:ascii="Calibri" w:cs="Calibri" w:eastAsia="Calibri" w:hAnsi="Calibri"/>
          <w:sz w:val="22"/>
          <w:szCs w:val="22"/>
          <w:color w:val="auto"/>
        </w:rPr>
        <w:t xml:space="preserve">11.4 </w:t>
      </w:r>
      <w:r>
        <w:rPr>
          <w:rFonts w:ascii="Calibri" w:cs="Calibri" w:eastAsia="Calibri" w:hAnsi="Calibri"/>
          <w:sz w:val="22"/>
          <w:szCs w:val="22"/>
          <w:u w:val="single" w:color="auto"/>
          <w:color w:val="auto"/>
        </w:rPr>
        <w:t>Payment of Performance-Based Awards</w:t>
      </w:r>
      <w:r>
        <w:rPr>
          <w:rFonts w:ascii="Calibri" w:cs="Calibri" w:eastAsia="Calibri" w:hAnsi="Calibri"/>
          <w:sz w:val="22"/>
          <w:szCs w:val="22"/>
          <w:color w:val="auto"/>
        </w:rPr>
        <w:t>. Unless otherwise provided in the applicable Award Agreement, a Partcipant must be providing Service on the day a Performance- Based Award for the appropriate Performance Period is paid to the Partcipant. Furthermore, unless otherwise provided in the applicable Award Agreement, a Partcipant shall be eligible to receive payment pursuant to a Performance-Based Award for a Performance Period only if the Performance Goals for such period are achieved.</w:t>
      </w:r>
    </w:p>
    <w:p>
      <w:pPr>
        <w:spacing w:after="0" w:line="250" w:lineRule="exact"/>
        <w:rPr>
          <w:sz w:val="20"/>
          <w:szCs w:val="20"/>
          <w:color w:val="auto"/>
        </w:rPr>
      </w:pPr>
    </w:p>
    <w:p>
      <w:pPr>
        <w:spacing w:after="0"/>
        <w:tabs>
          <w:tab w:leader="none" w:pos="1320" w:val="left"/>
        </w:tabs>
        <w:rPr>
          <w:sz w:val="20"/>
          <w:szCs w:val="20"/>
          <w:color w:val="auto"/>
        </w:rPr>
      </w:pPr>
      <w:r>
        <w:rPr>
          <w:rFonts w:ascii="Calibri" w:cs="Calibri" w:eastAsia="Calibri" w:hAnsi="Calibri"/>
          <w:sz w:val="22"/>
          <w:szCs w:val="22"/>
          <w:b w:val="1"/>
          <w:bCs w:val="1"/>
          <w:color w:val="auto"/>
        </w:rPr>
        <w:t>ARTICLE 12.</w:t>
      </w:r>
      <w:r>
        <w:rPr>
          <w:sz w:val="20"/>
          <w:szCs w:val="20"/>
          <w:color w:val="auto"/>
        </w:rPr>
        <w:tab/>
      </w:r>
      <w:r>
        <w:rPr>
          <w:rFonts w:ascii="Calibri" w:cs="Calibri" w:eastAsia="Calibri" w:hAnsi="Calibri"/>
          <w:sz w:val="21"/>
          <w:szCs w:val="21"/>
          <w:b w:val="1"/>
          <w:bCs w:val="1"/>
          <w:color w:val="auto"/>
        </w:rPr>
        <w:t>PROVISIONS APPLICABLE TO AWARDS</w:t>
      </w:r>
    </w:p>
    <w:p>
      <w:pPr>
        <w:spacing w:after="0" w:line="242" w:lineRule="exact"/>
        <w:rPr>
          <w:sz w:val="20"/>
          <w:szCs w:val="20"/>
          <w:color w:val="auto"/>
        </w:rPr>
      </w:pPr>
    </w:p>
    <w:p>
      <w:pPr>
        <w:ind w:right="20" w:firstLine="647"/>
        <w:spacing w:after="0" w:line="232" w:lineRule="auto"/>
        <w:rPr>
          <w:sz w:val="20"/>
          <w:szCs w:val="20"/>
          <w:color w:val="auto"/>
        </w:rPr>
      </w:pPr>
      <w:r>
        <w:rPr>
          <w:rFonts w:ascii="Calibri" w:cs="Calibri" w:eastAsia="Calibri" w:hAnsi="Calibri"/>
          <w:sz w:val="22"/>
          <w:szCs w:val="22"/>
          <w:color w:val="auto"/>
        </w:rPr>
        <w:t xml:space="preserve">12.1 </w:t>
      </w:r>
      <w:r>
        <w:rPr>
          <w:rFonts w:ascii="Calibri" w:cs="Calibri" w:eastAsia="Calibri" w:hAnsi="Calibri"/>
          <w:sz w:val="22"/>
          <w:szCs w:val="22"/>
          <w:u w:val="single" w:color="auto"/>
          <w:color w:val="auto"/>
        </w:rPr>
        <w:t>Stand-Alone and Tandem Awards</w:t>
      </w:r>
      <w:r>
        <w:rPr>
          <w:rFonts w:ascii="Calibri" w:cs="Calibri" w:eastAsia="Calibri" w:hAnsi="Calibri"/>
          <w:sz w:val="22"/>
          <w:szCs w:val="22"/>
          <w:color w:val="auto"/>
        </w:rPr>
        <w:t>. Awards granted pursuant to the Plan may, in the discreton of the Commitee, be granted either alone, in additon to, or in tandem with, any other Award granted pursuant to the Plan. Awards granted in additon to or in tandem with other Awards may be granted either at the same tme as or at a diferent tme from the grant of such other Awards.</w:t>
      </w:r>
    </w:p>
    <w:p>
      <w:pPr>
        <w:spacing w:after="0" w:line="258" w:lineRule="exact"/>
        <w:rPr>
          <w:sz w:val="20"/>
          <w:szCs w:val="20"/>
          <w:color w:val="auto"/>
        </w:rPr>
      </w:pPr>
    </w:p>
    <w:p>
      <w:pPr>
        <w:ind w:right="180" w:firstLine="647"/>
        <w:spacing w:after="0" w:line="229" w:lineRule="auto"/>
        <w:rPr>
          <w:sz w:val="20"/>
          <w:szCs w:val="20"/>
          <w:color w:val="auto"/>
        </w:rPr>
      </w:pPr>
      <w:r>
        <w:rPr>
          <w:rFonts w:ascii="Calibri" w:cs="Calibri" w:eastAsia="Calibri" w:hAnsi="Calibri"/>
          <w:sz w:val="22"/>
          <w:szCs w:val="22"/>
          <w:color w:val="auto"/>
        </w:rPr>
        <w:t xml:space="preserve">12.2 </w:t>
      </w:r>
      <w:r>
        <w:rPr>
          <w:rFonts w:ascii="Calibri" w:cs="Calibri" w:eastAsia="Calibri" w:hAnsi="Calibri"/>
          <w:sz w:val="22"/>
          <w:szCs w:val="22"/>
          <w:u w:val="single" w:color="auto"/>
          <w:color w:val="auto"/>
        </w:rPr>
        <w:t>Award Agreement</w:t>
      </w:r>
      <w:r>
        <w:rPr>
          <w:rFonts w:ascii="Calibri" w:cs="Calibri" w:eastAsia="Calibri" w:hAnsi="Calibri"/>
          <w:sz w:val="22"/>
          <w:szCs w:val="22"/>
          <w:color w:val="auto"/>
        </w:rPr>
        <w:t>. Awards under the Plan shall be evidenced by Award Agreements that set forth the terms, conditons and limitatons for each Award, not inconsistent with the Plan, which may include, without limitaton, the term of an Award, the provisions applicable in the event the Partcipant’s Service terminates, and the Company’s authority to unilaterally or bilaterally amend, modify, suspend, cancel or rescind an Award.</w:t>
      </w:r>
    </w:p>
    <w:p>
      <w:pPr>
        <w:spacing w:after="0" w:line="258" w:lineRule="exact"/>
        <w:rPr>
          <w:sz w:val="20"/>
          <w:szCs w:val="20"/>
          <w:color w:val="auto"/>
        </w:rPr>
      </w:pPr>
    </w:p>
    <w:p>
      <w:pPr>
        <w:ind w:right="60" w:firstLine="647"/>
        <w:spacing w:after="0" w:line="230" w:lineRule="auto"/>
        <w:rPr>
          <w:sz w:val="20"/>
          <w:szCs w:val="20"/>
          <w:color w:val="auto"/>
        </w:rPr>
      </w:pPr>
      <w:r>
        <w:rPr>
          <w:rFonts w:ascii="Calibri" w:cs="Calibri" w:eastAsia="Calibri" w:hAnsi="Calibri"/>
          <w:sz w:val="22"/>
          <w:szCs w:val="22"/>
          <w:color w:val="auto"/>
        </w:rPr>
        <w:t xml:space="preserve">12.3 </w:t>
      </w:r>
      <w:r>
        <w:rPr>
          <w:rFonts w:ascii="Calibri" w:cs="Calibri" w:eastAsia="Calibri" w:hAnsi="Calibri"/>
          <w:sz w:val="22"/>
          <w:szCs w:val="22"/>
          <w:u w:val="single" w:color="auto"/>
          <w:color w:val="auto"/>
        </w:rPr>
        <w:t>Minimum Vestng Requirements</w:t>
      </w:r>
      <w:r>
        <w:rPr>
          <w:rFonts w:ascii="Calibri" w:cs="Calibri" w:eastAsia="Calibri" w:hAnsi="Calibri"/>
          <w:sz w:val="22"/>
          <w:szCs w:val="22"/>
          <w:color w:val="auto"/>
        </w:rPr>
        <w:t>. Notwithstanding any other provision of the Plan, except in connecton with Awards granted in connecton with assumpton or substtuton of awards as part of a transacton as contemplated under Secton 4.1(c) or Awards that may be setled only in cash, no porton of an Award granted on or afer the Efectve Date may vest before the frst anniversary of the date of grant, subject to accelerated vestng as contemplated under Secton 3.3(j) and ARTICLE 13; provided, however, that the Company may grant Awards with respect to up to fve percent (5%) of the number of Shares reserved under Secton 4.1 as of the Efectve Date without regard to the minimum vestng period set forth in this Secton 12.3.</w:t>
      </w:r>
    </w:p>
    <w:p>
      <w:pPr>
        <w:spacing w:after="0" w:line="251"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12.4</w:t>
      </w:r>
      <w:r>
        <w:rPr>
          <w:sz w:val="20"/>
          <w:szCs w:val="20"/>
          <w:color w:val="auto"/>
        </w:rPr>
        <w:tab/>
      </w:r>
      <w:r>
        <w:rPr>
          <w:rFonts w:ascii="Calibri" w:cs="Calibri" w:eastAsia="Calibri" w:hAnsi="Calibri"/>
          <w:sz w:val="21"/>
          <w:szCs w:val="21"/>
          <w:u w:val="single" w:color="auto"/>
          <w:color w:val="auto"/>
        </w:rPr>
        <w:t>Dividends and Dividend Equivalent Rights</w:t>
      </w:r>
      <w:r>
        <w:rPr>
          <w:rFonts w:ascii="Calibri" w:cs="Calibri" w:eastAsia="Calibri" w:hAnsi="Calibri"/>
          <w:sz w:val="21"/>
          <w:szCs w:val="21"/>
          <w:color w:val="auto"/>
        </w:rPr>
        <w:t>.</w:t>
      </w:r>
    </w:p>
    <w:p>
      <w:pPr>
        <w:spacing w:after="0" w:line="41" w:lineRule="exact"/>
        <w:rPr>
          <w:sz w:val="20"/>
          <w:szCs w:val="20"/>
          <w:color w:val="auto"/>
        </w:rPr>
      </w:pPr>
    </w:p>
    <w:p>
      <w:pPr>
        <w:ind w:left="160" w:right="160" w:firstLine="1295"/>
        <w:spacing w:after="0" w:line="229" w:lineRule="auto"/>
        <w:tabs>
          <w:tab w:leader="none" w:pos="1885" w:val="left"/>
        </w:tabs>
        <w:numPr>
          <w:ilvl w:val="0"/>
          <w:numId w:val="27"/>
        </w:numPr>
        <w:rPr>
          <w:rFonts w:ascii="Calibri" w:cs="Calibri" w:eastAsia="Calibri" w:hAnsi="Calibri"/>
          <w:sz w:val="22"/>
          <w:szCs w:val="22"/>
          <w:color w:val="auto"/>
        </w:rPr>
      </w:pPr>
      <w:r>
        <w:rPr>
          <w:rFonts w:ascii="Calibri" w:cs="Calibri" w:eastAsia="Calibri" w:hAnsi="Calibri"/>
          <w:sz w:val="22"/>
          <w:szCs w:val="22"/>
          <w:color w:val="auto"/>
        </w:rPr>
        <w:t>Any Partcipant selected by the Commitee may be granted Dividend Equivalent Rights based on the dividends declared on the Shares that are subject to any Restricted Stock Unit or an Other Share-Based Award that is a Full Value Award, to be credited as of dividend payment dates, during the period between the date the Award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18</w:t>
      </w:r>
    </w:p>
    <w:p>
      <w:pPr>
        <w:sectPr>
          <w:pgSz w:w="11900" w:h="16838" w:orient="portrait"/>
          <w:cols w:equalWidth="0" w:num="1">
            <w:col w:w="11040"/>
          </w:cols>
          <w:pgMar w:left="420" w:top="1367" w:right="439" w:bottom="1440" w:gutter="0" w:footer="0" w:header="0"/>
        </w:sectPr>
      </w:pPr>
    </w:p>
    <w:bookmarkStart w:id="67" w:name="page68"/>
    <w:bookmarkEnd w:id="67"/>
    <w:p>
      <w:pPr>
        <w:ind w:left="160" w:right="240"/>
        <w:spacing w:after="0" w:line="229" w:lineRule="auto"/>
        <w:rPr>
          <w:sz w:val="20"/>
          <w:szCs w:val="20"/>
          <w:color w:val="auto"/>
        </w:rPr>
      </w:pPr>
      <w:r>
        <w:rPr>
          <w:rFonts w:ascii="Calibri" w:cs="Calibri" w:eastAsia="Calibri" w:hAnsi="Calibri"/>
          <w:sz w:val="22"/>
          <w:szCs w:val="22"/>
          <w:color w:val="auto"/>
        </w:rPr>
        <w:t>granted and the date the Award vests or is setled, as determined by the Commitee and set forth in the applicable Award Agreement. Such Dividend Equivalent Rights shall be converted to cash or additonal Shares by such formula and at such tme and subject to such limitatons as may be determined by the Commitee.</w:t>
      </w:r>
    </w:p>
    <w:p>
      <w:pPr>
        <w:spacing w:after="0" w:line="257" w:lineRule="exact"/>
        <w:rPr>
          <w:sz w:val="20"/>
          <w:szCs w:val="20"/>
          <w:color w:val="auto"/>
        </w:rPr>
      </w:pPr>
    </w:p>
    <w:p>
      <w:pPr>
        <w:ind w:left="160" w:right="60" w:firstLine="1295"/>
        <w:spacing w:after="0" w:line="243" w:lineRule="auto"/>
        <w:tabs>
          <w:tab w:leader="none" w:pos="1895" w:val="left"/>
        </w:tabs>
        <w:numPr>
          <w:ilvl w:val="0"/>
          <w:numId w:val="28"/>
        </w:numPr>
        <w:rPr>
          <w:rFonts w:ascii="Calibri" w:cs="Calibri" w:eastAsia="Calibri" w:hAnsi="Calibri"/>
          <w:sz w:val="21"/>
          <w:szCs w:val="21"/>
          <w:color w:val="auto"/>
        </w:rPr>
      </w:pPr>
      <w:r>
        <w:rPr>
          <w:rFonts w:ascii="Calibri" w:cs="Calibri" w:eastAsia="Calibri" w:hAnsi="Calibri"/>
          <w:sz w:val="21"/>
          <w:szCs w:val="21"/>
          <w:color w:val="auto"/>
        </w:rPr>
        <w:t>To the extent Shares subject to an Award (other than Restricted Stock) are subject to vestng conditons, any Dividend Equivalent Rights relatng to such Shares shall either (i) not be paid or credited or (ii) be accumulated and subject to restrictons and risk of forfeiture to the same extent as the underlying Award with respect to which such cash, stock or other property has been distributed. For Shares of Restricted Stock that are subject to vestng, dividends shall be accumulated and subject to any restrictons and risk of forfeiture to which the underlying Restricted Stock is subject.</w:t>
      </w:r>
    </w:p>
    <w:p>
      <w:pPr>
        <w:spacing w:after="0" w:line="241" w:lineRule="exact"/>
        <w:rPr>
          <w:sz w:val="20"/>
          <w:szCs w:val="20"/>
          <w:color w:val="auto"/>
        </w:rPr>
      </w:pPr>
    </w:p>
    <w:p>
      <w:pPr>
        <w:ind w:right="200" w:firstLine="647"/>
        <w:spacing w:after="0" w:line="231" w:lineRule="auto"/>
        <w:rPr>
          <w:sz w:val="20"/>
          <w:szCs w:val="20"/>
          <w:color w:val="auto"/>
        </w:rPr>
      </w:pPr>
      <w:r>
        <w:rPr>
          <w:rFonts w:ascii="Calibri" w:cs="Calibri" w:eastAsia="Calibri" w:hAnsi="Calibri"/>
          <w:sz w:val="22"/>
          <w:szCs w:val="22"/>
          <w:color w:val="auto"/>
        </w:rPr>
        <w:t xml:space="preserve">12.5 </w:t>
      </w:r>
      <w:r>
        <w:rPr>
          <w:rFonts w:ascii="Calibri" w:cs="Calibri" w:eastAsia="Calibri" w:hAnsi="Calibri"/>
          <w:sz w:val="22"/>
          <w:szCs w:val="22"/>
          <w:u w:val="single" w:color="auto"/>
          <w:color w:val="auto"/>
        </w:rPr>
        <w:t>Limits on Transfer</w:t>
      </w:r>
      <w:r>
        <w:rPr>
          <w:rFonts w:ascii="Calibri" w:cs="Calibri" w:eastAsia="Calibri" w:hAnsi="Calibri"/>
          <w:sz w:val="22"/>
          <w:szCs w:val="22"/>
          <w:color w:val="auto"/>
        </w:rPr>
        <w:t>. No right or interest of a Partcipant in any Award may be pledged, encumbered, or hypothecated to or in favor of any party other than the Company or an Afliate, or shall be subject to any lien, obligaton, or liability of such Partcipant to any other party other than the Company or an Afliate. Except as otherwise provided by the Commitee, no Award shall be assigned, transferred, or otherwise disposed of by a Partcipant other than by will or the laws of descent and distributon.</w:t>
      </w:r>
    </w:p>
    <w:p>
      <w:pPr>
        <w:spacing w:after="0" w:line="250"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12.6</w:t>
      </w:r>
      <w:r>
        <w:rPr>
          <w:sz w:val="20"/>
          <w:szCs w:val="20"/>
          <w:color w:val="auto"/>
        </w:rPr>
        <w:tab/>
      </w:r>
      <w:r>
        <w:rPr>
          <w:rFonts w:ascii="Calibri" w:cs="Calibri" w:eastAsia="Calibri" w:hAnsi="Calibri"/>
          <w:sz w:val="22"/>
          <w:szCs w:val="22"/>
          <w:u w:val="single" w:color="auto"/>
          <w:color w:val="auto"/>
        </w:rPr>
        <w:t>Stock Certfcates; Book Entry Procedures</w:t>
      </w:r>
      <w:r>
        <w:rPr>
          <w:rFonts w:ascii="Calibri" w:cs="Calibri" w:eastAsia="Calibri" w:hAnsi="Calibri"/>
          <w:sz w:val="22"/>
          <w:szCs w:val="22"/>
          <w:color w:val="auto"/>
        </w:rPr>
        <w:t>.</w:t>
      </w:r>
    </w:p>
    <w:p>
      <w:pPr>
        <w:spacing w:after="0" w:line="296" w:lineRule="exact"/>
        <w:rPr>
          <w:sz w:val="20"/>
          <w:szCs w:val="20"/>
          <w:color w:val="auto"/>
        </w:rPr>
      </w:pPr>
    </w:p>
    <w:p>
      <w:pPr>
        <w:ind w:left="160" w:firstLine="1133"/>
        <w:spacing w:after="0" w:line="231" w:lineRule="auto"/>
        <w:tabs>
          <w:tab w:leader="none" w:pos="1723" w:val="left"/>
        </w:tabs>
        <w:numPr>
          <w:ilvl w:val="0"/>
          <w:numId w:val="29"/>
        </w:numPr>
        <w:rPr>
          <w:rFonts w:ascii="Calibri" w:cs="Calibri" w:eastAsia="Calibri" w:hAnsi="Calibri"/>
          <w:sz w:val="22"/>
          <w:szCs w:val="22"/>
          <w:color w:val="auto"/>
        </w:rPr>
      </w:pPr>
      <w:r>
        <w:rPr>
          <w:rFonts w:ascii="Calibri" w:cs="Calibri" w:eastAsia="Calibri" w:hAnsi="Calibri"/>
          <w:sz w:val="22"/>
          <w:szCs w:val="22"/>
          <w:color w:val="auto"/>
        </w:rPr>
        <w:t>Notwithstanding anything herein to the contrary, the Company shall not be required to issue or deliver any certfcates evidencing Shares pursuant to the exercise or vestng, as applicable, of any Award, unless and untl the Board has determined, with advice of counsel, that the issuance and delivery of such certfcates is in compliance with all Applicable Laws, regulatons of governmental authorites and, if applicable, the requirements of any exchange on which the Shares are listed or traded. All certfcates evidencing Shares delivered pursuant to the Plan are subject to any stop-transfer orders and other restrictons as the Commitee deems necessary or advisable to comply with federal, state, or local securites or other laws, including laws of jurisdictons outside of the U.S., rules and regulatons and the rules of any natonal securites exchange or automated quotaton system on which the Shares are listed, quoted, or traded. The Commitee may place legends on any certfcate evidencing Shares to reference restrictons applicable to the Shares. In additon to the terms and conditons provided herein, the Board may require that a Partcipant make such reasonable covenants, agreements, and representatons as the Board, in its discreton, deems advisable in order to comply with any such laws, regulatons, or requirements. The Commitee shall have the right to require any Partcipant to comply with any tming or other restrictons with respect to the setlement or exercise of any Award, including, without limitaton, a window-period limitaton, as may be imposed in the discreton of the Commitee.</w:t>
      </w:r>
    </w:p>
    <w:p>
      <w:pPr>
        <w:spacing w:after="0" w:line="39" w:lineRule="exact"/>
        <w:rPr>
          <w:rFonts w:ascii="Calibri" w:cs="Calibri" w:eastAsia="Calibri" w:hAnsi="Calibri"/>
          <w:sz w:val="22"/>
          <w:szCs w:val="22"/>
          <w:color w:val="auto"/>
        </w:rPr>
      </w:pPr>
    </w:p>
    <w:p>
      <w:pPr>
        <w:ind w:left="160" w:right="140" w:firstLine="1133"/>
        <w:spacing w:after="0" w:line="232" w:lineRule="auto"/>
        <w:tabs>
          <w:tab w:leader="none" w:pos="1733" w:val="left"/>
        </w:tabs>
        <w:numPr>
          <w:ilvl w:val="0"/>
          <w:numId w:val="29"/>
        </w:numPr>
        <w:rPr>
          <w:rFonts w:ascii="Calibri" w:cs="Calibri" w:eastAsia="Calibri" w:hAnsi="Calibri"/>
          <w:sz w:val="22"/>
          <w:szCs w:val="22"/>
          <w:color w:val="auto"/>
        </w:rPr>
      </w:pPr>
      <w:r>
        <w:rPr>
          <w:rFonts w:ascii="Calibri" w:cs="Calibri" w:eastAsia="Calibri" w:hAnsi="Calibri"/>
          <w:sz w:val="22"/>
          <w:szCs w:val="22"/>
          <w:color w:val="auto"/>
        </w:rPr>
        <w:t>Notwithstanding any other provision of the Plan, unless otherwise determined by the Commitee or required by any Applicable Laws, rule or regulaton, the Company shall not deliver to any Partcipant certfcates evidencing Shares issued in connecton with any Award and instead such Shares shall be recorded in the books of the Company (or, as applicable, its transfer agent or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19</w:t>
      </w:r>
    </w:p>
    <w:p>
      <w:pPr>
        <w:sectPr>
          <w:pgSz w:w="11900" w:h="16838" w:orient="portrait"/>
          <w:cols w:equalWidth="0" w:num="1">
            <w:col w:w="11040"/>
          </w:cols>
          <w:pgMar w:left="420" w:top="1407" w:right="439" w:bottom="1440" w:gutter="0" w:footer="0" w:header="0"/>
        </w:sectPr>
      </w:pPr>
    </w:p>
    <w:bookmarkStart w:id="68" w:name="page69"/>
    <w:bookmarkEnd w:id="68"/>
    <w:p>
      <w:pPr>
        <w:ind w:right="280" w:firstLine="647"/>
        <w:spacing w:after="0" w:line="232" w:lineRule="auto"/>
        <w:rPr>
          <w:sz w:val="20"/>
          <w:szCs w:val="20"/>
          <w:color w:val="auto"/>
        </w:rPr>
      </w:pPr>
      <w:r>
        <w:rPr>
          <w:rFonts w:ascii="Calibri" w:cs="Calibri" w:eastAsia="Calibri" w:hAnsi="Calibri"/>
          <w:sz w:val="22"/>
          <w:szCs w:val="22"/>
          <w:color w:val="auto"/>
        </w:rPr>
        <w:t xml:space="preserve">12.7 </w:t>
      </w:r>
      <w:r>
        <w:rPr>
          <w:rFonts w:ascii="Calibri" w:cs="Calibri" w:eastAsia="Calibri" w:hAnsi="Calibri"/>
          <w:sz w:val="22"/>
          <w:szCs w:val="22"/>
          <w:u w:val="single" w:color="auto"/>
          <w:color w:val="auto"/>
        </w:rPr>
        <w:t>Paperless Administraton</w:t>
      </w:r>
      <w:r>
        <w:rPr>
          <w:rFonts w:ascii="Calibri" w:cs="Calibri" w:eastAsia="Calibri" w:hAnsi="Calibri"/>
          <w:sz w:val="22"/>
          <w:szCs w:val="22"/>
          <w:color w:val="auto"/>
        </w:rPr>
        <w:t>. In the event that the Company establishes, for itself or using the services of a third party, an automated system for the documentaton, grantng or exercise of Awards, such as a system using an internet website, intranet or interactve voice response, then the paperless documentaton, grantng or exercise of Awards by a Partcipant may be permited through the use of such an automated system.</w:t>
      </w:r>
    </w:p>
    <w:p>
      <w:pPr>
        <w:spacing w:after="0" w:line="247" w:lineRule="exact"/>
        <w:rPr>
          <w:sz w:val="20"/>
          <w:szCs w:val="20"/>
          <w:color w:val="auto"/>
        </w:rPr>
      </w:pPr>
    </w:p>
    <w:p>
      <w:pPr>
        <w:spacing w:after="0"/>
        <w:tabs>
          <w:tab w:leader="none" w:pos="1220" w:val="left"/>
        </w:tabs>
        <w:rPr>
          <w:sz w:val="20"/>
          <w:szCs w:val="20"/>
          <w:color w:val="auto"/>
        </w:rPr>
      </w:pPr>
      <w:r>
        <w:rPr>
          <w:rFonts w:ascii="Calibri" w:cs="Calibri" w:eastAsia="Calibri" w:hAnsi="Calibri"/>
          <w:sz w:val="22"/>
          <w:szCs w:val="22"/>
          <w:b w:val="1"/>
          <w:bCs w:val="1"/>
          <w:color w:val="auto"/>
        </w:rPr>
        <w:t>ARTICLE 13.</w:t>
      </w:r>
      <w:r>
        <w:rPr>
          <w:sz w:val="20"/>
          <w:szCs w:val="20"/>
          <w:color w:val="auto"/>
        </w:rPr>
        <w:tab/>
      </w:r>
      <w:r>
        <w:rPr>
          <w:rFonts w:ascii="Calibri" w:cs="Calibri" w:eastAsia="Calibri" w:hAnsi="Calibri"/>
          <w:sz w:val="21"/>
          <w:szCs w:val="21"/>
          <w:b w:val="1"/>
          <w:bCs w:val="1"/>
          <w:color w:val="auto"/>
        </w:rPr>
        <w:t>CHANGES IN CAPITAL STRUCTURE</w:t>
      </w:r>
    </w:p>
    <w:p>
      <w:pPr>
        <w:spacing w:after="0" w:line="229"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13.1</w:t>
      </w:r>
      <w:r>
        <w:rPr>
          <w:sz w:val="20"/>
          <w:szCs w:val="20"/>
          <w:color w:val="auto"/>
        </w:rPr>
        <w:tab/>
      </w:r>
      <w:r>
        <w:rPr>
          <w:rFonts w:ascii="Calibri" w:cs="Calibri" w:eastAsia="Calibri" w:hAnsi="Calibri"/>
          <w:sz w:val="21"/>
          <w:szCs w:val="21"/>
          <w:u w:val="single" w:color="auto"/>
          <w:color w:val="auto"/>
        </w:rPr>
        <w:t>Adjustments</w:t>
      </w:r>
      <w:r>
        <w:rPr>
          <w:rFonts w:ascii="Calibri" w:cs="Calibri" w:eastAsia="Calibri" w:hAnsi="Calibri"/>
          <w:sz w:val="21"/>
          <w:szCs w:val="21"/>
          <w:color w:val="auto"/>
        </w:rPr>
        <w:t>.</w:t>
      </w:r>
    </w:p>
    <w:p>
      <w:pPr>
        <w:spacing w:after="0" w:line="298" w:lineRule="exact"/>
        <w:rPr>
          <w:sz w:val="20"/>
          <w:szCs w:val="20"/>
          <w:color w:val="auto"/>
        </w:rPr>
      </w:pPr>
    </w:p>
    <w:p>
      <w:pPr>
        <w:ind w:left="160" w:firstLine="1133"/>
        <w:spacing w:after="0" w:line="232" w:lineRule="auto"/>
        <w:tabs>
          <w:tab w:leader="none" w:pos="1723" w:val="left"/>
        </w:tabs>
        <w:numPr>
          <w:ilvl w:val="0"/>
          <w:numId w:val="30"/>
        </w:numPr>
        <w:rPr>
          <w:rFonts w:ascii="Calibri" w:cs="Calibri" w:eastAsia="Calibri" w:hAnsi="Calibri"/>
          <w:sz w:val="22"/>
          <w:szCs w:val="22"/>
          <w:color w:val="auto"/>
        </w:rPr>
      </w:pPr>
      <w:r>
        <w:rPr>
          <w:rFonts w:ascii="Calibri" w:cs="Calibri" w:eastAsia="Calibri" w:hAnsi="Calibri"/>
          <w:sz w:val="22"/>
          <w:szCs w:val="22"/>
          <w:color w:val="auto"/>
        </w:rPr>
        <w:t>In the event of any stock dividend, stock split, combinaton or exchange of shares, merger, consolidaton or other distributon (other than normal cash dividends) of Company assets to shareholders, or any other similar event or other change related to a corporate event afectng the Shares or the price of the Shares other than an Equity Restructuring, the Commitee shall make such adjustments, if any, as the Commitee in its discreton may deem appropriate to refect such change with respect to (a) the aggregate number and kind of shares that may be issued under the Plan (including, without limitaton, adjustments of the limitatons in Sectons 4.1 and 4.3 hereof); (b) the terms and conditons of any outstanding Awards (including, without limitaton, the number and kind of shares that may be issued, or any applicable performance goals or criteria with respect thereto); and (c) the grant or exercise price per Share for any outstanding Awards under the Plan.</w:t>
      </w:r>
    </w:p>
    <w:p>
      <w:pPr>
        <w:spacing w:after="0" w:line="242" w:lineRule="exact"/>
        <w:rPr>
          <w:rFonts w:ascii="Calibri" w:cs="Calibri" w:eastAsia="Calibri" w:hAnsi="Calibri"/>
          <w:sz w:val="22"/>
          <w:szCs w:val="22"/>
          <w:color w:val="auto"/>
        </w:rPr>
      </w:pPr>
    </w:p>
    <w:p>
      <w:pPr>
        <w:ind w:left="160" w:firstLine="1133"/>
        <w:spacing w:after="0" w:line="231" w:lineRule="auto"/>
        <w:tabs>
          <w:tab w:leader="none" w:pos="1733" w:val="left"/>
        </w:tabs>
        <w:numPr>
          <w:ilvl w:val="0"/>
          <w:numId w:val="30"/>
        </w:numPr>
        <w:rPr>
          <w:rFonts w:ascii="Calibri" w:cs="Calibri" w:eastAsia="Calibri" w:hAnsi="Calibri"/>
          <w:sz w:val="22"/>
          <w:szCs w:val="22"/>
          <w:color w:val="auto"/>
        </w:rPr>
      </w:pPr>
      <w:r>
        <w:rPr>
          <w:rFonts w:ascii="Calibri" w:cs="Calibri" w:eastAsia="Calibri" w:hAnsi="Calibri"/>
          <w:sz w:val="22"/>
          <w:szCs w:val="22"/>
          <w:color w:val="auto"/>
        </w:rPr>
        <w:t>In the event of any transacton or event described in Secton 13.1(a) hereof or any unusual or infrequently occurring items or nonrecurring transactons or events afectng the Company, any afliate of the Company, or the fnancial statements of the Company or any afliate, or of changes in Applicable Laws, regulatons or accountng principles, the Commitee, in its sole and absolute discreton, and on such terms and conditons as it deems appropriate, either by the terms of the Award or by acton taken prior to the occurrence of such transacton or event and either automatcally or upon the Partcipant’s request, is hereby authorized to take any one or more of the following actons whenever the Commitee determines that such acton is appropriate in order to prevent diluton or enlargement of the benefts or potental benefts intended to be made available under the Plan or with respect to any Award under the Plan, to facilitate such transactons or events or to give efect to such changes in laws, regulatons or principles:</w:t>
      </w:r>
    </w:p>
    <w:p>
      <w:pPr>
        <w:spacing w:after="0" w:line="265" w:lineRule="exact"/>
        <w:rPr>
          <w:rFonts w:ascii="Calibri" w:cs="Calibri" w:eastAsia="Calibri" w:hAnsi="Calibri"/>
          <w:sz w:val="22"/>
          <w:szCs w:val="22"/>
          <w:color w:val="auto"/>
        </w:rPr>
      </w:pPr>
    </w:p>
    <w:p>
      <w:pPr>
        <w:ind w:left="640" w:right="40" w:firstLine="1302"/>
        <w:spacing w:after="0" w:line="230" w:lineRule="auto"/>
        <w:tabs>
          <w:tab w:leader="none" w:pos="2312" w:val="left"/>
        </w:tabs>
        <w:numPr>
          <w:ilvl w:val="1"/>
          <w:numId w:val="30"/>
        </w:numPr>
        <w:rPr>
          <w:rFonts w:ascii="Calibri" w:cs="Calibri" w:eastAsia="Calibri" w:hAnsi="Calibri"/>
          <w:sz w:val="22"/>
          <w:szCs w:val="22"/>
          <w:color w:val="auto"/>
        </w:rPr>
      </w:pPr>
      <w:r>
        <w:rPr>
          <w:rFonts w:ascii="Calibri" w:cs="Calibri" w:eastAsia="Calibri" w:hAnsi="Calibri"/>
          <w:sz w:val="22"/>
          <w:szCs w:val="22"/>
          <w:color w:val="auto"/>
        </w:rPr>
        <w:t>to provide for either (A) terminaton of any such Award in exchange for an amount of cash, if any, equal to the amount that would have been atained upon the exercise of such Award or realizaton of the Partcipant’s rights (and, for the avoidance of doubt, if as of the date of the occurrence of the transacton or event described in this Secton 13.1 the Commitee determines in good faith that no amount would have been atained upon the exercise of such Award or realizaton of the Partcipant’s rights, then such Award may be terminated by the Company without payment) or (B) the replacement of such Award with other rights or property selected by the Commitee in its sole discreton;</w:t>
      </w:r>
    </w:p>
    <w:p>
      <w:pPr>
        <w:spacing w:after="0" w:line="250" w:lineRule="exact"/>
        <w:rPr>
          <w:rFonts w:ascii="Calibri" w:cs="Calibri" w:eastAsia="Calibri" w:hAnsi="Calibri"/>
          <w:sz w:val="22"/>
          <w:szCs w:val="22"/>
          <w:color w:val="auto"/>
        </w:rPr>
      </w:pPr>
    </w:p>
    <w:p>
      <w:pPr>
        <w:ind w:left="640" w:right="280" w:firstLine="1302"/>
        <w:spacing w:after="0" w:line="235" w:lineRule="auto"/>
        <w:tabs>
          <w:tab w:leader="none" w:pos="2361" w:val="left"/>
        </w:tabs>
        <w:numPr>
          <w:ilvl w:val="1"/>
          <w:numId w:val="30"/>
        </w:numPr>
        <w:rPr>
          <w:rFonts w:ascii="Calibri" w:cs="Calibri" w:eastAsia="Calibri" w:hAnsi="Calibri"/>
          <w:sz w:val="22"/>
          <w:szCs w:val="22"/>
          <w:color w:val="auto"/>
        </w:rPr>
      </w:pPr>
      <w:r>
        <w:rPr>
          <w:rFonts w:ascii="Calibri" w:cs="Calibri" w:eastAsia="Calibri" w:hAnsi="Calibri"/>
          <w:sz w:val="22"/>
          <w:szCs w:val="22"/>
          <w:color w:val="auto"/>
        </w:rPr>
        <w:t>to provide that such Award be assumed by the successor or survivor corporaton, or a parent or subsidiary thereof, or shall be substtuted for by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20</w:t>
      </w:r>
    </w:p>
    <w:p>
      <w:pPr>
        <w:sectPr>
          <w:pgSz w:w="11900" w:h="16838" w:orient="portrait"/>
          <w:cols w:equalWidth="0" w:num="1">
            <w:col w:w="11000"/>
          </w:cols>
          <w:pgMar w:left="420" w:top="1367" w:right="479" w:bottom="1440" w:gutter="0" w:footer="0" w:header="0"/>
        </w:sectPr>
      </w:pPr>
    </w:p>
    <w:bookmarkStart w:id="69" w:name="page70"/>
    <w:bookmarkEnd w:id="69"/>
    <w:p>
      <w:pPr>
        <w:ind w:left="480" w:right="200"/>
        <w:spacing w:after="0" w:line="229" w:lineRule="auto"/>
        <w:rPr>
          <w:sz w:val="20"/>
          <w:szCs w:val="20"/>
          <w:color w:val="auto"/>
        </w:rPr>
      </w:pPr>
      <w:r>
        <w:rPr>
          <w:rFonts w:ascii="Calibri" w:cs="Calibri" w:eastAsia="Calibri" w:hAnsi="Calibri"/>
          <w:sz w:val="22"/>
          <w:szCs w:val="22"/>
          <w:color w:val="auto"/>
        </w:rPr>
        <w:t>similar optons, rights or awards covering the stock of the successor or survivor corporaton, or a parent or subsidiary thereof, with appropriate adjustments as to the number and kind of shares and prices;</w:t>
      </w:r>
    </w:p>
    <w:p>
      <w:pPr>
        <w:spacing w:after="0" w:line="257" w:lineRule="exact"/>
        <w:rPr>
          <w:sz w:val="20"/>
          <w:szCs w:val="20"/>
          <w:color w:val="auto"/>
        </w:rPr>
      </w:pPr>
    </w:p>
    <w:p>
      <w:pPr>
        <w:ind w:left="480" w:right="100" w:firstLine="1302"/>
        <w:spacing w:after="0" w:line="233" w:lineRule="auto"/>
        <w:tabs>
          <w:tab w:leader="none" w:pos="2251" w:val="left"/>
        </w:tabs>
        <w:numPr>
          <w:ilvl w:val="1"/>
          <w:numId w:val="31"/>
        </w:numPr>
        <w:rPr>
          <w:rFonts w:ascii="Calibri" w:cs="Calibri" w:eastAsia="Calibri" w:hAnsi="Calibri"/>
          <w:sz w:val="22"/>
          <w:szCs w:val="22"/>
          <w:color w:val="auto"/>
        </w:rPr>
      </w:pPr>
      <w:r>
        <w:rPr>
          <w:rFonts w:ascii="Calibri" w:cs="Calibri" w:eastAsia="Calibri" w:hAnsi="Calibri"/>
          <w:sz w:val="22"/>
          <w:szCs w:val="22"/>
          <w:color w:val="auto"/>
        </w:rPr>
        <w:t>to make adjustments in the number and type of Shares (or other securites or property) subject to outstanding Awards, and/or in the terms and conditons of (including the grant or exercise price), and the criteria included in, outstanding optons, rights and awards;</w:t>
      </w:r>
    </w:p>
    <w:p>
      <w:pPr>
        <w:spacing w:after="0" w:line="243" w:lineRule="exact"/>
        <w:rPr>
          <w:rFonts w:ascii="Calibri" w:cs="Calibri" w:eastAsia="Calibri" w:hAnsi="Calibri"/>
          <w:sz w:val="22"/>
          <w:szCs w:val="22"/>
          <w:color w:val="auto"/>
        </w:rPr>
      </w:pPr>
    </w:p>
    <w:p>
      <w:pPr>
        <w:ind w:left="480" w:right="100" w:firstLine="1302"/>
        <w:spacing w:after="0" w:line="241" w:lineRule="auto"/>
        <w:tabs>
          <w:tab w:leader="none" w:pos="2249" w:val="left"/>
        </w:tabs>
        <w:numPr>
          <w:ilvl w:val="1"/>
          <w:numId w:val="31"/>
        </w:numPr>
        <w:rPr>
          <w:rFonts w:ascii="Calibri" w:cs="Calibri" w:eastAsia="Calibri" w:hAnsi="Calibri"/>
          <w:sz w:val="21"/>
          <w:szCs w:val="21"/>
          <w:color w:val="auto"/>
        </w:rPr>
      </w:pPr>
      <w:r>
        <w:rPr>
          <w:rFonts w:ascii="Calibri" w:cs="Calibri" w:eastAsia="Calibri" w:hAnsi="Calibri"/>
          <w:sz w:val="21"/>
          <w:szCs w:val="21"/>
          <w:color w:val="auto"/>
        </w:rPr>
        <w:t>to provide that such Award shall be exercisable or payable or fully vested with respect to all Shares covered thereby, notwithstanding anything to the contrary in the Plan or the applicable Award Agreement; and</w:t>
      </w:r>
    </w:p>
    <w:p>
      <w:pPr>
        <w:spacing w:after="0" w:line="244" w:lineRule="exact"/>
        <w:rPr>
          <w:rFonts w:ascii="Calibri" w:cs="Calibri" w:eastAsia="Calibri" w:hAnsi="Calibri"/>
          <w:sz w:val="21"/>
          <w:szCs w:val="21"/>
          <w:color w:val="auto"/>
        </w:rPr>
      </w:pPr>
    </w:p>
    <w:p>
      <w:pPr>
        <w:ind w:left="2200" w:hanging="418"/>
        <w:spacing w:after="0"/>
        <w:tabs>
          <w:tab w:leader="none" w:pos="2200" w:val="left"/>
        </w:tabs>
        <w:numPr>
          <w:ilvl w:val="1"/>
          <w:numId w:val="31"/>
        </w:numPr>
        <w:rPr>
          <w:rFonts w:ascii="Calibri" w:cs="Calibri" w:eastAsia="Calibri" w:hAnsi="Calibri"/>
          <w:sz w:val="22"/>
          <w:szCs w:val="22"/>
          <w:color w:val="auto"/>
        </w:rPr>
      </w:pPr>
      <w:r>
        <w:rPr>
          <w:rFonts w:ascii="Calibri" w:cs="Calibri" w:eastAsia="Calibri" w:hAnsi="Calibri"/>
          <w:sz w:val="22"/>
          <w:szCs w:val="22"/>
          <w:color w:val="auto"/>
        </w:rPr>
        <w:t>to provide that the Award cannot vest, be exercised or become payable afer such event.</w:t>
      </w:r>
    </w:p>
    <w:p>
      <w:pPr>
        <w:spacing w:after="0" w:line="255" w:lineRule="exact"/>
        <w:rPr>
          <w:rFonts w:ascii="Calibri" w:cs="Calibri" w:eastAsia="Calibri" w:hAnsi="Calibri"/>
          <w:sz w:val="22"/>
          <w:szCs w:val="22"/>
          <w:color w:val="auto"/>
        </w:rPr>
      </w:pPr>
    </w:p>
    <w:p>
      <w:pPr>
        <w:ind w:right="640" w:firstLine="1133"/>
        <w:spacing w:after="0" w:line="229" w:lineRule="auto"/>
        <w:tabs>
          <w:tab w:leader="none" w:pos="1551" w:val="left"/>
        </w:tabs>
        <w:numPr>
          <w:ilvl w:val="0"/>
          <w:numId w:val="32"/>
        </w:numPr>
        <w:rPr>
          <w:rFonts w:ascii="Calibri" w:cs="Calibri" w:eastAsia="Calibri" w:hAnsi="Calibri"/>
          <w:sz w:val="22"/>
          <w:szCs w:val="22"/>
          <w:color w:val="auto"/>
        </w:rPr>
      </w:pPr>
      <w:r>
        <w:rPr>
          <w:rFonts w:ascii="Calibri" w:cs="Calibri" w:eastAsia="Calibri" w:hAnsi="Calibri"/>
          <w:sz w:val="22"/>
          <w:szCs w:val="22"/>
          <w:color w:val="auto"/>
        </w:rPr>
        <w:t>In connecton with the occurrence of any Equity Restructuring, and notwithstanding anything to the contrary in Sectons 13.1(a) and 13.1(b) hereof:</w:t>
      </w:r>
    </w:p>
    <w:p>
      <w:pPr>
        <w:spacing w:after="0" w:line="257" w:lineRule="exact"/>
        <w:rPr>
          <w:rFonts w:ascii="Calibri" w:cs="Calibri" w:eastAsia="Calibri" w:hAnsi="Calibri"/>
          <w:sz w:val="22"/>
          <w:szCs w:val="22"/>
          <w:color w:val="auto"/>
        </w:rPr>
      </w:pPr>
    </w:p>
    <w:p>
      <w:pPr>
        <w:ind w:left="480" w:firstLine="1302"/>
        <w:spacing w:after="0" w:line="229" w:lineRule="auto"/>
        <w:tabs>
          <w:tab w:leader="none" w:pos="2152" w:val="left"/>
        </w:tabs>
        <w:numPr>
          <w:ilvl w:val="1"/>
          <w:numId w:val="32"/>
        </w:numPr>
        <w:rPr>
          <w:rFonts w:ascii="Calibri" w:cs="Calibri" w:eastAsia="Calibri" w:hAnsi="Calibri"/>
          <w:sz w:val="22"/>
          <w:szCs w:val="22"/>
          <w:color w:val="auto"/>
        </w:rPr>
      </w:pPr>
      <w:r>
        <w:rPr>
          <w:rFonts w:ascii="Calibri" w:cs="Calibri" w:eastAsia="Calibri" w:hAnsi="Calibri"/>
          <w:sz w:val="22"/>
          <w:szCs w:val="22"/>
          <w:color w:val="auto"/>
        </w:rPr>
        <w:t>the number and type of securites subject to each outstanding Award and the exercise price or grant price thereof, if applicable, shall be equitably adjusted. The adjustments provided under this Secton 13.1(c)(i) shall be fnal and binding on the afected Partcipant and the Company.</w:t>
      </w:r>
    </w:p>
    <w:p>
      <w:pPr>
        <w:spacing w:after="0" w:line="257" w:lineRule="exact"/>
        <w:rPr>
          <w:rFonts w:ascii="Calibri" w:cs="Calibri" w:eastAsia="Calibri" w:hAnsi="Calibri"/>
          <w:sz w:val="22"/>
          <w:szCs w:val="22"/>
          <w:color w:val="auto"/>
        </w:rPr>
      </w:pPr>
    </w:p>
    <w:p>
      <w:pPr>
        <w:ind w:left="480" w:right="100" w:firstLine="1302"/>
        <w:spacing w:after="0" w:line="229" w:lineRule="auto"/>
        <w:tabs>
          <w:tab w:leader="none" w:pos="2201" w:val="left"/>
        </w:tabs>
        <w:numPr>
          <w:ilvl w:val="1"/>
          <w:numId w:val="32"/>
        </w:numPr>
        <w:rPr>
          <w:rFonts w:ascii="Calibri" w:cs="Calibri" w:eastAsia="Calibri" w:hAnsi="Calibri"/>
          <w:sz w:val="22"/>
          <w:szCs w:val="22"/>
          <w:color w:val="auto"/>
        </w:rPr>
      </w:pPr>
      <w:r>
        <w:rPr>
          <w:rFonts w:ascii="Calibri" w:cs="Calibri" w:eastAsia="Calibri" w:hAnsi="Calibri"/>
          <w:sz w:val="22"/>
          <w:szCs w:val="22"/>
          <w:color w:val="auto"/>
        </w:rPr>
        <w:t>the Commitee shall make such equitable adjustments, if any, as the Commitee in its discreton may deem appropriate to refect such Equity Restructuring with respect to the aggregate number and kind of shares that may be issued under the Plan (including, without limitaton, adjustments of the limitatons in Sectons 4.1 and 4.3 hereof).</w:t>
      </w:r>
    </w:p>
    <w:p>
      <w:pPr>
        <w:spacing w:after="0" w:line="245" w:lineRule="exact"/>
        <w:rPr>
          <w:sz w:val="20"/>
          <w:szCs w:val="20"/>
          <w:color w:val="auto"/>
        </w:rPr>
      </w:pPr>
    </w:p>
    <w:p>
      <w:pPr>
        <w:ind w:left="480"/>
        <w:spacing w:after="0"/>
        <w:tabs>
          <w:tab w:leader="none" w:pos="1040" w:val="left"/>
        </w:tabs>
        <w:rPr>
          <w:sz w:val="20"/>
          <w:szCs w:val="20"/>
          <w:color w:val="auto"/>
        </w:rPr>
      </w:pPr>
      <w:r>
        <w:rPr>
          <w:rFonts w:ascii="Calibri" w:cs="Calibri" w:eastAsia="Calibri" w:hAnsi="Calibri"/>
          <w:sz w:val="22"/>
          <w:szCs w:val="22"/>
          <w:color w:val="auto"/>
        </w:rPr>
        <w:t>13.2</w:t>
      </w:r>
      <w:r>
        <w:rPr>
          <w:sz w:val="20"/>
          <w:szCs w:val="20"/>
          <w:color w:val="auto"/>
        </w:rPr>
        <w:tab/>
      </w:r>
      <w:r>
        <w:rPr>
          <w:rFonts w:ascii="Calibri" w:cs="Calibri" w:eastAsia="Calibri" w:hAnsi="Calibri"/>
          <w:sz w:val="21"/>
          <w:szCs w:val="21"/>
          <w:u w:val="single" w:color="auto"/>
          <w:color w:val="auto"/>
        </w:rPr>
        <w:t>Change in Control</w:t>
      </w:r>
      <w:r>
        <w:rPr>
          <w:rFonts w:ascii="Calibri" w:cs="Calibri" w:eastAsia="Calibri" w:hAnsi="Calibri"/>
          <w:sz w:val="21"/>
          <w:szCs w:val="21"/>
          <w:color w:val="auto"/>
        </w:rPr>
        <w:t>.</w:t>
      </w:r>
    </w:p>
    <w:p>
      <w:pPr>
        <w:spacing w:after="0" w:line="257" w:lineRule="exact"/>
        <w:rPr>
          <w:sz w:val="20"/>
          <w:szCs w:val="20"/>
          <w:color w:val="auto"/>
        </w:rPr>
      </w:pPr>
    </w:p>
    <w:p>
      <w:pPr>
        <w:ind w:right="160" w:firstLine="1133"/>
        <w:spacing w:after="0" w:line="231" w:lineRule="auto"/>
        <w:tabs>
          <w:tab w:leader="none" w:pos="1563" w:val="left"/>
        </w:tabs>
        <w:numPr>
          <w:ilvl w:val="0"/>
          <w:numId w:val="33"/>
        </w:numPr>
        <w:rPr>
          <w:rFonts w:ascii="Calibri" w:cs="Calibri" w:eastAsia="Calibri" w:hAnsi="Calibri"/>
          <w:sz w:val="22"/>
          <w:szCs w:val="22"/>
          <w:color w:val="auto"/>
        </w:rPr>
      </w:pPr>
      <w:r>
        <w:rPr>
          <w:rFonts w:ascii="Calibri" w:cs="Calibri" w:eastAsia="Calibri" w:hAnsi="Calibri"/>
          <w:sz w:val="22"/>
          <w:szCs w:val="22"/>
          <w:color w:val="auto"/>
        </w:rPr>
        <w:t>Notwithstanding Secton 13.1 hereof, and provided that any applicable Award Agreement does not expressly preclude the following from applying, if a Change in Control occurs and Awards that vest solely on the Partcipant’s contnued Service are not converted, assumed, substtuted or replaced by a successor or survivor corporaton, or a parent or subsidiary thereof, then immediately prior to the Change in Control such Awards shall become fully exercisable and all forfeiture restrictons on such Awards shall lapse and, immediately following the consummaton of such Change in Control, all such Awards shall terminate and cease to be outstanding.</w:t>
      </w:r>
    </w:p>
    <w:p>
      <w:pPr>
        <w:spacing w:after="0" w:line="244" w:lineRule="exact"/>
        <w:rPr>
          <w:rFonts w:ascii="Calibri" w:cs="Calibri" w:eastAsia="Calibri" w:hAnsi="Calibri"/>
          <w:sz w:val="22"/>
          <w:szCs w:val="22"/>
          <w:color w:val="auto"/>
        </w:rPr>
      </w:pPr>
    </w:p>
    <w:p>
      <w:pPr>
        <w:ind w:right="100" w:firstLine="1133"/>
        <w:spacing w:after="0" w:line="231" w:lineRule="auto"/>
        <w:tabs>
          <w:tab w:leader="none" w:pos="1573" w:val="left"/>
        </w:tabs>
        <w:numPr>
          <w:ilvl w:val="0"/>
          <w:numId w:val="33"/>
        </w:numPr>
        <w:rPr>
          <w:rFonts w:ascii="Calibri" w:cs="Calibri" w:eastAsia="Calibri" w:hAnsi="Calibri"/>
          <w:sz w:val="22"/>
          <w:szCs w:val="22"/>
          <w:color w:val="auto"/>
        </w:rPr>
      </w:pPr>
      <w:r>
        <w:rPr>
          <w:rFonts w:ascii="Calibri" w:cs="Calibri" w:eastAsia="Calibri" w:hAnsi="Calibri"/>
          <w:sz w:val="22"/>
          <w:szCs w:val="22"/>
          <w:color w:val="auto"/>
        </w:rPr>
        <w:t>Notwithstanding Secton 13.1 hereof, Awards that vest based on the atainment of performance-based conditons shall be subject to the provisions of the Award Agreement governing the impact of a Change in Control, provided that any such provisions in the Award Agreement shall (i) not permit the vestng of Awards at a rate that is greater than the actual level of atainment and/or (ii) provide for pro-rated vestng of the Award based on any reducton to the performance period resultng from the Change in Control.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Calibri" w:cs="Calibri" w:eastAsia="Calibri" w:hAnsi="Calibri"/>
          <w:sz w:val="20"/>
          <w:szCs w:val="20"/>
          <w:color w:val="auto"/>
        </w:rPr>
        <w:t>21</w:t>
      </w:r>
    </w:p>
    <w:p>
      <w:pPr>
        <w:sectPr>
          <w:pgSz w:w="11900" w:h="16838" w:orient="portrait"/>
          <w:cols w:equalWidth="0" w:num="1">
            <w:col w:w="10920"/>
          </w:cols>
          <w:pgMar w:left="580" w:top="1367" w:right="399" w:bottom="1440" w:gutter="0" w:footer="0" w:header="0"/>
        </w:sectPr>
      </w:pPr>
    </w:p>
    <w:bookmarkStart w:id="70" w:name="page71"/>
    <w:bookmarkEnd w:id="70"/>
    <w:p>
      <w:pPr>
        <w:spacing w:after="0" w:line="184" w:lineRule="exact"/>
        <w:rPr>
          <w:sz w:val="20"/>
          <w:szCs w:val="20"/>
          <w:color w:val="auto"/>
        </w:rPr>
      </w:pPr>
    </w:p>
    <w:p>
      <w:pPr>
        <w:ind w:left="160" w:right="260" w:firstLine="1133"/>
        <w:spacing w:after="0" w:line="231" w:lineRule="auto"/>
        <w:tabs>
          <w:tab w:leader="none" w:pos="1711" w:val="left"/>
        </w:tabs>
        <w:numPr>
          <w:ilvl w:val="0"/>
          <w:numId w:val="34"/>
        </w:numPr>
        <w:rPr>
          <w:rFonts w:ascii="Calibri" w:cs="Calibri" w:eastAsia="Calibri" w:hAnsi="Calibri"/>
          <w:sz w:val="22"/>
          <w:szCs w:val="22"/>
          <w:color w:val="auto"/>
        </w:rPr>
      </w:pPr>
      <w:r>
        <w:rPr>
          <w:rFonts w:ascii="Calibri" w:cs="Calibri" w:eastAsia="Calibri" w:hAnsi="Calibri"/>
          <w:sz w:val="22"/>
          <w:szCs w:val="22"/>
          <w:color w:val="auto"/>
        </w:rPr>
        <w:t>Where Awards are assumed or contnued afer a Change in Control, the Commitee may provide that the vestng of one or more Awards will automatcally accelerate upon an involuntary terminaton of the Partcipant’s employment or service within a designated period following the efectve date of such Change in Control. Any such Award shall accordingly, upon an involuntary terminaton of the Partcipant’s employment or service in connecton with a Change in Control, become fully exercisable and all forfeiture restrictons on such Award shall lapse.</w:t>
      </w:r>
    </w:p>
    <w:p>
      <w:pPr>
        <w:spacing w:after="0" w:line="246" w:lineRule="exact"/>
        <w:rPr>
          <w:rFonts w:ascii="Calibri" w:cs="Calibri" w:eastAsia="Calibri" w:hAnsi="Calibri"/>
          <w:sz w:val="22"/>
          <w:szCs w:val="22"/>
          <w:color w:val="auto"/>
        </w:rPr>
      </w:pPr>
    </w:p>
    <w:p>
      <w:pPr>
        <w:jc w:val="both"/>
        <w:ind w:left="160" w:right="80" w:firstLine="1133"/>
        <w:spacing w:after="0" w:line="232" w:lineRule="auto"/>
        <w:tabs>
          <w:tab w:leader="none" w:pos="1733" w:val="left"/>
        </w:tabs>
        <w:numPr>
          <w:ilvl w:val="0"/>
          <w:numId w:val="34"/>
        </w:numPr>
        <w:rPr>
          <w:rFonts w:ascii="Calibri" w:cs="Calibri" w:eastAsia="Calibri" w:hAnsi="Calibri"/>
          <w:sz w:val="22"/>
          <w:szCs w:val="22"/>
          <w:color w:val="auto"/>
        </w:rPr>
      </w:pPr>
      <w:r>
        <w:rPr>
          <w:rFonts w:ascii="Calibri" w:cs="Calibri" w:eastAsia="Calibri" w:hAnsi="Calibri"/>
          <w:sz w:val="22"/>
          <w:szCs w:val="22"/>
          <w:color w:val="auto"/>
        </w:rPr>
        <w:t>The porton of any Incentve Stock Opton accelerated in connecton with a Change in Control shall remain exercisable as an Incentve Stock Opton only to the extent the applicable $100,000 limitaton is not exceeded. To the extent such U.S. dollar limitaton is exceeded, the accelerated porton of such Opton shall be exercisable as a Non-Statutory Opton under the U.S. federal tax laws.</w:t>
      </w:r>
    </w:p>
    <w:p>
      <w:pPr>
        <w:spacing w:after="0" w:line="244" w:lineRule="exact"/>
        <w:rPr>
          <w:sz w:val="20"/>
          <w:szCs w:val="20"/>
          <w:color w:val="auto"/>
        </w:rPr>
      </w:pPr>
    </w:p>
    <w:p>
      <w:pPr>
        <w:ind w:right="80" w:firstLine="647"/>
        <w:spacing w:after="0" w:line="231" w:lineRule="auto"/>
        <w:rPr>
          <w:sz w:val="20"/>
          <w:szCs w:val="20"/>
          <w:color w:val="auto"/>
        </w:rPr>
      </w:pPr>
      <w:r>
        <w:rPr>
          <w:rFonts w:ascii="Calibri" w:cs="Calibri" w:eastAsia="Calibri" w:hAnsi="Calibri"/>
          <w:sz w:val="22"/>
          <w:szCs w:val="22"/>
          <w:color w:val="auto"/>
        </w:rPr>
        <w:t xml:space="preserve">13.3 </w:t>
      </w:r>
      <w:r>
        <w:rPr>
          <w:rFonts w:ascii="Calibri" w:cs="Calibri" w:eastAsia="Calibri" w:hAnsi="Calibri"/>
          <w:sz w:val="22"/>
          <w:szCs w:val="22"/>
          <w:u w:val="single" w:color="auto"/>
          <w:color w:val="auto"/>
        </w:rPr>
        <w:t>No Other Rights</w:t>
      </w:r>
      <w:r>
        <w:rPr>
          <w:rFonts w:ascii="Calibri" w:cs="Calibri" w:eastAsia="Calibri" w:hAnsi="Calibri"/>
          <w:sz w:val="22"/>
          <w:szCs w:val="22"/>
          <w:color w:val="auto"/>
        </w:rPr>
        <w:t>. Except as expressly provided in the Plan, no Partcipant shall have any rights by reason of any subdivision or consolidaton of Shares of any class, the payment of any dividend, any increase or decrease in the number of Shares of any class or any dissoluton, liquidaton, merger, or consolidaton of the Company or any other corporaton. Except as expressly provided in the Plan or pursuant to acton of the Commitee under the Plan, no issuance by the Company of Shares of any class, or securites convertble into Shares of any class, shall afect, and no adjustment by reason thereof shall be made with respect to, the number of Shares subject to an Award or the grant or the exercise price of any Award.</w:t>
      </w:r>
    </w:p>
    <w:p>
      <w:pPr>
        <w:spacing w:after="0" w:line="248" w:lineRule="exact"/>
        <w:rPr>
          <w:sz w:val="20"/>
          <w:szCs w:val="20"/>
          <w:color w:val="auto"/>
        </w:rPr>
      </w:pPr>
    </w:p>
    <w:p>
      <w:pPr>
        <w:spacing w:after="0"/>
        <w:tabs>
          <w:tab w:leader="none" w:pos="1220" w:val="left"/>
        </w:tabs>
        <w:rPr>
          <w:sz w:val="20"/>
          <w:szCs w:val="20"/>
          <w:color w:val="auto"/>
        </w:rPr>
      </w:pPr>
      <w:r>
        <w:rPr>
          <w:rFonts w:ascii="Calibri" w:cs="Calibri" w:eastAsia="Calibri" w:hAnsi="Calibri"/>
          <w:sz w:val="22"/>
          <w:szCs w:val="22"/>
          <w:b w:val="1"/>
          <w:bCs w:val="1"/>
          <w:color w:val="auto"/>
        </w:rPr>
        <w:t>ARTICLE 14.</w:t>
      </w:r>
      <w:r>
        <w:rPr>
          <w:sz w:val="20"/>
          <w:szCs w:val="20"/>
          <w:color w:val="auto"/>
        </w:rPr>
        <w:tab/>
      </w:r>
      <w:r>
        <w:rPr>
          <w:rFonts w:ascii="Calibri" w:cs="Calibri" w:eastAsia="Calibri" w:hAnsi="Calibri"/>
          <w:sz w:val="21"/>
          <w:szCs w:val="21"/>
          <w:b w:val="1"/>
          <w:bCs w:val="1"/>
          <w:color w:val="auto"/>
        </w:rPr>
        <w:t>EFFECTIVE AND EXPIRATION DATE</w:t>
      </w:r>
    </w:p>
    <w:p>
      <w:pPr>
        <w:spacing w:after="0" w:line="255" w:lineRule="exact"/>
        <w:rPr>
          <w:sz w:val="20"/>
          <w:szCs w:val="20"/>
          <w:color w:val="auto"/>
        </w:rPr>
      </w:pPr>
    </w:p>
    <w:p>
      <w:pPr>
        <w:ind w:right="180" w:firstLine="647"/>
        <w:spacing w:after="0" w:line="229" w:lineRule="auto"/>
        <w:rPr>
          <w:sz w:val="20"/>
          <w:szCs w:val="20"/>
          <w:color w:val="auto"/>
        </w:rPr>
      </w:pPr>
      <w:r>
        <w:rPr>
          <w:rFonts w:ascii="Calibri" w:cs="Calibri" w:eastAsia="Calibri" w:hAnsi="Calibri"/>
          <w:sz w:val="22"/>
          <w:szCs w:val="22"/>
          <w:color w:val="auto"/>
        </w:rPr>
        <w:t xml:space="preserve">14.1 </w:t>
      </w:r>
      <w:r>
        <w:rPr>
          <w:rFonts w:ascii="Calibri" w:cs="Calibri" w:eastAsia="Calibri" w:hAnsi="Calibri"/>
          <w:sz w:val="22"/>
          <w:szCs w:val="22"/>
          <w:u w:val="single" w:color="auto"/>
          <w:color w:val="auto"/>
        </w:rPr>
        <w:t>Plan Efectve Date</w:t>
      </w:r>
      <w:r>
        <w:rPr>
          <w:rFonts w:ascii="Calibri" w:cs="Calibri" w:eastAsia="Calibri" w:hAnsi="Calibri"/>
          <w:sz w:val="22"/>
          <w:szCs w:val="22"/>
          <w:color w:val="auto"/>
        </w:rPr>
        <w:t>. The Plan was approved by the Board on February 20, 2018 and shall become efectve upon approval of the shareholders of the Company.</w:t>
      </w:r>
    </w:p>
    <w:p>
      <w:pPr>
        <w:spacing w:after="0" w:line="257" w:lineRule="exact"/>
        <w:rPr>
          <w:sz w:val="20"/>
          <w:szCs w:val="20"/>
          <w:color w:val="auto"/>
        </w:rPr>
      </w:pPr>
    </w:p>
    <w:p>
      <w:pPr>
        <w:ind w:right="120" w:firstLine="647"/>
        <w:spacing w:after="0" w:line="229" w:lineRule="auto"/>
        <w:rPr>
          <w:sz w:val="20"/>
          <w:szCs w:val="20"/>
          <w:color w:val="auto"/>
        </w:rPr>
      </w:pPr>
      <w:r>
        <w:rPr>
          <w:rFonts w:ascii="Calibri" w:cs="Calibri" w:eastAsia="Calibri" w:hAnsi="Calibri"/>
          <w:sz w:val="22"/>
          <w:szCs w:val="22"/>
          <w:color w:val="auto"/>
        </w:rPr>
        <w:t xml:space="preserve">14.2 </w:t>
      </w:r>
      <w:r>
        <w:rPr>
          <w:rFonts w:ascii="Calibri" w:cs="Calibri" w:eastAsia="Calibri" w:hAnsi="Calibri"/>
          <w:sz w:val="22"/>
          <w:szCs w:val="22"/>
          <w:u w:val="single" w:color="auto"/>
          <w:color w:val="auto"/>
        </w:rPr>
        <w:t>Expiraton Date</w:t>
      </w:r>
      <w:r>
        <w:rPr>
          <w:rFonts w:ascii="Calibri" w:cs="Calibri" w:eastAsia="Calibri" w:hAnsi="Calibri"/>
          <w:sz w:val="22"/>
          <w:szCs w:val="22"/>
          <w:color w:val="auto"/>
        </w:rPr>
        <w:t>. The Plan will contnue in efect untl it is terminated by the Board pursuant to Secton 15.1 hereof, except that no Incentve Stock Optons may be granted under the Plan afer February 20, 2028. Any Awards that are outstanding on the date the Plan terminates shall remain in force according to the terms of the Plan and the applicable Award Agreement.</w:t>
      </w:r>
    </w:p>
    <w:p>
      <w:pPr>
        <w:spacing w:after="0" w:line="314" w:lineRule="exact"/>
        <w:rPr>
          <w:sz w:val="20"/>
          <w:szCs w:val="20"/>
          <w:color w:val="auto"/>
        </w:rPr>
      </w:pPr>
    </w:p>
    <w:p>
      <w:pPr>
        <w:spacing w:after="0"/>
        <w:tabs>
          <w:tab w:leader="none" w:pos="1220" w:val="left"/>
        </w:tabs>
        <w:rPr>
          <w:sz w:val="20"/>
          <w:szCs w:val="20"/>
          <w:color w:val="auto"/>
        </w:rPr>
      </w:pPr>
      <w:r>
        <w:rPr>
          <w:rFonts w:ascii="Calibri" w:cs="Calibri" w:eastAsia="Calibri" w:hAnsi="Calibri"/>
          <w:sz w:val="22"/>
          <w:szCs w:val="22"/>
          <w:b w:val="1"/>
          <w:bCs w:val="1"/>
          <w:color w:val="auto"/>
        </w:rPr>
        <w:t>ARTICLE 15.</w:t>
      </w:r>
      <w:r>
        <w:rPr>
          <w:sz w:val="20"/>
          <w:szCs w:val="20"/>
          <w:color w:val="auto"/>
        </w:rPr>
        <w:tab/>
      </w:r>
      <w:r>
        <w:rPr>
          <w:rFonts w:ascii="Calibri" w:cs="Calibri" w:eastAsia="Calibri" w:hAnsi="Calibri"/>
          <w:sz w:val="21"/>
          <w:szCs w:val="21"/>
          <w:b w:val="1"/>
          <w:bCs w:val="1"/>
          <w:color w:val="auto"/>
        </w:rPr>
        <w:t>AMENDMENT, MODIFICATION, AND TERMINATION</w:t>
      </w:r>
    </w:p>
    <w:p>
      <w:pPr>
        <w:spacing w:after="0" w:line="241" w:lineRule="exact"/>
        <w:rPr>
          <w:sz w:val="20"/>
          <w:szCs w:val="20"/>
          <w:color w:val="auto"/>
        </w:rPr>
      </w:pPr>
    </w:p>
    <w:p>
      <w:pPr>
        <w:ind w:firstLine="647"/>
        <w:spacing w:after="0" w:line="232" w:lineRule="auto"/>
        <w:rPr>
          <w:sz w:val="20"/>
          <w:szCs w:val="20"/>
          <w:color w:val="auto"/>
        </w:rPr>
      </w:pPr>
      <w:r>
        <w:rPr>
          <w:rFonts w:ascii="Calibri" w:cs="Calibri" w:eastAsia="Calibri" w:hAnsi="Calibri"/>
          <w:sz w:val="22"/>
          <w:szCs w:val="22"/>
          <w:color w:val="auto"/>
        </w:rPr>
        <w:t xml:space="preserve">15.1 </w:t>
      </w:r>
      <w:r>
        <w:rPr>
          <w:rFonts w:ascii="Calibri" w:cs="Calibri" w:eastAsia="Calibri" w:hAnsi="Calibri"/>
          <w:sz w:val="22"/>
          <w:szCs w:val="22"/>
          <w:u w:val="single" w:color="auto"/>
          <w:color w:val="auto"/>
        </w:rPr>
        <w:t>Amendment, Modifcaton, and Terminaton</w:t>
      </w:r>
      <w:r>
        <w:rPr>
          <w:rFonts w:ascii="Calibri" w:cs="Calibri" w:eastAsia="Calibri" w:hAnsi="Calibri"/>
          <w:sz w:val="22"/>
          <w:szCs w:val="22"/>
          <w:color w:val="auto"/>
        </w:rPr>
        <w:t xml:space="preserve">. Subject to Secton 16.14 hereof, with the approval of the Board, at any tme and from tme to tme, the Commitee may terminate, amend or modify the Plan; </w:t>
      </w:r>
      <w:r>
        <w:rPr>
          <w:rFonts w:ascii="Calibri" w:cs="Calibri" w:eastAsia="Calibri" w:hAnsi="Calibri"/>
          <w:sz w:val="22"/>
          <w:szCs w:val="22"/>
          <w:i w:val="1"/>
          <w:iCs w:val="1"/>
          <w:color w:val="auto"/>
        </w:rPr>
        <w:t>provided, however</w:t>
      </w:r>
      <w:r>
        <w:rPr>
          <w:rFonts w:ascii="Calibri" w:cs="Calibri" w:eastAsia="Calibri" w:hAnsi="Calibri"/>
          <w:sz w:val="22"/>
          <w:szCs w:val="22"/>
          <w:color w:val="auto"/>
        </w:rPr>
        <w:t>, that to the extent necessary and desirable to comply with any Applicable Laws, the Company shall obtain shareholder approval of any Plan amendment in such a manner and to such a degree as required. Notwithstanding any provision in this Plan to the contrary, absent approval of the shareholders of the Company, and except as permited by Artcle 13, no Opton or SAR may be amended to reduce the per-Share exercise price of the Shares subject to such Opton or SAR below the per-Share exercise price as of the date the Opton or SAR is granted and (a) no Opton or SAR may be granted in exchange for, or in connecton with, the cancellaton, surrender or substtuton of an Opton or SAR having a higher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22</w:t>
      </w:r>
    </w:p>
    <w:p>
      <w:pPr>
        <w:sectPr>
          <w:pgSz w:w="11900" w:h="16838" w:orient="portrait"/>
          <w:cols w:equalWidth="0" w:num="1">
            <w:col w:w="11120"/>
          </w:cols>
          <w:pgMar w:left="420" w:top="1440" w:right="359" w:bottom="1440" w:gutter="0" w:footer="0" w:header="0"/>
        </w:sectPr>
      </w:pPr>
    </w:p>
    <w:bookmarkStart w:id="71" w:name="page72"/>
    <w:bookmarkEnd w:id="71"/>
    <w:p>
      <w:pPr>
        <w:jc w:val="both"/>
        <w:ind w:left="100" w:right="320"/>
        <w:spacing w:after="0" w:line="229" w:lineRule="auto"/>
        <w:rPr>
          <w:sz w:val="20"/>
          <w:szCs w:val="20"/>
          <w:color w:val="auto"/>
        </w:rPr>
      </w:pPr>
      <w:r>
        <w:rPr>
          <w:rFonts w:ascii="Calibri" w:cs="Calibri" w:eastAsia="Calibri" w:hAnsi="Calibri"/>
          <w:sz w:val="22"/>
          <w:szCs w:val="22"/>
          <w:color w:val="auto"/>
        </w:rPr>
        <w:t>per-Share exercise price and (b) no Opton or SAR may be cancelled in exchange for, or in connecton with, the payment of a cash amount or another Award at a tme when the Opton or SAR has a per-Share exercise price that is higher than the Fair Market Value of a Share.</w:t>
      </w:r>
    </w:p>
    <w:p>
      <w:pPr>
        <w:spacing w:after="0" w:line="257" w:lineRule="exact"/>
        <w:rPr>
          <w:sz w:val="20"/>
          <w:szCs w:val="20"/>
          <w:color w:val="auto"/>
        </w:rPr>
      </w:pPr>
    </w:p>
    <w:p>
      <w:pPr>
        <w:ind w:left="100" w:right="120" w:firstLine="647"/>
        <w:spacing w:after="0" w:line="231" w:lineRule="auto"/>
        <w:rPr>
          <w:sz w:val="20"/>
          <w:szCs w:val="20"/>
          <w:color w:val="auto"/>
        </w:rPr>
      </w:pPr>
      <w:r>
        <w:rPr>
          <w:rFonts w:ascii="Calibri" w:cs="Calibri" w:eastAsia="Calibri" w:hAnsi="Calibri"/>
          <w:sz w:val="22"/>
          <w:szCs w:val="22"/>
          <w:color w:val="auto"/>
        </w:rPr>
        <w:t xml:space="preserve">15.2 </w:t>
      </w:r>
      <w:r>
        <w:rPr>
          <w:rFonts w:ascii="Calibri" w:cs="Calibri" w:eastAsia="Calibri" w:hAnsi="Calibri"/>
          <w:sz w:val="22"/>
          <w:szCs w:val="22"/>
          <w:u w:val="single" w:color="auto"/>
          <w:color w:val="auto"/>
        </w:rPr>
        <w:t>Awards Previously Granted</w:t>
      </w:r>
      <w:r>
        <w:rPr>
          <w:rFonts w:ascii="Calibri" w:cs="Calibri" w:eastAsia="Calibri" w:hAnsi="Calibri"/>
          <w:sz w:val="22"/>
          <w:szCs w:val="22"/>
          <w:color w:val="auto"/>
        </w:rPr>
        <w:t xml:space="preserve">. Except with respect to amendments made or other actons taken pursuant to Secton 16.14 hereof or any amendment or other acton with respect to an outstanding Award that may be required or desirable to facilitate compliance with Applicable Laws, as determined by the Commitee in its sole discreton, no terminaton, amendment, or modifcaton of the Plan shall afect adversely, in any material way, any Award previously granted pursuant to the Plan without the prior writen consent of the Partcipant;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however</w:t>
      </w:r>
      <w:r>
        <w:rPr>
          <w:rFonts w:ascii="Calibri" w:cs="Calibri" w:eastAsia="Calibri" w:hAnsi="Calibri"/>
          <w:sz w:val="22"/>
          <w:szCs w:val="22"/>
          <w:color w:val="auto"/>
        </w:rPr>
        <w:t>, that an amendment or modifcaton that may cause an Incentve Stock Opton to become a Non-Qualifed Stock Opton shall not be treated as adversely afectng the rights of the Partcipant.</w:t>
      </w:r>
    </w:p>
    <w:p>
      <w:pPr>
        <w:spacing w:after="0" w:line="246" w:lineRule="exact"/>
        <w:rPr>
          <w:sz w:val="20"/>
          <w:szCs w:val="20"/>
          <w:color w:val="auto"/>
        </w:rPr>
      </w:pPr>
    </w:p>
    <w:p>
      <w:pPr>
        <w:ind w:left="100"/>
        <w:spacing w:after="0"/>
        <w:tabs>
          <w:tab w:leader="none" w:pos="1320" w:val="left"/>
        </w:tabs>
        <w:rPr>
          <w:sz w:val="20"/>
          <w:szCs w:val="20"/>
          <w:color w:val="auto"/>
        </w:rPr>
      </w:pPr>
      <w:r>
        <w:rPr>
          <w:rFonts w:ascii="Calibri" w:cs="Calibri" w:eastAsia="Calibri" w:hAnsi="Calibri"/>
          <w:sz w:val="22"/>
          <w:szCs w:val="22"/>
          <w:b w:val="1"/>
          <w:bCs w:val="1"/>
          <w:color w:val="auto"/>
        </w:rPr>
        <w:t>ARTICLE 16.</w:t>
      </w:r>
      <w:r>
        <w:rPr>
          <w:sz w:val="20"/>
          <w:szCs w:val="20"/>
          <w:color w:val="auto"/>
        </w:rPr>
        <w:tab/>
      </w:r>
      <w:r>
        <w:rPr>
          <w:rFonts w:ascii="Calibri" w:cs="Calibri" w:eastAsia="Calibri" w:hAnsi="Calibri"/>
          <w:sz w:val="21"/>
          <w:szCs w:val="21"/>
          <w:b w:val="1"/>
          <w:bCs w:val="1"/>
          <w:color w:val="auto"/>
        </w:rPr>
        <w:t>GENERAL PROVISIONS</w:t>
      </w:r>
    </w:p>
    <w:p>
      <w:pPr>
        <w:spacing w:after="0" w:line="255" w:lineRule="exact"/>
        <w:rPr>
          <w:sz w:val="20"/>
          <w:szCs w:val="20"/>
          <w:color w:val="auto"/>
        </w:rPr>
      </w:pPr>
    </w:p>
    <w:p>
      <w:pPr>
        <w:ind w:left="100" w:right="140" w:firstLine="647"/>
        <w:spacing w:after="0" w:line="229" w:lineRule="auto"/>
        <w:rPr>
          <w:sz w:val="20"/>
          <w:szCs w:val="20"/>
          <w:color w:val="auto"/>
        </w:rPr>
      </w:pPr>
      <w:r>
        <w:rPr>
          <w:rFonts w:ascii="Calibri" w:cs="Calibri" w:eastAsia="Calibri" w:hAnsi="Calibri"/>
          <w:sz w:val="22"/>
          <w:szCs w:val="22"/>
          <w:color w:val="auto"/>
        </w:rPr>
        <w:t xml:space="preserve">16.1 </w:t>
      </w:r>
      <w:r>
        <w:rPr>
          <w:rFonts w:ascii="Calibri" w:cs="Calibri" w:eastAsia="Calibri" w:hAnsi="Calibri"/>
          <w:sz w:val="22"/>
          <w:szCs w:val="22"/>
          <w:u w:val="single" w:color="auto"/>
          <w:color w:val="auto"/>
        </w:rPr>
        <w:t>No Rights to Awards</w:t>
      </w:r>
      <w:r>
        <w:rPr>
          <w:rFonts w:ascii="Calibri" w:cs="Calibri" w:eastAsia="Calibri" w:hAnsi="Calibri"/>
          <w:sz w:val="22"/>
          <w:szCs w:val="22"/>
          <w:color w:val="auto"/>
        </w:rPr>
        <w:t>. No Eligible Individual or other person shall have any claim to be granted any Award pursuant to the Plan, and neither the Company nor the Commitee is obligated to treat Eligible Individuals, Partcipants or any other persons uniformly.</w:t>
      </w:r>
    </w:p>
    <w:p>
      <w:pPr>
        <w:spacing w:after="0" w:line="257" w:lineRule="exact"/>
        <w:rPr>
          <w:sz w:val="20"/>
          <w:szCs w:val="20"/>
          <w:color w:val="auto"/>
        </w:rPr>
      </w:pPr>
    </w:p>
    <w:p>
      <w:pPr>
        <w:ind w:left="100" w:right="140" w:firstLine="647"/>
        <w:spacing w:after="0" w:line="231" w:lineRule="auto"/>
        <w:rPr>
          <w:sz w:val="20"/>
          <w:szCs w:val="20"/>
          <w:color w:val="auto"/>
        </w:rPr>
      </w:pPr>
      <w:r>
        <w:rPr>
          <w:rFonts w:ascii="Calibri" w:cs="Calibri" w:eastAsia="Calibri" w:hAnsi="Calibri"/>
          <w:sz w:val="22"/>
          <w:szCs w:val="22"/>
          <w:color w:val="auto"/>
        </w:rPr>
        <w:t xml:space="preserve">16.2 </w:t>
      </w:r>
      <w:r>
        <w:rPr>
          <w:rFonts w:ascii="Calibri" w:cs="Calibri" w:eastAsia="Calibri" w:hAnsi="Calibri"/>
          <w:sz w:val="22"/>
          <w:szCs w:val="22"/>
          <w:u w:val="single" w:color="auto"/>
          <w:color w:val="auto"/>
        </w:rPr>
        <w:t>No Shareholders Rights</w:t>
      </w:r>
      <w:r>
        <w:rPr>
          <w:rFonts w:ascii="Calibri" w:cs="Calibri" w:eastAsia="Calibri" w:hAnsi="Calibri"/>
          <w:sz w:val="22"/>
          <w:szCs w:val="22"/>
          <w:color w:val="auto"/>
        </w:rPr>
        <w:t>. Except as otherwise provided herein, a Partcipant shall have none of the rights of a shareholder with respect to Shares covered by any Award, including the right to vote or receive dividends, untl the Partcipant becomes the record owner of such Shares as refected in the books of the Company, notwithstanding the exercise of an Opton or SAR or setlement of another Award or the issuance of Fractonal Shares, to the extent authorized pursuant to Secton 16.10.</w:t>
      </w:r>
    </w:p>
    <w:p>
      <w:pPr>
        <w:spacing w:after="0" w:line="247" w:lineRule="exact"/>
        <w:rPr>
          <w:sz w:val="20"/>
          <w:szCs w:val="20"/>
          <w:color w:val="auto"/>
        </w:rPr>
      </w:pPr>
    </w:p>
    <w:p>
      <w:pPr>
        <w:ind w:left="100" w:right="200" w:firstLine="647"/>
        <w:spacing w:after="0" w:line="232" w:lineRule="auto"/>
        <w:rPr>
          <w:sz w:val="20"/>
          <w:szCs w:val="20"/>
          <w:color w:val="auto"/>
        </w:rPr>
      </w:pPr>
      <w:r>
        <w:rPr>
          <w:rFonts w:ascii="Calibri" w:cs="Calibri" w:eastAsia="Calibri" w:hAnsi="Calibri"/>
          <w:sz w:val="22"/>
          <w:szCs w:val="22"/>
          <w:color w:val="auto"/>
        </w:rPr>
        <w:t xml:space="preserve">16.3 </w:t>
      </w:r>
      <w:r>
        <w:rPr>
          <w:rFonts w:ascii="Calibri" w:cs="Calibri" w:eastAsia="Calibri" w:hAnsi="Calibri"/>
          <w:sz w:val="22"/>
          <w:szCs w:val="22"/>
          <w:u w:val="single" w:color="auto"/>
          <w:color w:val="auto"/>
        </w:rPr>
        <w:t>Tax-Related Items</w:t>
      </w:r>
      <w:r>
        <w:rPr>
          <w:rFonts w:ascii="Calibri" w:cs="Calibri" w:eastAsia="Calibri" w:hAnsi="Calibri"/>
          <w:sz w:val="22"/>
          <w:szCs w:val="22"/>
          <w:color w:val="auto"/>
        </w:rPr>
        <w:t>. The Company or any Afliate, as applicable, shall have the authority to require a Partcipant to remit to the Company or an Afliate, an amount sufcient to satsfy the withholding obligatons for Tax-Related Items or to take such other acton as may be necessary or appropriate in the opinion of the Company or an Afliate, as applicable, to satsfy withholding obligatons for Tax-Related Items, including one or a combinaton of the following:</w:t>
      </w:r>
    </w:p>
    <w:p>
      <w:pPr>
        <w:spacing w:after="0" w:line="42" w:lineRule="exact"/>
        <w:rPr>
          <w:sz w:val="20"/>
          <w:szCs w:val="20"/>
          <w:color w:val="auto"/>
        </w:rPr>
      </w:pPr>
    </w:p>
    <w:p>
      <w:pPr>
        <w:jc w:val="both"/>
        <w:ind w:firstLine="8"/>
        <w:spacing w:after="0" w:line="230" w:lineRule="auto"/>
        <w:tabs>
          <w:tab w:leader="none" w:pos="315" w:val="left"/>
        </w:tabs>
        <w:numPr>
          <w:ilvl w:val="0"/>
          <w:numId w:val="35"/>
        </w:numPr>
        <w:rPr>
          <w:rFonts w:ascii="Calibri" w:cs="Calibri" w:eastAsia="Calibri" w:hAnsi="Calibri"/>
          <w:sz w:val="22"/>
          <w:szCs w:val="22"/>
          <w:color w:val="auto"/>
        </w:rPr>
      </w:pPr>
      <w:r>
        <w:rPr>
          <w:rFonts w:ascii="Calibri" w:cs="Calibri" w:eastAsia="Calibri" w:hAnsi="Calibri"/>
          <w:sz w:val="22"/>
          <w:szCs w:val="22"/>
          <w:color w:val="auto"/>
        </w:rPr>
        <w:t>withholding from the Partcipant’s wages or other cash compensaton payable to the Partcipant by the Company or an Afliate; (b) withholding from the proceeds of the sale of Shares acquired pursuant to an Award, either through a voluntary sale or a mandatory sale arranged by the Company on the Partcipant’s behalf, without need of further authorizaton; or (c) in the Commitee’s sole discreton, by withholding Shares otherwise issuable under an Award (or allowing the return of Shares) sufcient, as determined by the Commitee in its sole discreton, to satsfy such Tax-Related Items. No Shares shall be delivered pursuant to an Award to any Partcipant or other person untl the Partcipant or such other person has made arrangements acceptable to the Commitee to satsfy the withholding obligatons for Tax-Related Items.</w:t>
      </w:r>
    </w:p>
    <w:p>
      <w:pPr>
        <w:spacing w:after="0" w:line="264" w:lineRule="exact"/>
        <w:rPr>
          <w:sz w:val="20"/>
          <w:szCs w:val="20"/>
          <w:color w:val="auto"/>
        </w:rPr>
      </w:pPr>
    </w:p>
    <w:p>
      <w:pPr>
        <w:ind w:left="100" w:right="140" w:firstLine="647"/>
        <w:spacing w:after="0" w:line="229" w:lineRule="auto"/>
        <w:rPr>
          <w:sz w:val="20"/>
          <w:szCs w:val="20"/>
          <w:color w:val="auto"/>
        </w:rPr>
      </w:pPr>
      <w:r>
        <w:rPr>
          <w:rFonts w:ascii="Calibri" w:cs="Calibri" w:eastAsia="Calibri" w:hAnsi="Calibri"/>
          <w:sz w:val="22"/>
          <w:szCs w:val="22"/>
          <w:color w:val="auto"/>
        </w:rPr>
        <w:t xml:space="preserve">16.4 </w:t>
      </w:r>
      <w:r>
        <w:rPr>
          <w:rFonts w:ascii="Calibri" w:cs="Calibri" w:eastAsia="Calibri" w:hAnsi="Calibri"/>
          <w:sz w:val="22"/>
          <w:szCs w:val="22"/>
          <w:u w:val="single" w:color="auto"/>
          <w:color w:val="auto"/>
        </w:rPr>
        <w:t>No Right to Employment or Services</w:t>
      </w:r>
      <w:r>
        <w:rPr>
          <w:rFonts w:ascii="Calibri" w:cs="Calibri" w:eastAsia="Calibri" w:hAnsi="Calibri"/>
          <w:sz w:val="22"/>
          <w:szCs w:val="22"/>
          <w:color w:val="auto"/>
        </w:rPr>
        <w:t>. Nothing in the Plan or any Award Agreement shall interfere with or limit in any way the right of the Company or any Afliate to terminate any Partcipant’s Service at any tme, nor confer upon any Partcipant any right to contnue in the Service of the Company or any Afliate.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23</w:t>
      </w:r>
    </w:p>
    <w:p>
      <w:pPr>
        <w:sectPr>
          <w:pgSz w:w="11900" w:h="16838" w:orient="portrait"/>
          <w:cols w:equalWidth="0" w:num="1">
            <w:col w:w="11240"/>
          </w:cols>
          <w:pgMar w:left="320" w:top="1367" w:right="339" w:bottom="1440" w:gutter="0" w:footer="0" w:header="0"/>
        </w:sectPr>
      </w:pPr>
    </w:p>
    <w:bookmarkStart w:id="72" w:name="page73"/>
    <w:bookmarkEnd w:id="72"/>
    <w:p>
      <w:pPr>
        <w:spacing w:after="0" w:line="184" w:lineRule="exact"/>
        <w:rPr>
          <w:sz w:val="20"/>
          <w:szCs w:val="20"/>
          <w:color w:val="auto"/>
        </w:rPr>
      </w:pPr>
    </w:p>
    <w:p>
      <w:pPr>
        <w:ind w:right="280" w:firstLine="647"/>
        <w:spacing w:after="0" w:line="229" w:lineRule="auto"/>
        <w:rPr>
          <w:sz w:val="20"/>
          <w:szCs w:val="20"/>
          <w:color w:val="auto"/>
        </w:rPr>
      </w:pPr>
      <w:r>
        <w:rPr>
          <w:rFonts w:ascii="Calibri" w:cs="Calibri" w:eastAsia="Calibri" w:hAnsi="Calibri"/>
          <w:sz w:val="22"/>
          <w:szCs w:val="22"/>
          <w:color w:val="auto"/>
        </w:rPr>
        <w:t xml:space="preserve">16.5 </w:t>
      </w:r>
      <w:r>
        <w:rPr>
          <w:rFonts w:ascii="Calibri" w:cs="Calibri" w:eastAsia="Calibri" w:hAnsi="Calibri"/>
          <w:sz w:val="22"/>
          <w:szCs w:val="22"/>
          <w:u w:val="single" w:color="auto"/>
          <w:color w:val="auto"/>
        </w:rPr>
        <w:t>Unfunded Status of Awards</w:t>
      </w:r>
      <w:r>
        <w:rPr>
          <w:rFonts w:ascii="Calibri" w:cs="Calibri" w:eastAsia="Calibri" w:hAnsi="Calibri"/>
          <w:sz w:val="22"/>
          <w:szCs w:val="22"/>
          <w:color w:val="auto"/>
        </w:rPr>
        <w:t>. The Plan is intended to be an “unfunded” plan for incentve compensaton. With respect to any payments not yet made to a Partcipant pursuant to an Award, nothing contained in the Plan or any Award Agreement shall give the Partcipant any rights that are greater than those of a general creditor of the Company or any Afliate.</w:t>
      </w:r>
    </w:p>
    <w:p>
      <w:pPr>
        <w:spacing w:after="0" w:line="258" w:lineRule="exact"/>
        <w:rPr>
          <w:sz w:val="20"/>
          <w:szCs w:val="20"/>
          <w:color w:val="auto"/>
        </w:rPr>
      </w:pPr>
    </w:p>
    <w:p>
      <w:pPr>
        <w:ind w:firstLine="647"/>
        <w:spacing w:after="0" w:line="231" w:lineRule="auto"/>
        <w:rPr>
          <w:sz w:val="20"/>
          <w:szCs w:val="20"/>
          <w:color w:val="auto"/>
        </w:rPr>
      </w:pPr>
      <w:r>
        <w:rPr>
          <w:rFonts w:ascii="Calibri" w:cs="Calibri" w:eastAsia="Calibri" w:hAnsi="Calibri"/>
          <w:sz w:val="22"/>
          <w:szCs w:val="22"/>
          <w:color w:val="auto"/>
        </w:rPr>
        <w:t xml:space="preserve">16.6 </w:t>
      </w:r>
      <w:r>
        <w:rPr>
          <w:rFonts w:ascii="Calibri" w:cs="Calibri" w:eastAsia="Calibri" w:hAnsi="Calibri"/>
          <w:sz w:val="22"/>
          <w:szCs w:val="22"/>
          <w:u w:val="single" w:color="auto"/>
          <w:color w:val="auto"/>
        </w:rPr>
        <w:t>Indemnifcaton</w:t>
      </w:r>
      <w:r>
        <w:rPr>
          <w:rFonts w:ascii="Calibri" w:cs="Calibri" w:eastAsia="Calibri" w:hAnsi="Calibri"/>
          <w:sz w:val="22"/>
          <w:szCs w:val="22"/>
          <w:color w:val="auto"/>
        </w:rPr>
        <w:t xml:space="preserve">. To the extent allowable pursuant to Applicable Laws, each member of the Commitee and the Board shall be indemnifed and held harmless by the Company from any loss, cost, liability, or expense that may be imposed upon or reasonably incurred by such member in connecton with or resultng from any claim, acton, suit, or proceeding to which he or she may be a party or in which he or she may be involved by reason of any acton or failure to act pursuant to the Plan and against and from any and all amounts paid by him or her in satsfacton of judgment in such acton, suit, or proceeding against him or her; </w:t>
      </w:r>
      <w:r>
        <w:rPr>
          <w:rFonts w:ascii="Calibri" w:cs="Calibri" w:eastAsia="Calibri" w:hAnsi="Calibri"/>
          <w:sz w:val="22"/>
          <w:szCs w:val="22"/>
          <w:i w:val="1"/>
          <w:iCs w:val="1"/>
          <w:color w:val="auto"/>
        </w:rPr>
        <w:t>provided</w:t>
      </w:r>
      <w:r>
        <w:rPr>
          <w:rFonts w:ascii="Calibri" w:cs="Calibri" w:eastAsia="Calibri" w:hAnsi="Calibri"/>
          <w:sz w:val="22"/>
          <w:szCs w:val="22"/>
          <w:color w:val="auto"/>
        </w:rPr>
        <w:t xml:space="preserve"> he or she gives the Company an opportunity, at its own expense, to handle and defend the same before he or she undertakes to handle and defend it on his or her own behalf. The foregoing right of indemnifcaton shall not be exclusive of any other rights of indemnifcaton to which such persons may be enttled pursuant to the Company’s Certfcate of Incorporaton or Bylaws, as a mater of law, or otherwise, or any power that the Company may have to indemnify them or hold them harmless.</w:t>
      </w:r>
    </w:p>
    <w:p>
      <w:pPr>
        <w:spacing w:after="0" w:line="264" w:lineRule="exact"/>
        <w:rPr>
          <w:sz w:val="20"/>
          <w:szCs w:val="20"/>
          <w:color w:val="auto"/>
        </w:rPr>
      </w:pPr>
    </w:p>
    <w:p>
      <w:pPr>
        <w:ind w:right="80" w:firstLine="647"/>
        <w:spacing w:after="0" w:line="229" w:lineRule="auto"/>
        <w:rPr>
          <w:sz w:val="20"/>
          <w:szCs w:val="20"/>
          <w:color w:val="auto"/>
        </w:rPr>
      </w:pPr>
      <w:r>
        <w:rPr>
          <w:rFonts w:ascii="Calibri" w:cs="Calibri" w:eastAsia="Calibri" w:hAnsi="Calibri"/>
          <w:sz w:val="22"/>
          <w:szCs w:val="22"/>
          <w:color w:val="auto"/>
        </w:rPr>
        <w:t xml:space="preserve">16.7 </w:t>
      </w:r>
      <w:r>
        <w:rPr>
          <w:rFonts w:ascii="Calibri" w:cs="Calibri" w:eastAsia="Calibri" w:hAnsi="Calibri"/>
          <w:sz w:val="22"/>
          <w:szCs w:val="22"/>
          <w:u w:val="single" w:color="auto"/>
          <w:color w:val="auto"/>
        </w:rPr>
        <w:t>Relatonship to other Benefts</w:t>
      </w:r>
      <w:r>
        <w:rPr>
          <w:rFonts w:ascii="Calibri" w:cs="Calibri" w:eastAsia="Calibri" w:hAnsi="Calibri"/>
          <w:sz w:val="22"/>
          <w:szCs w:val="22"/>
          <w:color w:val="auto"/>
        </w:rPr>
        <w:t>. No payment pursuant to the Plan shall be taken into account in determining any benefts pursuant to any pension, retrement, savings, proft sharing, group insurance, terminaton programs and/or indemnites or severance payments, welfare or other beneft plan of the Company or any Afliate, except to the extent otherwise expressly provided in writng in such other plan or an agreement thereunder.</w:t>
      </w:r>
    </w:p>
    <w:p>
      <w:pPr>
        <w:spacing w:after="0" w:line="245" w:lineRule="exact"/>
        <w:rPr>
          <w:sz w:val="20"/>
          <w:szCs w:val="20"/>
          <w:color w:val="auto"/>
        </w:rPr>
      </w:pPr>
    </w:p>
    <w:p>
      <w:pPr>
        <w:ind w:left="640"/>
        <w:spacing w:after="0"/>
        <w:tabs>
          <w:tab w:leader="none" w:pos="1200" w:val="left"/>
        </w:tabs>
        <w:rPr>
          <w:sz w:val="20"/>
          <w:szCs w:val="20"/>
          <w:color w:val="auto"/>
        </w:rPr>
      </w:pPr>
      <w:r>
        <w:rPr>
          <w:rFonts w:ascii="Calibri" w:cs="Calibri" w:eastAsia="Calibri" w:hAnsi="Calibri"/>
          <w:sz w:val="22"/>
          <w:szCs w:val="22"/>
          <w:color w:val="auto"/>
        </w:rPr>
        <w:t>16.8</w:t>
      </w:r>
      <w:r>
        <w:rPr>
          <w:sz w:val="20"/>
          <w:szCs w:val="20"/>
          <w:color w:val="auto"/>
        </w:rPr>
        <w:tab/>
      </w:r>
      <w:r>
        <w:rPr>
          <w:rFonts w:ascii="Calibri" w:cs="Calibri" w:eastAsia="Calibri" w:hAnsi="Calibri"/>
          <w:sz w:val="21"/>
          <w:szCs w:val="21"/>
          <w:u w:val="single" w:color="auto"/>
          <w:color w:val="auto"/>
        </w:rPr>
        <w:t>Expenses</w:t>
      </w:r>
      <w:r>
        <w:rPr>
          <w:rFonts w:ascii="Calibri" w:cs="Calibri" w:eastAsia="Calibri" w:hAnsi="Calibri"/>
          <w:sz w:val="21"/>
          <w:szCs w:val="21"/>
          <w:color w:val="auto"/>
        </w:rPr>
        <w:t>. The expenses of administering the Plan shall be borne by the Company and/or its Afliates.</w:t>
      </w:r>
    </w:p>
    <w:p>
      <w:pPr>
        <w:spacing w:after="0" w:line="243" w:lineRule="exact"/>
        <w:rPr>
          <w:sz w:val="20"/>
          <w:szCs w:val="20"/>
          <w:color w:val="auto"/>
        </w:rPr>
      </w:pPr>
    </w:p>
    <w:p>
      <w:pPr>
        <w:ind w:right="320" w:firstLine="647"/>
        <w:spacing w:after="0" w:line="235" w:lineRule="auto"/>
        <w:rPr>
          <w:sz w:val="20"/>
          <w:szCs w:val="20"/>
          <w:color w:val="auto"/>
        </w:rPr>
      </w:pPr>
      <w:r>
        <w:rPr>
          <w:rFonts w:ascii="Calibri" w:cs="Calibri" w:eastAsia="Calibri" w:hAnsi="Calibri"/>
          <w:sz w:val="22"/>
          <w:szCs w:val="22"/>
          <w:color w:val="auto"/>
        </w:rPr>
        <w:t xml:space="preserve">16.9 </w:t>
      </w:r>
      <w:r>
        <w:rPr>
          <w:rFonts w:ascii="Calibri" w:cs="Calibri" w:eastAsia="Calibri" w:hAnsi="Calibri"/>
          <w:sz w:val="22"/>
          <w:szCs w:val="22"/>
          <w:u w:val="single" w:color="auto"/>
          <w:color w:val="auto"/>
        </w:rPr>
        <w:t>Titles and Headings</w:t>
      </w:r>
      <w:r>
        <w:rPr>
          <w:rFonts w:ascii="Calibri" w:cs="Calibri" w:eastAsia="Calibri" w:hAnsi="Calibri"/>
          <w:sz w:val="22"/>
          <w:szCs w:val="22"/>
          <w:color w:val="auto"/>
        </w:rPr>
        <w:t>. The ttles and headings of the sectons in the Plan are for convenience of reference only and, in the event of any confict, the text of the Plan, rather than such ttles or headings, shall control.</w:t>
      </w:r>
    </w:p>
    <w:p>
      <w:pPr>
        <w:spacing w:after="0" w:line="271" w:lineRule="exact"/>
        <w:rPr>
          <w:sz w:val="20"/>
          <w:szCs w:val="20"/>
          <w:color w:val="auto"/>
        </w:rPr>
      </w:pPr>
    </w:p>
    <w:p>
      <w:pPr>
        <w:ind w:right="20" w:firstLine="647"/>
        <w:spacing w:after="0" w:line="232" w:lineRule="auto"/>
        <w:rPr>
          <w:sz w:val="20"/>
          <w:szCs w:val="20"/>
          <w:color w:val="auto"/>
        </w:rPr>
      </w:pPr>
      <w:r>
        <w:rPr>
          <w:rFonts w:ascii="Calibri" w:cs="Calibri" w:eastAsia="Calibri" w:hAnsi="Calibri"/>
          <w:sz w:val="22"/>
          <w:szCs w:val="22"/>
          <w:color w:val="auto"/>
        </w:rPr>
        <w:t xml:space="preserve">16.10 </w:t>
      </w:r>
      <w:r>
        <w:rPr>
          <w:rFonts w:ascii="Calibri" w:cs="Calibri" w:eastAsia="Calibri" w:hAnsi="Calibri"/>
          <w:sz w:val="22"/>
          <w:szCs w:val="22"/>
          <w:u w:val="single" w:color="auto"/>
          <w:color w:val="auto"/>
        </w:rPr>
        <w:t>Fractonal Shares</w:t>
      </w:r>
      <w:r>
        <w:rPr>
          <w:rFonts w:ascii="Calibri" w:cs="Calibri" w:eastAsia="Calibri" w:hAnsi="Calibri"/>
          <w:sz w:val="22"/>
          <w:szCs w:val="22"/>
          <w:color w:val="auto"/>
        </w:rPr>
        <w:t>. Awards over Fractonal Shares may be granted and Fractonal Shares may be issued under the Plan if and to the extent determined by the Commitee. Where the Commitee has determined that Fractonal Shares may be issued, the terms of the Award Agreement shall specify the rights the Partcipant shall have as a shareholder with respect to the Fractonal Shares. Where the Commitee has determined that Fractonal Shares will not be issued, the Commitee shall determine, in its discreton, whether cash shall be paid in lieu of Fractonal Shares or whether such Fractonal Shares shall be eliminated by rounding up or down as appropriate. Without limitng the foregoing, the Commitee may authorize the sale or withholding of Fractonal Shares to satsfy any tax withholding obligaton arising under an Award.</w:t>
      </w:r>
    </w:p>
    <w:p>
      <w:pPr>
        <w:spacing w:after="0" w:line="248" w:lineRule="exact"/>
        <w:rPr>
          <w:sz w:val="20"/>
          <w:szCs w:val="20"/>
          <w:color w:val="auto"/>
        </w:rPr>
      </w:pPr>
    </w:p>
    <w:p>
      <w:pPr>
        <w:jc w:val="both"/>
        <w:ind w:right="260" w:firstLine="647"/>
        <w:spacing w:after="0" w:line="233" w:lineRule="auto"/>
        <w:rPr>
          <w:sz w:val="20"/>
          <w:szCs w:val="20"/>
          <w:color w:val="auto"/>
        </w:rPr>
      </w:pPr>
      <w:r>
        <w:rPr>
          <w:rFonts w:ascii="Calibri" w:cs="Calibri" w:eastAsia="Calibri" w:hAnsi="Calibri"/>
          <w:sz w:val="22"/>
          <w:szCs w:val="22"/>
          <w:color w:val="auto"/>
        </w:rPr>
        <w:t xml:space="preserve">16.11 </w:t>
      </w:r>
      <w:r>
        <w:rPr>
          <w:rFonts w:ascii="Calibri" w:cs="Calibri" w:eastAsia="Calibri" w:hAnsi="Calibri"/>
          <w:sz w:val="22"/>
          <w:szCs w:val="22"/>
          <w:u w:val="single" w:color="auto"/>
          <w:color w:val="auto"/>
        </w:rPr>
        <w:t>Limitatons Applicable to Secton 16 Persons</w:t>
      </w:r>
      <w:r>
        <w:rPr>
          <w:rFonts w:ascii="Calibri" w:cs="Calibri" w:eastAsia="Calibri" w:hAnsi="Calibri"/>
          <w:sz w:val="22"/>
          <w:szCs w:val="22"/>
          <w:color w:val="auto"/>
        </w:rPr>
        <w:t>. Notwithstanding any other provision of the Plan, the Plan, and any Award granted or awarded to any Partcipant who is then subject to Secton 16 of the Exchange Act, shall be subject to any additonal limitatons 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24</w:t>
      </w:r>
    </w:p>
    <w:p>
      <w:pPr>
        <w:sectPr>
          <w:pgSz w:w="11900" w:h="16838" w:orient="portrait"/>
          <w:cols w:equalWidth="0" w:num="1">
            <w:col w:w="11020"/>
          </w:cols>
          <w:pgMar w:left="420" w:top="1440" w:right="459" w:bottom="1440" w:gutter="0" w:footer="0" w:header="0"/>
        </w:sectPr>
      </w:pPr>
    </w:p>
    <w:bookmarkStart w:id="73" w:name="page74"/>
    <w:bookmarkEnd w:id="73"/>
    <w:p>
      <w:pPr>
        <w:ind w:right="320"/>
        <w:spacing w:after="0" w:line="232" w:lineRule="auto"/>
        <w:rPr>
          <w:sz w:val="20"/>
          <w:szCs w:val="20"/>
          <w:color w:val="auto"/>
        </w:rPr>
      </w:pPr>
      <w:r>
        <w:rPr>
          <w:rFonts w:ascii="Calibri" w:cs="Calibri" w:eastAsia="Calibri" w:hAnsi="Calibri"/>
          <w:sz w:val="22"/>
          <w:szCs w:val="22"/>
          <w:color w:val="auto"/>
        </w:rPr>
        <w:t>forth in any applicable exemptve rule under Secton 16 of the Exchange Act (including any amendment to Rule 16b-3 under the Exchange Act) that are requirements for the applicaton of such exemptve rule. To the extent permited by Applicable Laws, the Plan and Awards granted or awarded hereunder shall be deemed amended to the extent necessary to conform to such applicable exemptve rule.</w:t>
      </w:r>
    </w:p>
    <w:p>
      <w:pPr>
        <w:spacing w:after="0" w:line="258" w:lineRule="exact"/>
        <w:rPr>
          <w:sz w:val="20"/>
          <w:szCs w:val="20"/>
          <w:color w:val="auto"/>
        </w:rPr>
      </w:pPr>
    </w:p>
    <w:p>
      <w:pPr>
        <w:ind w:right="80" w:firstLine="647"/>
        <w:spacing w:after="0" w:line="231" w:lineRule="auto"/>
        <w:rPr>
          <w:sz w:val="20"/>
          <w:szCs w:val="20"/>
          <w:color w:val="auto"/>
        </w:rPr>
      </w:pPr>
      <w:r>
        <w:rPr>
          <w:rFonts w:ascii="Calibri" w:cs="Calibri" w:eastAsia="Calibri" w:hAnsi="Calibri"/>
          <w:sz w:val="22"/>
          <w:szCs w:val="22"/>
          <w:color w:val="auto"/>
        </w:rPr>
        <w:t xml:space="preserve">16.12 </w:t>
      </w:r>
      <w:r>
        <w:rPr>
          <w:rFonts w:ascii="Calibri" w:cs="Calibri" w:eastAsia="Calibri" w:hAnsi="Calibri"/>
          <w:sz w:val="22"/>
          <w:szCs w:val="22"/>
          <w:u w:val="single" w:color="auto"/>
          <w:color w:val="auto"/>
        </w:rPr>
        <w:t>Government and Other Regulatons</w:t>
      </w:r>
      <w:r>
        <w:rPr>
          <w:rFonts w:ascii="Calibri" w:cs="Calibri" w:eastAsia="Calibri" w:hAnsi="Calibri"/>
          <w:sz w:val="22"/>
          <w:szCs w:val="22"/>
          <w:color w:val="auto"/>
        </w:rPr>
        <w:t>. The obligaton of the Company to make payment of awards in Shares or otherwise shall be subject to all Applicable Laws, and to such approvals by government agencies, including government agencies in jurisdictons outside of the U.S., in each case as may be required or as the Company deems necessary or advisable. Without limitng the foregoing, the Company shall have no obligaton to issue or deliver evidence of ttle for Shares subject to Awards granted hereunder prior to: (i) obtaining any approvals from governmental agencies that the Company determines are necessary or advisable, and (ii) completon of any registraton or other qualifcaton with respect to the Shares under any Applicable Laws in the U.S. or in a jurisdicton outside of the U.S. or ruling of any governmental body that the Company determines to be necessary or advisable or at a tme when any such registraton or qualifcaton is not current, has been suspended or otherwise has ceased to be efectve. The inability or impractcability of the Company to obtain or maintain authority from any regulatory body having jurisdicton,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consttute circumstances in which the Commitee may determine to amend or cancel Awards pertaining to such Shares, with or without consideraton to the afected Partcipant. The Company shall be under no obligaton to register, pursuant to the Securites Act or otherwise, any ofering of Shares issuable under the Plan. If, in certain circumstances, the Shares paid pursuant to the Plan may be exempt from registraton pursuant to the Securites Act, the Company may restrict the transfer of such Shares in such manner as it deems advisable to ensure the availability of any such exempton.</w:t>
      </w:r>
    </w:p>
    <w:p>
      <w:pPr>
        <w:spacing w:after="0" w:line="250" w:lineRule="exact"/>
        <w:rPr>
          <w:sz w:val="20"/>
          <w:szCs w:val="20"/>
          <w:color w:val="auto"/>
        </w:rPr>
      </w:pPr>
    </w:p>
    <w:p>
      <w:pPr>
        <w:ind w:right="420" w:firstLine="647"/>
        <w:spacing w:after="0" w:line="229" w:lineRule="auto"/>
        <w:rPr>
          <w:sz w:val="20"/>
          <w:szCs w:val="20"/>
          <w:color w:val="auto"/>
        </w:rPr>
      </w:pPr>
      <w:r>
        <w:rPr>
          <w:rFonts w:ascii="Calibri" w:cs="Calibri" w:eastAsia="Calibri" w:hAnsi="Calibri"/>
          <w:sz w:val="22"/>
          <w:szCs w:val="22"/>
          <w:color w:val="auto"/>
        </w:rPr>
        <w:t xml:space="preserve">16.13 </w:t>
      </w:r>
      <w:r>
        <w:rPr>
          <w:rFonts w:ascii="Calibri" w:cs="Calibri" w:eastAsia="Calibri" w:hAnsi="Calibri"/>
          <w:sz w:val="22"/>
          <w:szCs w:val="22"/>
          <w:u w:val="single" w:color="auto"/>
          <w:color w:val="auto"/>
        </w:rPr>
        <w:t>Governing Law</w:t>
      </w:r>
      <w:r>
        <w:rPr>
          <w:rFonts w:ascii="Calibri" w:cs="Calibri" w:eastAsia="Calibri" w:hAnsi="Calibri"/>
          <w:sz w:val="22"/>
          <w:szCs w:val="22"/>
          <w:color w:val="auto"/>
        </w:rPr>
        <w:t>. The Plan and all Award Agreements shall be construed in accordance with and governed by the laws of the State of Indiana.</w:t>
      </w:r>
    </w:p>
    <w:p>
      <w:pPr>
        <w:spacing w:after="0" w:line="257" w:lineRule="exact"/>
        <w:rPr>
          <w:sz w:val="20"/>
          <w:szCs w:val="20"/>
          <w:color w:val="auto"/>
        </w:rPr>
      </w:pPr>
    </w:p>
    <w:p>
      <w:pPr>
        <w:ind w:firstLine="647"/>
        <w:spacing w:after="0" w:line="231" w:lineRule="auto"/>
        <w:rPr>
          <w:sz w:val="20"/>
          <w:szCs w:val="20"/>
          <w:color w:val="auto"/>
        </w:rPr>
      </w:pPr>
      <w:r>
        <w:rPr>
          <w:rFonts w:ascii="Calibri" w:cs="Calibri" w:eastAsia="Calibri" w:hAnsi="Calibri"/>
          <w:sz w:val="22"/>
          <w:szCs w:val="22"/>
          <w:color w:val="auto"/>
        </w:rPr>
        <w:t xml:space="preserve">16.14 </w:t>
      </w:r>
      <w:r>
        <w:rPr>
          <w:rFonts w:ascii="Calibri" w:cs="Calibri" w:eastAsia="Calibri" w:hAnsi="Calibri"/>
          <w:sz w:val="22"/>
          <w:szCs w:val="22"/>
          <w:u w:val="single" w:color="auto"/>
          <w:color w:val="auto"/>
        </w:rPr>
        <w:t>Secton 409A</w:t>
      </w:r>
      <w:r>
        <w:rPr>
          <w:rFonts w:ascii="Calibri" w:cs="Calibri" w:eastAsia="Calibri" w:hAnsi="Calibri"/>
          <w:sz w:val="22"/>
          <w:szCs w:val="22"/>
          <w:color w:val="auto"/>
        </w:rPr>
        <w:t>. Except as provided in Secton 16.15 hereof, to the extent that the Commitee determines that any Award granted under the Plan is subject to Secton 409A of the Code, the Award Agreement evidencing such Award shall incorporate the terms and conditons required by Secton 409A of the Code. To the extent applicable, the Plan and Award Agreements shall be interpreted in accordance with Secton 409A of the Code and U.S. Department of Treasury regulatons and other interpretve guidance issued thereunder, including without limitaton any such regulatons or other guidance that may be issued afer the Efectve Date. Notwithstanding any provision of the Plan to the contrary, in the event that following the date an Award is granted the Commitee determines that the Award may be subject to Secton 409A of the Code and related U.S. Department of Treasury guidance (including such guidance as may be issued afer the Efectve Date), the Commitee may adopt such amendments to the Plan and the applicable Award Agreement or adopt other policies and procedures (including amendments, policies and procedures with retroactve efect), or take any other actons, including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25</w:t>
      </w:r>
    </w:p>
    <w:p>
      <w:pPr>
        <w:sectPr>
          <w:pgSz w:w="11900" w:h="16838" w:orient="portrait"/>
          <w:cols w:equalWidth="0" w:num="1">
            <w:col w:w="11120"/>
          </w:cols>
          <w:pgMar w:left="420" w:top="1367" w:right="359" w:bottom="1440" w:gutter="0" w:footer="0" w:header="0"/>
        </w:sectPr>
      </w:pPr>
    </w:p>
    <w:bookmarkStart w:id="74" w:name="page75"/>
    <w:bookmarkEnd w:id="74"/>
    <w:p>
      <w:pPr>
        <w:ind w:right="80"/>
        <w:spacing w:after="0" w:line="231" w:lineRule="auto"/>
        <w:rPr>
          <w:sz w:val="20"/>
          <w:szCs w:val="20"/>
          <w:color w:val="auto"/>
        </w:rPr>
      </w:pPr>
      <w:r>
        <w:rPr>
          <w:rFonts w:ascii="Calibri" w:cs="Calibri" w:eastAsia="Calibri" w:hAnsi="Calibri"/>
          <w:sz w:val="22"/>
          <w:szCs w:val="22"/>
          <w:color w:val="auto"/>
        </w:rPr>
        <w:t>amendments or actons that would result in a reducton to the benefts payable under an Award, in each case, without the consent of the Partcipant, that the Commitee determines are necessary or appropriate to (a) exempt the Award from Secton 409A of the Code and/or preserve the intended tax treatment of the benefts provided with respect to the Award, or (b) comply with the requirements of Secton 409A of the Code and related U.S. Department of Treasury guidance and thereby avoid the applicaton of any penalty taxes under such Secton or mitgate any additonal tax, interest and/or penaltes or other adverse tax consequences that may apply under Secton 409A of the Code if compliance is not practcal.</w:t>
      </w:r>
    </w:p>
    <w:p>
      <w:pPr>
        <w:spacing w:after="0" w:line="258" w:lineRule="exact"/>
        <w:rPr>
          <w:sz w:val="20"/>
          <w:szCs w:val="20"/>
          <w:color w:val="auto"/>
        </w:rPr>
      </w:pPr>
    </w:p>
    <w:p>
      <w:pPr>
        <w:ind w:firstLine="647"/>
        <w:spacing w:after="0" w:line="231" w:lineRule="auto"/>
        <w:rPr>
          <w:sz w:val="20"/>
          <w:szCs w:val="20"/>
          <w:color w:val="auto"/>
        </w:rPr>
      </w:pPr>
      <w:r>
        <w:rPr>
          <w:rFonts w:ascii="Calibri" w:cs="Calibri" w:eastAsia="Calibri" w:hAnsi="Calibri"/>
          <w:sz w:val="22"/>
          <w:szCs w:val="22"/>
          <w:color w:val="auto"/>
        </w:rPr>
        <w:t xml:space="preserve">16.15 </w:t>
      </w:r>
      <w:r>
        <w:rPr>
          <w:rFonts w:ascii="Calibri" w:cs="Calibri" w:eastAsia="Calibri" w:hAnsi="Calibri"/>
          <w:sz w:val="22"/>
          <w:szCs w:val="22"/>
          <w:u w:val="single" w:color="auto"/>
          <w:color w:val="auto"/>
        </w:rPr>
        <w:t>No Representatons or Covenants with respect to Tax Qualifcaton</w:t>
      </w:r>
      <w:r>
        <w:rPr>
          <w:rFonts w:ascii="Calibri" w:cs="Calibri" w:eastAsia="Calibri" w:hAnsi="Calibri"/>
          <w:sz w:val="22"/>
          <w:szCs w:val="22"/>
          <w:color w:val="auto"/>
        </w:rPr>
        <w:t>. Although the Company may endeavor to (a) qualify an Award for favorable or specifc tax treatment under the laws of the U.S. (</w:t>
      </w:r>
      <w:r>
        <w:rPr>
          <w:rFonts w:ascii="Calibri" w:cs="Calibri" w:eastAsia="Calibri" w:hAnsi="Calibri"/>
          <w:sz w:val="22"/>
          <w:szCs w:val="22"/>
          <w:i w:val="1"/>
          <w:iCs w:val="1"/>
          <w:color w:val="auto"/>
        </w:rPr>
        <w:t>e.g.</w:t>
      </w:r>
      <w:r>
        <w:rPr>
          <w:rFonts w:ascii="Calibri" w:cs="Calibri" w:eastAsia="Calibri" w:hAnsi="Calibri"/>
          <w:sz w:val="22"/>
          <w:szCs w:val="22"/>
          <w:color w:val="auto"/>
        </w:rPr>
        <w:t>, Incentve Stock Optons under Secton 422 of the Code) or jurisdictons outside of the U.S. or (b) avoid adverse tax treatment (</w:t>
      </w:r>
      <w:r>
        <w:rPr>
          <w:rFonts w:ascii="Calibri" w:cs="Calibri" w:eastAsia="Calibri" w:hAnsi="Calibri"/>
          <w:sz w:val="22"/>
          <w:szCs w:val="22"/>
          <w:i w:val="1"/>
          <w:iCs w:val="1"/>
          <w:color w:val="auto"/>
        </w:rPr>
        <w:t>e.g.</w:t>
      </w:r>
      <w:r>
        <w:rPr>
          <w:rFonts w:ascii="Calibri" w:cs="Calibri" w:eastAsia="Calibri" w:hAnsi="Calibri"/>
          <w:sz w:val="22"/>
          <w:szCs w:val="22"/>
          <w:color w:val="auto"/>
        </w:rPr>
        <w:t>, under Secton 409A of the Code), the Company makes no representaton to that efect and expressly disavows any covenant to maintain favorable or avoid unfavorable tax treatment, notwithstanding anything to the contrary in this Plan, including Secton 16.14 hereof. The Company shall be unconstrained in its corporate actvites without regard to the potental negatve tax impact on Partcipants under the Plan. Nothing in this Plan or in an Award Agreement shall provide a basis for any person to take any acton against the Company or any Afliate based on maters covered by Secton 409A of the Code, including the tax treatment of any Awards, and neither the Company nor any Afliate will have any liability under any circumstances to the Partcipant or any other party if the Award that is intended to be exempt from, or compliant with, Secton 409A of the Code, is not so exempt or compliant or for any acton taken by the Commitee with respect thereto.</w:t>
      </w:r>
    </w:p>
    <w:p>
      <w:pPr>
        <w:spacing w:after="0" w:line="248" w:lineRule="exact"/>
        <w:rPr>
          <w:sz w:val="20"/>
          <w:szCs w:val="20"/>
          <w:color w:val="auto"/>
        </w:rPr>
      </w:pPr>
    </w:p>
    <w:p>
      <w:pPr>
        <w:jc w:val="both"/>
        <w:ind w:right="160" w:firstLine="647"/>
        <w:spacing w:after="0" w:line="246" w:lineRule="auto"/>
        <w:rPr>
          <w:sz w:val="20"/>
          <w:szCs w:val="20"/>
          <w:color w:val="auto"/>
        </w:rPr>
      </w:pPr>
      <w:r>
        <w:rPr>
          <w:rFonts w:ascii="Calibri" w:cs="Calibri" w:eastAsia="Calibri" w:hAnsi="Calibri"/>
          <w:sz w:val="21"/>
          <w:szCs w:val="21"/>
          <w:color w:val="auto"/>
        </w:rPr>
        <w:t xml:space="preserve">16.16 </w:t>
      </w:r>
      <w:r>
        <w:rPr>
          <w:rFonts w:ascii="Calibri" w:cs="Calibri" w:eastAsia="Calibri" w:hAnsi="Calibri"/>
          <w:sz w:val="21"/>
          <w:szCs w:val="21"/>
          <w:u w:val="single" w:color="auto"/>
          <w:color w:val="auto"/>
        </w:rPr>
        <w:t>Clawback/Recovery</w:t>
      </w:r>
      <w:r>
        <w:rPr>
          <w:rFonts w:ascii="Calibri" w:cs="Calibri" w:eastAsia="Calibri" w:hAnsi="Calibri"/>
          <w:sz w:val="21"/>
          <w:szCs w:val="21"/>
          <w:color w:val="auto"/>
        </w:rPr>
        <w:t>. All Awards granted under the Plan will be subject to recoupment in accordance with any clawback policy adopted by the Company providing for the recovery of Awards, shares, proceeds, or payments to Partcipants in the event of fraud or as required by Applicable Laws or governance consideratons or in other similar circumstances.</w:t>
      </w:r>
    </w:p>
    <w:p>
      <w:pPr>
        <w:spacing w:after="0" w:line="251" w:lineRule="exact"/>
        <w:rPr>
          <w:sz w:val="20"/>
          <w:szCs w:val="20"/>
          <w:color w:val="auto"/>
        </w:rPr>
      </w:pPr>
    </w:p>
    <w:p>
      <w:pPr>
        <w:ind w:right="340" w:firstLine="647"/>
        <w:spacing w:after="0" w:line="229" w:lineRule="auto"/>
        <w:rPr>
          <w:sz w:val="20"/>
          <w:szCs w:val="20"/>
          <w:color w:val="auto"/>
        </w:rPr>
      </w:pPr>
      <w:r>
        <w:rPr>
          <w:rFonts w:ascii="Calibri" w:cs="Calibri" w:eastAsia="Calibri" w:hAnsi="Calibri"/>
          <w:sz w:val="22"/>
          <w:szCs w:val="22"/>
          <w:color w:val="auto"/>
        </w:rPr>
        <w:t xml:space="preserve">16.17 </w:t>
      </w:r>
      <w:r>
        <w:rPr>
          <w:rFonts w:ascii="Calibri" w:cs="Calibri" w:eastAsia="Calibri" w:hAnsi="Calibri"/>
          <w:sz w:val="22"/>
          <w:szCs w:val="22"/>
          <w:u w:val="single" w:color="auto"/>
          <w:color w:val="auto"/>
        </w:rPr>
        <w:t>Severability</w:t>
      </w:r>
      <w:r>
        <w:rPr>
          <w:rFonts w:ascii="Calibri" w:cs="Calibri" w:eastAsia="Calibri" w:hAnsi="Calibri"/>
          <w:sz w:val="22"/>
          <w:szCs w:val="22"/>
          <w:color w:val="auto"/>
        </w:rPr>
        <w:t>. If any provision of the Plan or the applicaton of any provision hereof to any person or circumstance is held to be invalid or unenforceable, the remainder of the Plan and the applicaton of such provision to any other person or circumstance shall not be afected, and the provisions so held to be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 * * *</w:t>
      </w: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26</w:t>
      </w:r>
    </w:p>
    <w:p>
      <w:pPr>
        <w:sectPr>
          <w:pgSz w:w="11900" w:h="16838" w:orient="portrait"/>
          <w:cols w:equalWidth="0" w:num="1">
            <w:col w:w="11120"/>
          </w:cols>
          <w:pgMar w:left="420" w:top="136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8, 2024</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31.2 Rule 13a-14(a) Certification of Gordon Brooks, Interim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Gordon Brooks, Interim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8, 2024</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Gordon Brooks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Gordon Brooks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220"/>
          </w:cols>
          <w:pgMar w:left="320" w:top="1147"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June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August 8,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August 8, 2024</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Gordon Brooks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Gordon Brooks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2"/>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8"/>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4"/>
    </w:lvl>
    <w:lvl w:ilvl="1">
      <w:lvlJc w:val="left"/>
      <w:lvlText w:val="(%2)"/>
      <w:numFmt w:val="lowerRoman"/>
      <w:start w:val="1"/>
    </w:lvl>
  </w:abstractNum>
  <w:abstractNum w:abstractNumId="22">
    <w:nsid w:val="813864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1E7FF521"/>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lvl w:ilvl="1">
      <w:lvlJc w:val="left"/>
      <w:lvlText w:val="(%2)"/>
      <w:numFmt w:val="lowerRoman"/>
      <w:start w:val="1"/>
    </w:lvl>
  </w:abstractNum>
  <w:abstractNum w:abstractNumId="30">
    <w:nsid w:val="614FD4A1"/>
    <w:multiLevelType w:val="hybridMultilevel"/>
    <w:lvl w:ilvl="0">
      <w:lvlJc w:val="left"/>
      <w:lvlText w:val="%1"/>
      <w:numFmt w:val="lowerLetter"/>
      <w:start w:val="1"/>
    </w:lvl>
    <w:lvl w:ilvl="1">
      <w:lvlJc w:val="left"/>
      <w:lvlText w:val="(%2)"/>
      <w:numFmt w:val="lowerRoman"/>
      <w:start w:val="3"/>
    </w:lvl>
  </w:abstractNum>
  <w:abstractNum w:abstractNumId="31">
    <w:nsid w:val="419AC241"/>
    <w:multiLevelType w:val="hybridMultilevel"/>
    <w:lvl w:ilvl="0">
      <w:lvlJc w:val="left"/>
      <w:lvlText w:val="(%1)"/>
      <w:numFmt w:val="lowerLetter"/>
      <w:start w:val="3"/>
    </w:lvl>
    <w:lvl w:ilvl="1">
      <w:lvlJc w:val="left"/>
      <w:lvlText w:val="(%2)"/>
      <w:numFmt w:val="lowerRoman"/>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15" Type="http://schemas.openxmlformats.org/officeDocument/2006/relationships/hyperlink" Target="https://www.sec.gov/Archives/edgar/data/59478/000005947824000065/lly-20231231.htm" TargetMode="External"/><Relationship Id="rId88" Type="http://schemas.openxmlformats.org/officeDocument/2006/relationships/hyperlink" Target="https://www.sec.gov/Archives/edgar/data/59478/000005947822000138/articlesofincorporationlly.htm" TargetMode="External"/><Relationship Id="rId89"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2024-08-08T10:33:27Z</dcterms:created>
  <dcterms:modified xsi:type="dcterms:W3CDTF">2024-08-08T10:33:27Z</dcterms:modified>
</cp:coreProperties>
</file>