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532457108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532457108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INDIANA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92,190,516.00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92,190,516.00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92,190,516.00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of class represented is based on 945,383,757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27, 2025 (the most recent date for which such information is publicly available), as reported in the Issuer's Form 10-Q for the period ended September 30, 2025. This information is provided as of December 31,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LILLY CORPORATE CTR, DROP CODE 1094, INDIANAPOLIS, IN, 46285.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40" w:hanging="912"/>
        <w:spacing w:after="0" w:line="244"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Lilly Endowment, Inc., a not for profit corporation organized under the laws of the State of Indiana. Lilly Endowment, Inc. is an organization described in Section 501(c)(3) of the Internal Revenue Code of 1986, as amended (the Code), and is a private foundation under Section 509(a) of the Code.</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00" w:hanging="912"/>
        <w:spacing w:after="0"/>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Lilly Endowment, Inc. is 2801 North Meridian Street, Indianapolis, IN 46208.</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Indiana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Without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532457108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220"/>
          </w:cols>
          <w:pgMar w:left="320" w:top="166" w:right="3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92,190,516 shares as of December 31, 2025 - None of such shares are deemed to be beneficially owned by reason of the possession of Lilly Endowment, Inc. of a right to acquire such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92,190,516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92,190,516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Diane M. Stenson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700"/>
        <w:spacing w:after="0"/>
        <w:rPr>
          <w:sz w:val="20"/>
          <w:szCs w:val="20"/>
          <w:color w:val="auto"/>
        </w:rPr>
      </w:pPr>
      <w:r>
        <w:rPr>
          <w:rFonts w:ascii="Times New Roman" w:cs="Times New Roman" w:eastAsia="Times New Roman" w:hAnsi="Times New Roman"/>
          <w:sz w:val="21"/>
          <w:szCs w:val="21"/>
          <w:color w:val="auto"/>
        </w:rPr>
        <w:t>Name/Title: Vice President and Treasurer</w:t>
      </w:r>
    </w:p>
    <w:p>
      <w:pPr>
        <w:spacing w:after="0" w:line="56"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2026-01-23T09:28:59Z</dcterms:created>
  <dcterms:modified xsi:type="dcterms:W3CDTF">2026-01-23T09:28:59Z</dcterms:modified>
</cp:coreProperties>
</file>