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95" w:right="339" w:bottom="1440" w:gutter="0" w:footer="0" w:header="0"/>
        </w:sectPr>
      </w:pPr>
    </w:p>
    <w:p>
      <w:pPr>
        <w:spacing w:after="0" w:line="136"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35-0470950</w:t>
      </w:r>
    </w:p>
    <w:p>
      <w:pPr>
        <w:spacing w:after="0" w:line="42" w:lineRule="exact"/>
        <w:rPr>
          <w:sz w:val="24"/>
          <w:szCs w:val="24"/>
          <w:color w:val="auto"/>
        </w:rPr>
      </w:pPr>
    </w:p>
    <w:p>
      <w:pPr>
        <w:sectPr>
          <w:pgSz w:w="11900" w:h="16838" w:orient="portrait"/>
          <w:cols w:equalWidth="0" w:num="2">
            <w:col w:w="7460" w:space="720"/>
            <w:col w:w="3060"/>
          </w:cols>
          <w:pgMar w:left="320" w:top="1195" w:right="33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2" w:lineRule="exact"/>
        <w:rPr>
          <w:sz w:val="24"/>
          <w:szCs w:val="24"/>
          <w:color w:val="auto"/>
        </w:rPr>
      </w:pPr>
    </w:p>
    <w:p>
      <w:pPr>
        <w:sectPr>
          <w:pgSz w:w="11900" w:h="16838" w:orient="portrait"/>
          <w:cols w:equalWidth="0" w:num="2">
            <w:col w:w="7320" w:space="720"/>
            <w:col w:w="3200"/>
          </w:cols>
          <w:pgMar w:left="320" w:top="1195" w:right="339" w:bottom="1440" w:gutter="0" w:footer="0" w:header="0"/>
          <w:type w:val="continuous"/>
        </w:sect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90" w:lineRule="exact"/>
        <w:rPr>
          <w:sz w:val="24"/>
          <w:szCs w:val="24"/>
          <w:color w:val="auto"/>
        </w:rPr>
      </w:pPr>
    </w:p>
    <w:p>
      <w:pPr>
        <w:sectPr>
          <w:pgSz w:w="11900" w:h="16838" w:orient="portrait"/>
          <w:cols w:equalWidth="0" w:num="2">
            <w:col w:w="7280" w:space="720"/>
            <w:col w:w="3240"/>
          </w:cols>
          <w:pgMar w:left="320" w:top="1195" w:right="339" w:bottom="1440" w:gutter="0" w:footer="0" w:header="0"/>
          <w:type w:val="continuous"/>
        </w:sectPr>
      </w:pPr>
    </w:p>
    <w:p>
      <w:pPr>
        <w:ind w:left="4000"/>
        <w:spacing w:after="0"/>
        <w:rPr>
          <w:sz w:val="20"/>
          <w:szCs w:val="20"/>
          <w:color w:val="auto"/>
        </w:rPr>
      </w:pPr>
      <w:r>
        <w:rPr>
          <w:rFonts w:ascii="Arial" w:cs="Arial" w:eastAsia="Arial" w:hAnsi="Arial"/>
          <w:sz w:val="14"/>
          <w:szCs w:val="14"/>
          <w:color w:val="auto"/>
        </w:rPr>
        <w:t>Lilly Corporate Center, Indianapolis, Indiana 46285</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(Address and zip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(317) 276-2000</w:t>
      </w:r>
    </w:p>
    <w:p>
      <w:pPr>
        <w:sectPr>
          <w:pgSz w:w="11900" w:h="16838" w:orient="portrait"/>
          <w:cols w:equalWidth="0" w:num="1">
            <w:col w:w="11240"/>
          </w:cols>
          <w:pgMar w:left="320" w:top="1195" w:right="3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3780" w:type="dxa"/>
            <w:vAlign w:val="bottom"/>
            <w:gridSpan w:val="2"/>
          </w:tcPr>
          <w:p>
            <w:pPr>
              <w:ind w:left="1000"/>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82"/>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(no par value)</w:t>
            </w:r>
          </w:p>
        </w:tc>
        <w:tc>
          <w:tcPr>
            <w:tcW w:w="2020" w:type="dxa"/>
            <w:vAlign w:val="bottom"/>
            <w:gridSpan w:val="2"/>
          </w:tcPr>
          <w:p>
            <w:pPr>
              <w:spacing w:after="0"/>
              <w:rPr>
                <w:sz w:val="20"/>
                <w:szCs w:val="20"/>
                <w:color w:val="auto"/>
              </w:rPr>
            </w:pPr>
            <w:r>
              <w:rPr>
                <w:rFonts w:ascii="Arial" w:cs="Arial" w:eastAsia="Arial" w:hAnsi="Arial"/>
                <w:sz w:val="13"/>
                <w:szCs w:val="13"/>
                <w:color w:val="auto"/>
              </w:rPr>
              <w:t>LLY</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7 1/8% Notes due 2025</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LLY25</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2026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2.125% Notes due 2030</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LLY30</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0.625% Notes due 2031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6"/>
        </w:trPr>
        <w:tc>
          <w:tcPr>
            <w:tcW w:w="3740" w:type="dxa"/>
            <w:vAlign w:val="bottom"/>
            <w:gridSpan w:val="2"/>
          </w:tcPr>
          <w:p>
            <w:pPr>
              <w:spacing w:after="0"/>
              <w:rPr>
                <w:sz w:val="20"/>
                <w:szCs w:val="20"/>
                <w:color w:val="auto"/>
              </w:rPr>
            </w:pPr>
            <w:r>
              <w:rPr>
                <w:rFonts w:ascii="Arial" w:cs="Arial" w:eastAsia="Arial" w:hAnsi="Arial"/>
                <w:sz w:val="13"/>
                <w:szCs w:val="13"/>
                <w:color w:val="auto"/>
              </w:rPr>
              <w:t>0.500% Notes due 2033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6.77% Notes due 2036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2043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1.700% Notes due 2049</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LLY49A</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1.125% Notes due 2051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LLY51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1.375% Notes due 2061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LLY61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bl>
    <w:p>
      <w:pPr>
        <w:spacing w:after="0" w:line="99"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620"/>
        <w:spacing w:after="0" w:line="26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840" w:type="dxa"/>
        <w:tblCellMar>
          <w:top w:w="0" w:type="dxa"/>
          <w:left w:w="0" w:type="dxa"/>
          <w:bottom w:w="0" w:type="dxa"/>
          <w:right w:w="0" w:type="dxa"/>
        </w:tblCellMar>
      </w:tblP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4960" w:type="dxa"/>
            <w:vAlign w:val="bottom"/>
          </w:tcPr>
          <w:p>
            <w:pPr>
              <w:spacing w:after="0"/>
              <w:rPr>
                <w:sz w:val="21"/>
                <w:szCs w:val="21"/>
                <w:color w:val="auto"/>
              </w:rPr>
            </w:pP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April 25, 2024:</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6"/>
                <w:szCs w:val="16"/>
                <w:color w:val="auto"/>
              </w:rPr>
            </w:pPr>
          </w:p>
        </w:tc>
        <w:tc>
          <w:tcPr>
            <w:tcW w:w="53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4"/>
                <w:szCs w:val="14"/>
                <w:color w:val="auto"/>
              </w:rPr>
              <w:t>Common</w:t>
            </w:r>
          </w:p>
        </w:tc>
        <w:tc>
          <w:tcPr>
            <w:tcW w:w="5320" w:type="dxa"/>
            <w:vAlign w:val="bottom"/>
          </w:tcPr>
          <w:p>
            <w:pPr>
              <w:jc w:val="right"/>
              <w:ind w:right="8"/>
              <w:spacing w:after="0"/>
              <w:rPr>
                <w:sz w:val="20"/>
                <w:szCs w:val="20"/>
                <w:color w:val="auto"/>
              </w:rPr>
            </w:pPr>
            <w:r>
              <w:rPr>
                <w:rFonts w:ascii="Arial" w:cs="Arial" w:eastAsia="Arial" w:hAnsi="Arial"/>
                <w:sz w:val="14"/>
                <w:szCs w:val="14"/>
                <w:color w:val="auto"/>
              </w:rPr>
              <w:t>950,405,386</w:t>
            </w:r>
          </w:p>
        </w:tc>
        <w:tc>
          <w:tcPr>
            <w:tcW w:w="20" w:type="dxa"/>
            <w:vAlign w:val="bottom"/>
          </w:tcPr>
          <w:p>
            <w:pPr>
              <w:spacing w:after="0"/>
              <w:rPr>
                <w:sz w:val="16"/>
                <w:szCs w:val="16"/>
                <w:color w:val="auto"/>
              </w:rPr>
            </w:pPr>
          </w:p>
        </w:tc>
      </w:tr>
      <w:tr>
        <w:trPr>
          <w:trHeight w:val="116"/>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color w:val="0000FF"/>
                <w:w w:val="98"/>
              </w:rPr>
              <w:t>PART I. Financial Information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Financial Statements</w:t>
            </w:r>
          </w:p>
        </w:tc>
        <w:tc>
          <w:tcPr>
            <w:tcW w:w="16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0000FF"/>
                <w:w w:val="99"/>
              </w:rPr>
              <w:t>Consolidated Condensed Statements of Operations</w:t>
            </w:r>
          </w:p>
        </w:tc>
        <w:tc>
          <w:tcPr>
            <w:tcW w:w="320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gridSpan w:val="18"/>
          </w:tcPr>
          <w:p>
            <w:pPr>
              <w:spacing w:after="0"/>
              <w:rPr>
                <w:sz w:val="20"/>
                <w:szCs w:val="20"/>
                <w:color w:val="auto"/>
              </w:rPr>
            </w:pPr>
            <w:r>
              <w:rPr>
                <w:rFonts w:ascii="Arial" w:cs="Arial" w:eastAsia="Arial" w:hAnsi="Arial"/>
                <w:sz w:val="18"/>
                <w:szCs w:val="18"/>
                <w:color w:val="0000FF"/>
                <w:w w:val="99"/>
              </w:rPr>
              <w:t>Consolidated Condensed Statements of Comprehensive Income</w:t>
            </w: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FF"/>
                <w:w w:val="99"/>
              </w:rPr>
              <w:t>Consolidated Condensed Balance Sheets</w:t>
            </w:r>
          </w:p>
        </w:tc>
        <w:tc>
          <w:tcPr>
            <w:tcW w:w="1800" w:type="dxa"/>
            <w:vAlign w:val="bottom"/>
            <w:gridSpan w:val="7"/>
          </w:tcPr>
          <w:p>
            <w:pPr>
              <w:spacing w:after="0"/>
              <w:rPr>
                <w:sz w:val="18"/>
                <w:szCs w:val="18"/>
                <w:color w:val="auto"/>
              </w:rPr>
            </w:pP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17"/>
          </w:tcPr>
          <w:p>
            <w:pPr>
              <w:spacing w:after="0"/>
              <w:rPr>
                <w:sz w:val="20"/>
                <w:szCs w:val="20"/>
                <w:color w:val="auto"/>
              </w:rPr>
            </w:pPr>
            <w:r>
              <w:rPr>
                <w:rFonts w:ascii="Arial" w:cs="Arial" w:eastAsia="Arial" w:hAnsi="Arial"/>
                <w:sz w:val="18"/>
                <w:szCs w:val="18"/>
                <w:color w:val="0000FF"/>
                <w:w w:val="99"/>
              </w:rPr>
              <w:t>Consolidated Condensed Statements of Shareholders' Equity</w:t>
            </w:r>
          </w:p>
        </w:tc>
        <w:tc>
          <w:tcPr>
            <w:tcW w:w="24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0000FF"/>
                <w:w w:val="99"/>
              </w:rPr>
              <w:t>Consolidated Condensed Statements of Cash Flows</w:t>
            </w:r>
          </w:p>
        </w:tc>
        <w:tc>
          <w:tcPr>
            <w:tcW w:w="720" w:type="dxa"/>
            <w:vAlign w:val="bottom"/>
            <w:gridSpan w:val="4"/>
          </w:tcPr>
          <w:p>
            <w:pPr>
              <w:spacing w:after="0"/>
              <w:rPr>
                <w:sz w:val="18"/>
                <w:szCs w:val="18"/>
                <w:color w:val="auto"/>
              </w:rPr>
            </w:pPr>
          </w:p>
        </w:tc>
        <w:tc>
          <w:tcPr>
            <w:tcW w:w="24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FF"/>
                <w:w w:val="99"/>
              </w:rPr>
              <w:t>Notes to Consolidated Condensed Financial Statements</w:t>
            </w:r>
          </w:p>
        </w:tc>
        <w:tc>
          <w:tcPr>
            <w:tcW w:w="3040" w:type="dxa"/>
            <w:vAlign w:val="bottom"/>
            <w:gridSpan w:val="6"/>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10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2560" w:type="dxa"/>
            <w:vAlign w:val="bottom"/>
            <w:gridSpan w:val="5"/>
          </w:tcPr>
          <w:p>
            <w:pPr>
              <w:spacing w:after="0"/>
              <w:rPr>
                <w:sz w:val="18"/>
                <w:szCs w:val="18"/>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w w:val="99"/>
              </w:rPr>
              <w:t>Management's Discussion and Analysis of Results of Operations and Financial Condition</w:t>
            </w:r>
          </w:p>
        </w:tc>
        <w:tc>
          <w:tcPr>
            <w:tcW w:w="4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9"/>
          </w:tcPr>
          <w:p>
            <w:pPr>
              <w:spacing w:after="0"/>
              <w:rPr>
                <w:sz w:val="20"/>
                <w:szCs w:val="20"/>
                <w:color w:val="auto"/>
              </w:rPr>
            </w:pPr>
            <w:r>
              <w:rPr>
                <w:rFonts w:ascii="Arial" w:cs="Arial" w:eastAsia="Arial" w:hAnsi="Arial"/>
                <w:sz w:val="18"/>
                <w:szCs w:val="18"/>
                <w:color w:val="0000FF"/>
              </w:rPr>
              <w:t>Executive Overview</w:t>
            </w:r>
          </w:p>
        </w:tc>
        <w:tc>
          <w:tcPr>
            <w:tcW w:w="4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7"/>
          </w:tcPr>
          <w:p>
            <w:pPr>
              <w:spacing w:after="0"/>
              <w:rPr>
                <w:sz w:val="20"/>
                <w:szCs w:val="20"/>
                <w:color w:val="auto"/>
              </w:rPr>
            </w:pPr>
            <w:r>
              <w:rPr>
                <w:rFonts w:ascii="Arial" w:cs="Arial" w:eastAsia="Arial" w:hAnsi="Arial"/>
                <w:sz w:val="18"/>
                <w:szCs w:val="18"/>
                <w:color w:val="0000FF"/>
                <w:w w:val="98"/>
              </w:rPr>
              <w:t>Results of Operations</w:t>
            </w:r>
          </w:p>
        </w:tc>
        <w:tc>
          <w:tcPr>
            <w:tcW w:w="5580" w:type="dxa"/>
            <w:vAlign w:val="bottom"/>
            <w:gridSpan w:val="13"/>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9"/>
          </w:tcPr>
          <w:p>
            <w:pPr>
              <w:spacing w:after="0"/>
              <w:rPr>
                <w:sz w:val="20"/>
                <w:szCs w:val="20"/>
                <w:color w:val="auto"/>
              </w:rPr>
            </w:pPr>
            <w:r>
              <w:rPr>
                <w:rFonts w:ascii="Arial" w:cs="Arial" w:eastAsia="Arial" w:hAnsi="Arial"/>
                <w:sz w:val="18"/>
                <w:szCs w:val="18"/>
                <w:color w:val="0000FF"/>
                <w:w w:val="99"/>
              </w:rPr>
              <w:t>Financial Condition and Liquidity</w:t>
            </w:r>
          </w:p>
        </w:tc>
        <w:tc>
          <w:tcPr>
            <w:tcW w:w="4720" w:type="dxa"/>
            <w:vAlign w:val="bottom"/>
            <w:gridSpan w:val="11"/>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99"/>
              </w:rPr>
              <w:t>Critical Accounting Estimates</w:t>
            </w:r>
          </w:p>
        </w:tc>
        <w:tc>
          <w:tcPr>
            <w:tcW w:w="260" w:type="dxa"/>
            <w:vAlign w:val="bottom"/>
          </w:tcPr>
          <w:p>
            <w:pPr>
              <w:spacing w:after="0"/>
              <w:rPr>
                <w:sz w:val="18"/>
                <w:szCs w:val="18"/>
                <w:color w:val="auto"/>
              </w:rPr>
            </w:pPr>
          </w:p>
        </w:tc>
        <w:tc>
          <w:tcPr>
            <w:tcW w:w="4720" w:type="dxa"/>
            <w:vAlign w:val="bottom"/>
            <w:gridSpan w:val="11"/>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20" w:type="dxa"/>
            <w:vAlign w:val="bottom"/>
            <w:gridSpan w:val="20"/>
          </w:tcPr>
          <w:p>
            <w:pPr>
              <w:spacing w:after="0"/>
              <w:rPr>
                <w:sz w:val="20"/>
                <w:szCs w:val="20"/>
                <w:color w:val="auto"/>
              </w:rPr>
            </w:pPr>
            <w:r>
              <w:rPr>
                <w:rFonts w:ascii="Arial" w:cs="Arial" w:eastAsia="Arial" w:hAnsi="Arial"/>
                <w:sz w:val="18"/>
                <w:szCs w:val="18"/>
                <w:color w:val="0000FF"/>
              </w:rPr>
              <w:t>Available Information on our Website</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2560" w:type="dxa"/>
            <w:vAlign w:val="bottom"/>
            <w:gridSpan w:val="5"/>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800" w:type="dxa"/>
            <w:vAlign w:val="bottom"/>
            <w:gridSpan w:val="5"/>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2560" w:type="dxa"/>
            <w:vAlign w:val="bottom"/>
            <w:gridSpan w:val="5"/>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8"/>
          </w:tcPr>
          <w:p>
            <w:pPr>
              <w:spacing w:after="0"/>
              <w:rPr>
                <w:sz w:val="18"/>
                <w:szCs w:val="18"/>
                <w:color w:val="auto"/>
              </w:rPr>
            </w:pPr>
          </w:p>
        </w:tc>
        <w:tc>
          <w:tcPr>
            <w:tcW w:w="2800" w:type="dxa"/>
            <w:vAlign w:val="bottom"/>
            <w:gridSpan w:val="5"/>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0000FF"/>
                <w:w w:val="98"/>
              </w:rPr>
              <w:t>PART II. Other Information</w:t>
            </w:r>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43</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020" w:type="dxa"/>
            <w:vAlign w:val="bottom"/>
            <w:gridSpan w:val="16"/>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43</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440" w:type="dxa"/>
            <w:vAlign w:val="bottom"/>
            <w:gridSpan w:val="4"/>
          </w:tcPr>
          <w:p>
            <w:pPr>
              <w:spacing w:after="0"/>
              <w:rPr>
                <w:sz w:val="18"/>
                <w:szCs w:val="18"/>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20" w:type="dxa"/>
            <w:vAlign w:val="bottom"/>
          </w:tcPr>
          <w:p>
            <w:pPr>
              <w:spacing w:after="0"/>
              <w:rPr>
                <w:sz w:val="18"/>
                <w:szCs w:val="18"/>
                <w:color w:val="auto"/>
              </w:rPr>
            </w:pPr>
          </w:p>
        </w:tc>
        <w:tc>
          <w:tcPr>
            <w:tcW w:w="2440" w:type="dxa"/>
            <w:vAlign w:val="bottom"/>
            <w:gridSpan w:val="4"/>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660" w:type="dxa"/>
            <w:vAlign w:val="bottom"/>
            <w:gridSpan w:val="4"/>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60" w:type="dxa"/>
            <w:vAlign w:val="bottom"/>
            <w:gridSpan w:val="13"/>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5.</w:t>
            </w:r>
          </w:p>
        </w:tc>
        <w:tc>
          <w:tcPr>
            <w:tcW w:w="2560" w:type="dxa"/>
            <w:vAlign w:val="bottom"/>
            <w:gridSpan w:val="5"/>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2660" w:type="dxa"/>
            <w:vAlign w:val="bottom"/>
            <w:gridSpan w:val="4"/>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120" w:type="dxa"/>
            <w:vAlign w:val="bottom"/>
            <w:gridSpan w:val="17"/>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2560" w:type="dxa"/>
            <w:vAlign w:val="bottom"/>
            <w:gridSpan w:val="5"/>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6120" w:type="dxa"/>
            <w:vAlign w:val="bottom"/>
            <w:gridSpan w:val="17"/>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24"/>
                <w:szCs w:val="24"/>
                <w:color w:val="auto"/>
              </w:rPr>
            </w:pPr>
          </w:p>
        </w:tc>
      </w:tr>
      <w:tr>
        <w:trPr>
          <w:trHeight w:val="88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9"/>
          </w:tcPr>
          <w:p>
            <w:pPr>
              <w:ind w:left="244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xml:space="preserve">This Quarterly Report on Form 10-Q </w:t>
      </w:r>
      <w:r>
        <w:rPr>
          <w:rFonts w:ascii="Arial" w:cs="Arial" w:eastAsia="Arial" w:hAnsi="Arial"/>
          <w:sz w:val="17"/>
          <w:szCs w:val="17"/>
          <w:color w:val="auto"/>
        </w:rPr>
        <w:t>and our other publicly available documents include forward-looking statements within the meaning of</w:t>
      </w:r>
      <w:r>
        <w:rPr>
          <w:rFonts w:ascii="Arial" w:cs="Arial" w:eastAsia="Arial" w:hAnsi="Arial"/>
          <w:sz w:val="18"/>
          <w:szCs w:val="18"/>
          <w:color w:val="auto"/>
        </w:rPr>
        <w:t xml:space="preserve"> </w:t>
      </w:r>
      <w:r>
        <w:rPr>
          <w:rFonts w:ascii="Arial" w:cs="Arial" w:eastAsia="Arial" w:hAnsi="Arial"/>
          <w:sz w:val="17"/>
          <w:szCs w:val="17"/>
          <w:color w:val="auto"/>
        </w:rPr>
        <w:t>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63" w:lineRule="exact"/>
        <w:rPr>
          <w:rFonts w:ascii="Arial" w:cs="Arial" w:eastAsia="Arial" w:hAnsi="Arial"/>
          <w:sz w:val="18"/>
          <w:szCs w:val="18"/>
          <w:color w:val="auto"/>
        </w:rPr>
      </w:pPr>
    </w:p>
    <w:p>
      <w:pPr>
        <w:ind w:left="340" w:righ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safety or efficacy concerns associated with our products;</w:t>
      </w:r>
    </w:p>
    <w:p>
      <w:pPr>
        <w:spacing w:after="0" w:line="63" w:lineRule="exact"/>
        <w:rPr>
          <w:rFonts w:ascii="Arial" w:cs="Arial" w:eastAsia="Arial" w:hAnsi="Arial"/>
          <w:sz w:val="18"/>
          <w:szCs w:val="18"/>
          <w:color w:val="auto"/>
        </w:rPr>
      </w:pPr>
    </w:p>
    <w:p>
      <w:pPr>
        <w:ind w:left="340" w:right="9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an increasingly consolidated supply chain;</w:t>
      </w:r>
    </w:p>
    <w:p>
      <w:pPr>
        <w:spacing w:after="0" w:line="1" w:lineRule="exact"/>
        <w:rPr>
          <w:rFonts w:ascii="Arial" w:cs="Arial" w:eastAsia="Arial" w:hAnsi="Arial"/>
          <w:sz w:val="18"/>
          <w:szCs w:val="18"/>
          <w:color w:val="auto"/>
        </w:rPr>
      </w:pPr>
    </w:p>
    <w:p>
      <w:pPr>
        <w:ind w:left="340" w:right="4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 and risks from the proliferation of counterfeit or illegally compounded products;</w:t>
      </w:r>
    </w:p>
    <w:p>
      <w:pPr>
        <w:spacing w:after="0" w:line="1"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right="38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which may exacerbate competitive, regulatory, litigation, cybersecurity, and other risks;</w:t>
      </w:r>
    </w:p>
    <w:p>
      <w:pPr>
        <w:spacing w:after="0" w:line="1" w:lineRule="exact"/>
        <w:rPr>
          <w:rFonts w:ascii="Arial" w:cs="Arial" w:eastAsia="Arial" w:hAnsi="Arial"/>
          <w:sz w:val="18"/>
          <w:szCs w:val="18"/>
          <w:color w:val="auto"/>
        </w:rPr>
      </w:pPr>
    </w:p>
    <w:p>
      <w:pPr>
        <w:ind w:left="340" w:right="260" w:hanging="332"/>
        <w:spacing w:after="0" w:line="298" w:lineRule="auto"/>
        <w:tabs>
          <w:tab w:leader="none" w:pos="33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global macroeconomic conditions, including uneven economic growth or downturns or uncertainty, trade disruptions, international tension, conflicts, regional dependencies, or other costs, uncertainties, and risks related to engaging in business globally;</w:t>
      </w: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devaluations in foreign currency exchange rates or changes in interest rates and inflation;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activities;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 w:name="page4"/>
    <w:bookmarkEnd w:id="3"/>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our actual results or events to differ from those expressed in forward looking statements is included from time to time in our reports filed with the Securities and Exchange Commission, including in our Annual Report on </w:t>
      </w:r>
      <w:hyperlink r:id="rId15">
        <w:r>
          <w:rPr>
            <w:rFonts w:ascii="Arial" w:cs="Arial" w:eastAsia="Arial" w:hAnsi="Arial"/>
            <w:sz w:val="17"/>
            <w:szCs w:val="17"/>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2023, particularly under Part I, Item 1A, "Risk Factors." Investors should understand that it is not possible to predict or identify all such factors and should not consider the risks described above and under Part I, Item 1A, "Risk Factors" of our Annual Report on </w:t>
      </w:r>
      <w:hyperlink r:id="rId15">
        <w:r>
          <w:rPr>
            <w:rFonts w:ascii="Arial" w:cs="Arial" w:eastAsia="Arial" w:hAnsi="Arial"/>
            <w:sz w:val="17"/>
            <w:szCs w:val="17"/>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be a complete statement of all potential risks and uncertainties.</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2" w:right="45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3"/>
          </w:tcPr>
          <w:p>
            <w:pPr>
              <w:jc w:val="right"/>
              <w:ind w:right="79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2023</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8,768.0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6,960.0</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1,673.5</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1,626.7</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b w:val="1"/>
                <w:bCs w:val="1"/>
                <w:color w:val="auto"/>
              </w:rPr>
              <w:t>2,522.8</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1,985.1</w:t>
            </w: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1,952.2</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44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b w:val="1"/>
                <w:bCs w:val="1"/>
                <w:color w:val="auto"/>
              </w:rPr>
              <w:t>110.5</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Other–net, (income) expense (Note 11)</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(27.1)</w:t>
            </w:r>
          </w:p>
        </w:tc>
        <w:tc>
          <w:tcPr>
            <w:tcW w:w="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3"/>
        </w:trPr>
        <w:tc>
          <w:tcPr>
            <w:tcW w:w="73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6,231.9</w:t>
            </w: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5,430.3</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2,536.1</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taxes (Note 7)</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293.2</w:t>
            </w: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r>
      <w:tr>
        <w:trPr>
          <w:trHeight w:val="216"/>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2,242.9</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w:t>
            </w:r>
          </w:p>
        </w:tc>
      </w:tr>
      <w:tr>
        <w:trPr>
          <w:trHeight w:val="243"/>
        </w:trPr>
        <w:tc>
          <w:tcPr>
            <w:tcW w:w="7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2.49</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2.48</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7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900.8</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901.0</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903.8</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31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2,242.9</w:t>
            </w:r>
          </w:p>
        </w:tc>
        <w:tc>
          <w:tcPr>
            <w:tcW w:w="12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 (Note 10)</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27.5</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2,270.4</w:t>
            </w:r>
          </w:p>
        </w:tc>
        <w:tc>
          <w:tcPr>
            <w:tcW w:w="12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(Note 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2,460.2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2,818.6</w:t>
            </w: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Arial" w:cs="Arial" w:eastAsia="Arial" w:hAnsi="Arial"/>
                <w:sz w:val="18"/>
                <w:szCs w:val="18"/>
                <w:color w:val="auto"/>
              </w:rPr>
              <w:t>Short-term investments (Note 6)</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126.1</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$14.3 (2024)</w:t>
            </w:r>
            <w:r>
              <w:rPr>
                <w:rFonts w:ascii="Arial" w:cs="Arial" w:eastAsia="Arial" w:hAnsi="Arial"/>
                <w:sz w:val="18"/>
                <w:szCs w:val="18"/>
                <w:color w:val="auto"/>
              </w:rPr>
              <w:t xml:space="preserve"> and $14.8 (2023)</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7,885.6</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9,090.5</w:t>
            </w:r>
          </w:p>
        </w:tc>
        <w:tc>
          <w:tcPr>
            <w:tcW w:w="0" w:type="dxa"/>
            <w:vAlign w:val="bottom"/>
          </w:tcPr>
          <w:p>
            <w:pPr>
              <w:spacing w:after="0"/>
              <w:rPr>
                <w:sz w:val="1"/>
                <w:szCs w:val="1"/>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2,127.9</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2,245.7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(Note 5)</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6,101.8</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5,772.8</w:t>
            </w:r>
          </w:p>
        </w:tc>
        <w:tc>
          <w:tcPr>
            <w:tcW w:w="0" w:type="dxa"/>
            <w:vAlign w:val="bottom"/>
          </w:tcPr>
          <w:p>
            <w:pPr>
              <w:spacing w:after="0"/>
              <w:rPr>
                <w:sz w:val="1"/>
                <w:szCs w:val="1"/>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6,348.6</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5,540.8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138.6</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25,188.8</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25,727.0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Investments (Note 6)</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3,086.9</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3,052.2</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4,939.6</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4,939.7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6,762.2</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6,906.6</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5,633.9</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5,477.3</w:t>
            </w:r>
          </w:p>
        </w:tc>
        <w:tc>
          <w:tcPr>
            <w:tcW w:w="0" w:type="dxa"/>
            <w:vAlign w:val="bottom"/>
          </w:tcPr>
          <w:p>
            <w:pPr>
              <w:spacing w:after="0"/>
              <w:rPr>
                <w:sz w:val="1"/>
                <w:szCs w:val="1"/>
                <w:color w:val="auto"/>
              </w:rPr>
            </w:pPr>
          </w:p>
        </w:tc>
      </w:tr>
      <w:tr>
        <w:trPr>
          <w:trHeight w:val="175"/>
        </w:trPr>
        <w:tc>
          <w:tcPr>
            <w:tcW w:w="7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$11,235.0 (2024)</w:t>
            </w:r>
            <w:r>
              <w:rPr>
                <w:rFonts w:ascii="Arial" w:cs="Arial" w:eastAsia="Arial" w:hAnsi="Arial"/>
                <w:sz w:val="18"/>
                <w:szCs w:val="18"/>
                <w:color w:val="auto"/>
              </w:rPr>
              <w:t xml:space="preserve"> and $11,099.3</w:t>
            </w:r>
          </w:p>
        </w:tc>
        <w:tc>
          <w:tcPr>
            <w:tcW w:w="24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13,624.0</w:t>
            </w:r>
          </w:p>
        </w:tc>
        <w:tc>
          <w:tcPr>
            <w:tcW w:w="2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12,913.6</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4,708.1</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4,989.9</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63,943.5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64,006.3</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Short-term borrowings and current maturities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1,651.5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6,904.5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2,473.7</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2,598.8</w:t>
            </w:r>
          </w:p>
        </w:tc>
        <w:tc>
          <w:tcPr>
            <w:tcW w:w="0" w:type="dxa"/>
            <w:vAlign w:val="bottom"/>
          </w:tcPr>
          <w:p>
            <w:pPr>
              <w:spacing w:after="0"/>
              <w:rPr>
                <w:sz w:val="1"/>
                <w:szCs w:val="1"/>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Employee compensation</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844.2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1,650.4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rebates and discounts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9,429.6</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11,689.0</w:t>
            </w:r>
          </w:p>
        </w:tc>
        <w:tc>
          <w:tcPr>
            <w:tcW w:w="0" w:type="dxa"/>
            <w:vAlign w:val="bottom"/>
          </w:tcPr>
          <w:p>
            <w:pPr>
              <w:spacing w:after="0"/>
              <w:rPr>
                <w:sz w:val="1"/>
                <w:szCs w:val="1"/>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Dividends payable</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1,169.2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4,199.1</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18,598.1</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27,293.2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Noncurrent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24,559.9</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18,320.8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retirement benefits (Note 8)</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1,427.9</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Arial" w:cs="Arial" w:eastAsia="Arial" w:hAnsi="Arial"/>
                <w:sz w:val="18"/>
                <w:szCs w:val="18"/>
                <w:color w:val="auto"/>
              </w:rPr>
              <w:t>Long-term income taxes payable</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4,189.4</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3,849.2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2,270.8</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32,448.0</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25,849.4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Commitments and Contingencies (Note 9)</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i w:val="1"/>
                <w:iCs w:val="1"/>
                <w:color w:val="auto"/>
              </w:rPr>
              <w:t>Eli Lilly and Company Shareholders' Equity</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594.2</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7,009.5</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12,553.9</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10,312.3</w:t>
            </w: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Arial" w:cs="Arial" w:eastAsia="Arial" w:hAnsi="Arial"/>
                <w:sz w:val="18"/>
                <w:szCs w:val="18"/>
                <w:color w:val="auto"/>
              </w:rPr>
              <w:t>Employee benefit trust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(3,013.2)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 (Note 10)</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(4,299.5)</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common stock in treasury</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Eli Lilly and Company shareholders' equity</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12,812.2</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10,771.9</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85.2</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12,897.4</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10,863.7</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63,943.5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64,006.3</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607" w:right="35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Consolidated Condensed Statements of Shareholders' Equity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37" w:lineRule="exact"/>
        <w:rPr>
          <w:sz w:val="20"/>
          <w:szCs w:val="20"/>
          <w:color w:val="auto"/>
        </w:rPr>
      </w:pPr>
    </w:p>
    <w:tbl>
      <w:tblPr>
        <w:tblLayout w:type="fixed"/>
        <w:tblInd w:w="32"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2"/>
                <w:szCs w:val="22"/>
                <w:color w:val="auto"/>
              </w:rPr>
            </w:pPr>
          </w:p>
        </w:tc>
        <w:tc>
          <w:tcPr>
            <w:tcW w:w="1640" w:type="dxa"/>
            <w:vAlign w:val="bottom"/>
            <w:gridSpan w:val="2"/>
          </w:tcPr>
          <w:p>
            <w:pPr>
              <w:ind w:left="420"/>
              <w:spacing w:after="0"/>
              <w:rPr>
                <w:sz w:val="20"/>
                <w:szCs w:val="20"/>
                <w:color w:val="auto"/>
              </w:rPr>
            </w:pPr>
            <w:r>
              <w:rPr>
                <w:rFonts w:ascii="Arial" w:cs="Arial" w:eastAsia="Arial" w:hAnsi="Arial"/>
                <w:sz w:val="11"/>
                <w:szCs w:val="11"/>
                <w:b w:val="1"/>
                <w:bCs w:val="1"/>
                <w:color w:val="auto"/>
              </w:rPr>
              <w:t>Common Stock</w:t>
            </w:r>
          </w:p>
        </w:tc>
        <w:tc>
          <w:tcPr>
            <w:tcW w:w="800" w:type="dxa"/>
            <w:vAlign w:val="bottom"/>
          </w:tcPr>
          <w:p>
            <w:pPr>
              <w:jc w:val="center"/>
              <w:ind w:left="148"/>
              <w:spacing w:after="0"/>
              <w:rPr>
                <w:sz w:val="20"/>
                <w:szCs w:val="20"/>
                <w:color w:val="auto"/>
              </w:rPr>
            </w:pPr>
            <w:r>
              <w:rPr>
                <w:rFonts w:ascii="Arial" w:cs="Arial" w:eastAsia="Arial" w:hAnsi="Arial"/>
                <w:sz w:val="11"/>
                <w:szCs w:val="11"/>
                <w:b w:val="1"/>
                <w:bCs w:val="1"/>
                <w:color w:val="auto"/>
                <w:w w:val="96"/>
              </w:rPr>
              <w:t>Additional</w:t>
            </w:r>
          </w:p>
        </w:tc>
        <w:tc>
          <w:tcPr>
            <w:tcW w:w="10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4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Common Stock in Treasury</w:t>
            </w:r>
            <w:r>
              <w:rPr>
                <w:rFonts w:ascii="Arial" w:cs="Arial" w:eastAsia="Arial" w:hAnsi="Arial"/>
                <w:sz w:val="16"/>
                <w:szCs w:val="16"/>
                <w:b w:val="1"/>
                <w:bCs w:val="1"/>
                <w:color w:val="auto"/>
                <w:w w:val="98"/>
                <w:vertAlign w:val="superscript"/>
              </w:rPr>
              <w:t>(1)</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vMerge w:val="restart"/>
          </w:tcPr>
          <w:p>
            <w:pPr>
              <w:jc w:val="center"/>
              <w:ind w:left="148"/>
              <w:spacing w:after="0" w:line="95" w:lineRule="exact"/>
              <w:rPr>
                <w:sz w:val="20"/>
                <w:szCs w:val="20"/>
                <w:color w:val="auto"/>
              </w:rPr>
            </w:pPr>
            <w:r>
              <w:rPr>
                <w:rFonts w:ascii="Arial" w:cs="Arial" w:eastAsia="Arial" w:hAnsi="Arial"/>
                <w:sz w:val="10"/>
                <w:szCs w:val="10"/>
                <w:b w:val="1"/>
                <w:bCs w:val="1"/>
                <w:color w:val="auto"/>
              </w:rPr>
              <w:t>Paid-in</w:t>
            </w:r>
          </w:p>
        </w:tc>
        <w:tc>
          <w:tcPr>
            <w:tcW w:w="1020" w:type="dxa"/>
            <w:vAlign w:val="bottom"/>
            <w:vMerge w:val="restart"/>
          </w:tcPr>
          <w:p>
            <w:pPr>
              <w:ind w:left="380"/>
              <w:spacing w:after="0" w:line="95" w:lineRule="exact"/>
              <w:rPr>
                <w:sz w:val="20"/>
                <w:szCs w:val="20"/>
                <w:color w:val="auto"/>
              </w:rPr>
            </w:pPr>
            <w:r>
              <w:rPr>
                <w:rFonts w:ascii="Arial" w:cs="Arial" w:eastAsia="Arial" w:hAnsi="Arial"/>
                <w:sz w:val="10"/>
                <w:szCs w:val="10"/>
                <w:b w:val="1"/>
                <w:bCs w:val="1"/>
                <w:color w:val="auto"/>
              </w:rPr>
              <w:t>Retained</w:t>
            </w:r>
          </w:p>
        </w:tc>
        <w:tc>
          <w:tcPr>
            <w:tcW w:w="940" w:type="dxa"/>
            <w:vAlign w:val="bottom"/>
            <w:vMerge w:val="restart"/>
          </w:tcPr>
          <w:p>
            <w:pPr>
              <w:jc w:val="center"/>
              <w:ind w:left="9"/>
              <w:spacing w:after="0" w:line="95" w:lineRule="exact"/>
              <w:rPr>
                <w:sz w:val="20"/>
                <w:szCs w:val="20"/>
                <w:color w:val="auto"/>
              </w:rPr>
            </w:pPr>
            <w:r>
              <w:rPr>
                <w:rFonts w:ascii="Arial" w:cs="Arial" w:eastAsia="Arial" w:hAnsi="Arial"/>
                <w:sz w:val="10"/>
                <w:szCs w:val="10"/>
                <w:b w:val="1"/>
                <w:bCs w:val="1"/>
                <w:color w:val="auto"/>
              </w:rPr>
              <w:t>Employee</w:t>
            </w:r>
          </w:p>
        </w:tc>
        <w:tc>
          <w:tcPr>
            <w:tcW w:w="128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Comprehensive</w:t>
            </w:r>
          </w:p>
        </w:tc>
        <w:tc>
          <w:tcPr>
            <w:tcW w:w="8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vMerge w:val="restart"/>
          </w:tcPr>
          <w:p>
            <w:pPr>
              <w:jc w:val="center"/>
              <w:ind w:left="20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00" w:type="dxa"/>
            <w:vAlign w:val="bottom"/>
            <w:vMerge w:val="continue"/>
          </w:tcPr>
          <w:p>
            <w:pPr>
              <w:spacing w:after="0" w:line="20" w:lineRule="exact"/>
              <w:rPr>
                <w:sz w:val="1"/>
                <w:szCs w:val="1"/>
                <w:color w:val="auto"/>
              </w:rPr>
            </w:pPr>
          </w:p>
        </w:tc>
        <w:tc>
          <w:tcPr>
            <w:tcW w:w="8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8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0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8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8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00" w:type="dxa"/>
            <w:vAlign w:val="bottom"/>
          </w:tcPr>
          <w:p>
            <w:pPr>
              <w:spacing w:after="0"/>
              <w:rPr>
                <w:sz w:val="20"/>
                <w:szCs w:val="20"/>
                <w:color w:val="auto"/>
              </w:rPr>
            </w:pPr>
            <w:r>
              <w:rPr>
                <w:rFonts w:ascii="Arial" w:cs="Arial" w:eastAsia="Arial" w:hAnsi="Arial"/>
                <w:sz w:val="11"/>
                <w:szCs w:val="11"/>
                <w:b w:val="1"/>
                <w:bCs w:val="1"/>
                <w:color w:val="auto"/>
              </w:rPr>
              <w:t>shares in thousands)</w:t>
            </w: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tcPr>
          <w:p>
            <w:pPr>
              <w:jc w:val="center"/>
              <w:ind w:left="148"/>
              <w:spacing w:after="0"/>
              <w:rPr>
                <w:sz w:val="20"/>
                <w:szCs w:val="20"/>
                <w:color w:val="auto"/>
              </w:rPr>
            </w:pPr>
            <w:r>
              <w:rPr>
                <w:rFonts w:ascii="Arial" w:cs="Arial" w:eastAsia="Arial" w:hAnsi="Arial"/>
                <w:sz w:val="11"/>
                <w:szCs w:val="11"/>
                <w:b w:val="1"/>
                <w:bCs w:val="1"/>
                <w:color w:val="auto"/>
                <w:w w:val="98"/>
              </w:rPr>
              <w:t>Capital</w:t>
            </w:r>
          </w:p>
        </w:tc>
        <w:tc>
          <w:tcPr>
            <w:tcW w:w="1020" w:type="dxa"/>
            <w:vAlign w:val="bottom"/>
          </w:tcPr>
          <w:p>
            <w:pPr>
              <w:ind w:left="380"/>
              <w:spacing w:after="0"/>
              <w:rPr>
                <w:sz w:val="20"/>
                <w:szCs w:val="20"/>
                <w:color w:val="auto"/>
              </w:rPr>
            </w:pPr>
            <w:r>
              <w:rPr>
                <w:rFonts w:ascii="Arial" w:cs="Arial" w:eastAsia="Arial" w:hAnsi="Arial"/>
                <w:sz w:val="11"/>
                <w:szCs w:val="11"/>
                <w:b w:val="1"/>
                <w:bCs w:val="1"/>
                <w:color w:val="auto"/>
              </w:rPr>
              <w:t>Earnings</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Benefit Trust</w:t>
            </w: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3"/>
              </w:rPr>
              <w:t>Loss</w:t>
            </w: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tcPr>
          <w:p>
            <w:pPr>
              <w:jc w:val="center"/>
              <w:ind w:left="209"/>
              <w:spacing w:after="0"/>
              <w:rPr>
                <w:sz w:val="20"/>
                <w:szCs w:val="20"/>
                <w:color w:val="auto"/>
              </w:rPr>
            </w:pPr>
            <w:r>
              <w:rPr>
                <w:rFonts w:ascii="Arial" w:cs="Arial" w:eastAsia="Arial" w:hAnsi="Arial"/>
                <w:sz w:val="11"/>
                <w:szCs w:val="11"/>
                <w:b w:val="1"/>
                <w:bCs w:val="1"/>
                <w:color w:val="auto"/>
                <w:w w:val="95"/>
              </w:rPr>
              <w:t>Interests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wp:posOffset>
            </wp:positionV>
            <wp:extent cx="711517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sectPr>
      </w:pPr>
    </w:p>
    <w:p>
      <w:pPr>
        <w:spacing w:after="0" w:line="23" w:lineRule="exact"/>
        <w:rPr>
          <w:sz w:val="20"/>
          <w:szCs w:val="20"/>
          <w:color w:val="auto"/>
        </w:rPr>
      </w:pPr>
    </w:p>
    <w:p>
      <w:pPr>
        <w:ind w:left="32" w:right="1080"/>
        <w:spacing w:after="0" w:line="281" w:lineRule="auto"/>
        <w:rPr>
          <w:sz w:val="20"/>
          <w:szCs w:val="20"/>
          <w:color w:val="auto"/>
        </w:rPr>
      </w:pPr>
      <w:r>
        <w:rPr>
          <w:rFonts w:ascii="Arial" w:cs="Arial" w:eastAsia="Arial" w:hAnsi="Arial"/>
          <w:sz w:val="13"/>
          <w:szCs w:val="13"/>
          <w:color w:val="auto"/>
        </w:rPr>
        <w:t>Balance at January 1, 2023 Net income</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Other comprehensive income, net of tax</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Retirement of treasury shares</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Purchase of treasury shares</w:t>
      </w:r>
    </w:p>
    <w:p>
      <w:pPr>
        <w:spacing w:after="0" w:line="26" w:lineRule="exact"/>
        <w:rPr>
          <w:sz w:val="20"/>
          <w:szCs w:val="20"/>
          <w:color w:val="auto"/>
        </w:rPr>
      </w:pPr>
    </w:p>
    <w:p>
      <w:pPr>
        <w:ind w:left="3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3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Balance at March 31, 2023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820" w:type="dxa"/>
            <w:vAlign w:val="bottom"/>
          </w:tcPr>
          <w:p>
            <w:pPr>
              <w:jc w:val="right"/>
              <w:ind w:right="37"/>
              <w:spacing w:after="0"/>
              <w:rPr>
                <w:sz w:val="20"/>
                <w:szCs w:val="20"/>
                <w:color w:val="auto"/>
              </w:rPr>
            </w:pPr>
            <w:r>
              <w:rPr>
                <w:rFonts w:ascii="Arial" w:cs="Arial" w:eastAsia="Arial" w:hAnsi="Arial"/>
                <w:sz w:val="13"/>
                <w:szCs w:val="13"/>
                <w:color w:val="auto"/>
              </w:rPr>
              <w:t>950,632</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594.1</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6,921.4</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10,042.6</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(3,013.2)</w:t>
            </w:r>
          </w:p>
        </w:tc>
        <w:tc>
          <w:tcPr>
            <w:tcW w:w="4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(3,844.6)</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450</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(50.5)</w:t>
            </w:r>
          </w:p>
        </w:tc>
        <w:tc>
          <w:tcPr>
            <w:tcW w:w="4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125.6</w:t>
            </w: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1,344.9</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217"/>
              <w:spacing w:after="0"/>
              <w:rPr>
                <w:sz w:val="20"/>
                <w:szCs w:val="20"/>
                <w:color w:val="auto"/>
              </w:rPr>
            </w:pPr>
            <w:r>
              <w:rPr>
                <w:rFonts w:ascii="Arial" w:cs="Arial" w:eastAsia="Arial" w:hAnsi="Arial"/>
                <w:sz w:val="13"/>
                <w:szCs w:val="13"/>
                <w:color w:val="auto"/>
              </w:rPr>
              <w:t>67.3</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6"/>
        </w:trPr>
        <w:tc>
          <w:tcPr>
            <w:tcW w:w="820" w:type="dxa"/>
            <w:vAlign w:val="bottom"/>
          </w:tcPr>
          <w:p>
            <w:pPr>
              <w:jc w:val="right"/>
              <w:spacing w:after="0"/>
              <w:rPr>
                <w:sz w:val="20"/>
                <w:szCs w:val="20"/>
                <w:color w:val="auto"/>
              </w:rPr>
            </w:pPr>
            <w:r>
              <w:rPr>
                <w:rFonts w:ascii="Arial" w:cs="Arial" w:eastAsia="Arial" w:hAnsi="Arial"/>
                <w:sz w:val="13"/>
                <w:szCs w:val="13"/>
                <w:color w:val="auto"/>
              </w:rPr>
              <w:t>(2,299)</w:t>
            </w:r>
          </w:p>
        </w:tc>
        <w:tc>
          <w:tcPr>
            <w:tcW w:w="3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(748.6)</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(2,299)</w:t>
            </w:r>
          </w:p>
        </w:tc>
        <w:tc>
          <w:tcPr>
            <w:tcW w:w="2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750.0</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2,299</w:t>
            </w:r>
          </w:p>
        </w:tc>
        <w:tc>
          <w:tcPr>
            <w:tcW w:w="26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(750.0)</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11"/>
        </w:trPr>
        <w:tc>
          <w:tcPr>
            <w:tcW w:w="820" w:type="dxa"/>
            <w:vAlign w:val="bottom"/>
          </w:tcPr>
          <w:p>
            <w:pPr>
              <w:jc w:val="right"/>
              <w:ind w:right="37"/>
              <w:spacing w:after="0"/>
              <w:rPr>
                <w:sz w:val="20"/>
                <w:szCs w:val="20"/>
                <w:color w:val="auto"/>
              </w:rPr>
            </w:pPr>
            <w:r>
              <w:rPr>
                <w:rFonts w:ascii="Arial" w:cs="Arial" w:eastAsia="Arial" w:hAnsi="Arial"/>
                <w:sz w:val="13"/>
                <w:szCs w:val="13"/>
                <w:color w:val="auto"/>
              </w:rPr>
              <w:t>1,336</w:t>
            </w:r>
          </w:p>
        </w:tc>
        <w:tc>
          <w:tcPr>
            <w:tcW w:w="3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24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(259.5)</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(48)</w:t>
            </w:r>
          </w:p>
        </w:tc>
        <w:tc>
          <w:tcPr>
            <w:tcW w:w="260" w:type="dxa"/>
            <w:vAlign w:val="bottom"/>
          </w:tcPr>
          <w:p>
            <w:pPr>
              <w:spacing w:after="0"/>
              <w:rPr>
                <w:sz w:val="24"/>
                <w:szCs w:val="2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8.8</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131.2</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0.4</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r>
      <w:tr>
        <w:trPr>
          <w:trHeight w:val="183"/>
        </w:trPr>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949,669</w:t>
            </w:r>
          </w:p>
        </w:tc>
        <w:tc>
          <w:tcPr>
            <w:tcW w:w="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593.5</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6,793.1</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10,639.3</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(3,013.2)</w:t>
            </w:r>
          </w:p>
        </w:tc>
        <w:tc>
          <w:tcPr>
            <w:tcW w:w="4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(3,777.3)</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402</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(45.0)</w:t>
            </w:r>
          </w:p>
        </w:tc>
        <w:tc>
          <w:tcPr>
            <w:tcW w:w="4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-890905</wp:posOffset>
            </wp:positionV>
            <wp:extent cx="7115175"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-668020</wp:posOffset>
            </wp:positionV>
            <wp:extent cx="7115175"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-359410</wp:posOffset>
            </wp:positionV>
            <wp:extent cx="7115175"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15175" cy="11112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-136525</wp:posOffset>
            </wp:positionV>
            <wp:extent cx="711517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652" w:space="80"/>
            <w:col w:w="8480"/>
          </w:cols>
          <w:pgMar w:left="328" w:top="890" w:right="359" w:bottom="1440" w:gutter="0" w:footer="0" w:header="0"/>
          <w:type w:val="continuous"/>
        </w:sectPr>
      </w:pPr>
    </w:p>
    <w:p>
      <w:pPr>
        <w:ind w:left="32" w:right="1080"/>
        <w:spacing w:after="0" w:line="281" w:lineRule="auto"/>
        <w:rPr>
          <w:sz w:val="20"/>
          <w:szCs w:val="20"/>
          <w:color w:val="auto"/>
        </w:rPr>
      </w:pPr>
      <w:r>
        <w:rPr>
          <w:rFonts w:ascii="Arial" w:cs="Arial" w:eastAsia="Arial" w:hAnsi="Arial"/>
          <w:sz w:val="13"/>
          <w:szCs w:val="13"/>
          <w:color w:val="auto"/>
        </w:rPr>
        <w:t>Balance at January 1, 2024 Net income (loss)</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Other comprehensive income, net of tax</w:t>
      </w:r>
    </w:p>
    <w:p>
      <w:pPr>
        <w:spacing w:after="0" w:line="26" w:lineRule="exact"/>
        <w:rPr>
          <w:sz w:val="20"/>
          <w:szCs w:val="20"/>
          <w:color w:val="auto"/>
        </w:rPr>
      </w:pPr>
    </w:p>
    <w:p>
      <w:pPr>
        <w:ind w:left="3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3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Balance at March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949,781</w:t>
            </w:r>
          </w:p>
        </w:tc>
        <w:tc>
          <w:tcPr>
            <w:tcW w:w="30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593.6</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7,250.4</w:t>
            </w:r>
          </w:p>
        </w:tc>
        <w:tc>
          <w:tcPr>
            <w:tcW w:w="2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10,312.3</w:t>
            </w:r>
          </w:p>
        </w:tc>
        <w:tc>
          <w:tcPr>
            <w:tcW w:w="2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0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257"/>
              <w:spacing w:after="0"/>
              <w:rPr>
                <w:sz w:val="20"/>
                <w:szCs w:val="20"/>
                <w:color w:val="auto"/>
              </w:rPr>
            </w:pPr>
            <w:r>
              <w:rPr>
                <w:rFonts w:ascii="Arial" w:cs="Arial" w:eastAsia="Arial" w:hAnsi="Arial"/>
                <w:sz w:val="13"/>
                <w:szCs w:val="13"/>
                <w:b w:val="1"/>
                <w:bCs w:val="1"/>
                <w:color w:val="auto"/>
              </w:rPr>
              <w:t>(4,327.0)</w:t>
            </w: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402</w:t>
            </w:r>
          </w:p>
        </w:tc>
        <w:tc>
          <w:tcPr>
            <w:tcW w:w="30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9"/>
              </w:rPr>
              <w:t>(44.2)</w:t>
            </w:r>
          </w:p>
        </w:tc>
        <w:tc>
          <w:tcPr>
            <w:tcW w:w="48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91.8</w:t>
            </w: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2,242.9</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(5.1)</w:t>
            </w: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297"/>
              <w:spacing w:after="0"/>
              <w:rPr>
                <w:sz w:val="20"/>
                <w:szCs w:val="20"/>
                <w:color w:val="auto"/>
              </w:rPr>
            </w:pPr>
            <w:r>
              <w:rPr>
                <w:rFonts w:ascii="Arial" w:cs="Arial" w:eastAsia="Arial" w:hAnsi="Arial"/>
                <w:sz w:val="13"/>
                <w:szCs w:val="13"/>
                <w:b w:val="1"/>
                <w:bCs w:val="1"/>
                <w:color w:val="auto"/>
              </w:rPr>
              <w:t>27.5</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10"/>
        </w:trPr>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987</w:t>
            </w:r>
          </w:p>
        </w:tc>
        <w:tc>
          <w:tcPr>
            <w:tcW w:w="3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0.6</w:t>
            </w:r>
          </w:p>
        </w:tc>
        <w:tc>
          <w:tcPr>
            <w:tcW w:w="26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(400.3)</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(37)</w:t>
            </w:r>
          </w:p>
        </w:tc>
        <w:tc>
          <w:tcPr>
            <w:tcW w:w="300" w:type="dxa"/>
            <w:vAlign w:val="bottom"/>
          </w:tcPr>
          <w:p>
            <w:pPr>
              <w:spacing w:after="0"/>
              <w:rPr>
                <w:sz w:val="24"/>
                <w:szCs w:val="24"/>
                <w:color w:val="auto"/>
              </w:rPr>
            </w:pPr>
          </w:p>
        </w:tc>
        <w:tc>
          <w:tcPr>
            <w:tcW w:w="560" w:type="dxa"/>
            <w:vAlign w:val="bottom"/>
          </w:tcPr>
          <w:p>
            <w:pPr>
              <w:jc w:val="center"/>
              <w:ind w:left="17"/>
              <w:spacing w:after="0"/>
              <w:rPr>
                <w:sz w:val="20"/>
                <w:szCs w:val="20"/>
                <w:color w:val="auto"/>
              </w:rPr>
            </w:pPr>
            <w:r>
              <w:rPr>
                <w:rFonts w:ascii="Arial" w:cs="Arial" w:eastAsia="Arial" w:hAnsi="Arial"/>
                <w:sz w:val="13"/>
                <w:szCs w:val="13"/>
                <w:b w:val="1"/>
                <w:bCs w:val="1"/>
                <w:color w:val="auto"/>
                <w:w w:val="94"/>
              </w:rPr>
              <w:t>11.5</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159.4</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w:t>
            </w:r>
          </w:p>
        </w:tc>
      </w:tr>
      <w:tr>
        <w:trPr>
          <w:trHeight w:val="180"/>
        </w:trPr>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950,768</w:t>
            </w:r>
          </w:p>
        </w:tc>
        <w:tc>
          <w:tcPr>
            <w:tcW w:w="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594.2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7,009.5</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12,553.9</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(4,299.5)</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365</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(32.7)</w:t>
            </w:r>
          </w:p>
        </w:tc>
        <w:tc>
          <w:tcPr>
            <w:tcW w:w="4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-890905</wp:posOffset>
            </wp:positionV>
            <wp:extent cx="7115175"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-668020</wp:posOffset>
            </wp:positionV>
            <wp:extent cx="711517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-359410</wp:posOffset>
            </wp:positionV>
            <wp:extent cx="7115175"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-136525</wp:posOffset>
            </wp:positionV>
            <wp:extent cx="711517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652" w:space="80"/>
            <w:col w:w="8480"/>
          </w:cols>
          <w:pgMar w:left="328" w:top="890" w:right="359" w:bottom="1440" w:gutter="0" w:footer="0" w:header="0"/>
          <w:type w:val="continuous"/>
        </w:sectPr>
      </w:pPr>
    </w:p>
    <w:p>
      <w:pPr>
        <w:ind w:left="132" w:hanging="132"/>
        <w:spacing w:after="0"/>
        <w:tabs>
          <w:tab w:leader="none" w:pos="132"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As of March 31, 2024, there was $2.50 billion remaining under our $5.00 billion share repurchase program authorized in May 2021.</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2,242.9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1,344.9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400.6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362.3</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(279.0)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159.4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131.2</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(gains)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110.5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(1,751.2)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298.6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1,166.0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(986.3)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sales and maturities of short-term investments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41.4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short-term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sales of and distributions from noncurrent investments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70.5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noncurrent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(117.1)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(96.5)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(235.0)</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(65.2)</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(1,177.6)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(688.8)</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(1,169.2)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(1,017.2)</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(5,204.8)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(1,498.0)</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6,452.5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3,958.5</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common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(389.8)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(311.3)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(35.5)</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(358.4)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1,478.9</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January 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2,818.6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2,067.0</w:t>
            </w: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March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2,460.2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3,545.9</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75" w:lineRule="exact"/>
        <w:rPr>
          <w:sz w:val="20"/>
          <w:szCs w:val="20"/>
          <w:color w:val="auto"/>
        </w:rPr>
      </w:pPr>
    </w:p>
    <w:p>
      <w:pPr>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We issued our financial statements by filing them with the Securities and Exchange Commission and have evaluated subsequent events up to the time of the filing of this Quarterly Report on Form 10-Q.</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w:t>
      </w:r>
    </w:p>
    <w:p>
      <w:pPr>
        <w:spacing w:after="0" w:line="4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Accounting Standards Update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establishes incremental disaggregation of income tax disclosures pertaining to the effective tax rate reconciliation and income taxes paid. This standard is effective for fiscal years beginning after December 15, 2024, and requires prospective application with the option to apply it retrospectively. Early adoption is permitted. We intend to adopt this standard in our Annual Report on Form 10-K for the year ending December 31, 2025. We are currently evaluating the potential impact of adopting this standard on our disclosures.</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requires disclosures about significant segment expenses and additional interim disclosure requirements. This standard also requires a single reportable segment to provide all disclosures required by Accounting Standards Codification Topic 280. This standard is effective for fiscal years beginning after December 15, 2023, and interim periods within fiscal years beginning after December 15, 2024. Early adoption is permitted, and the amendments should be applied retrospectively for all prior periods presented in the consolidated financial statements. We intend to adopt this standard in our Annual Report on Form 10-K for the year ending December 31, 2024. We are currently evaluating the potential impact of adopting this standard on our disclosures.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31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209"/>
        </w:trPr>
        <w:tc>
          <w:tcPr>
            <w:tcW w:w="7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7,796.5</w:t>
            </w:r>
          </w:p>
        </w:tc>
        <w:tc>
          <w:tcPr>
            <w:tcW w:w="12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6,238.2</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Collaboration and other revenue</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971.5</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w:t>
            </w: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8,768.0</w:t>
            </w:r>
          </w:p>
        </w:tc>
        <w:tc>
          <w:tcPr>
            <w:tcW w:w="12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6,960.0</w:t>
            </w:r>
          </w:p>
        </w:tc>
      </w:tr>
    </w:tbl>
    <w:p>
      <w:pPr>
        <w:spacing w:after="0" w:line="17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Trajenta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families of products resulting from our collaboration with Boehringer Ingelheim discussed in Note 4, as well as the sale of product rights. Substantially all of the remainder of collaboration and other revenue is related to contracts accounted for as contracts with customers. Collaboration and other revenue associated with intellectual property licensed in prior periods was not material during the three months ended March 31, 2024 and 2023.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Adjustments to revenue recognized as a result of changes in estimates for our most significant United States (U.S.) sales returns, rebates, and discounts liability balances for products shipped in previous periods were 3 percent and less than 1 percent of U.S. revenue during the three months ended March 31, 2024 and 2023,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186.7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r>
    </w:tbl>
    <w:p>
      <w:pPr>
        <w:spacing w:after="0" w:line="184"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During the three months ended March 31, 2024 and 2023,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three months ended March 31, 2024 and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Diabetes and obesity: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8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Mounjaro</w:t>
            </w:r>
            <w:r>
              <w:rPr>
                <w:rFonts w:ascii="Arial" w:cs="Arial" w:eastAsia="Arial" w:hAnsi="Arial"/>
                <w:sz w:val="23"/>
                <w:szCs w:val="23"/>
                <w:i w:val="1"/>
                <w:iCs w:val="1"/>
                <w:color w:val="auto"/>
                <w:vertAlign w:val="superscript"/>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1,520.4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286.2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1,806.5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536.4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568.5</w:t>
            </w:r>
          </w:p>
        </w:tc>
      </w:tr>
      <w:tr>
        <w:trPr>
          <w:trHeight w:val="230"/>
        </w:trPr>
        <w:tc>
          <w:tcPr>
            <w:tcW w:w="388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1,081.9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1,456.3</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w:t>
            </w:r>
          </w:p>
        </w:tc>
      </w:tr>
      <w:tr>
        <w:trPr>
          <w:trHeight w:val="229"/>
        </w:trPr>
        <w:tc>
          <w:tcPr>
            <w:tcW w:w="388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368.2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318.3</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686.5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577.5</w:t>
            </w:r>
          </w:p>
        </w:tc>
      </w:tr>
      <w:tr>
        <w:trPr>
          <w:trHeight w:val="229"/>
        </w:trPr>
        <w:tc>
          <w:tcPr>
            <w:tcW w:w="388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 (2)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538.7</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r>
      <w:tr>
        <w:trPr>
          <w:trHeight w:val="230"/>
        </w:trPr>
        <w:tc>
          <w:tcPr>
            <w:tcW w:w="388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Zepbound</w:t>
            </w:r>
            <w:r>
              <w:rPr>
                <w:rFonts w:ascii="Arial" w:cs="Arial" w:eastAsia="Arial" w:hAnsi="Arial"/>
                <w:sz w:val="23"/>
                <w:szCs w:val="23"/>
                <w:i w:val="1"/>
                <w:iCs w:val="1"/>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517.4</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517.4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206.2</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r>
      <w:tr>
        <w:trPr>
          <w:trHeight w:val="229"/>
        </w:trPr>
        <w:tc>
          <w:tcPr>
            <w:tcW w:w="388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 (3)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83.2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74.3</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157.6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209.3</w:t>
            </w:r>
          </w:p>
        </w:tc>
      </w:tr>
      <w:tr>
        <w:trPr>
          <w:trHeight w:val="230"/>
        </w:trPr>
        <w:tc>
          <w:tcPr>
            <w:tcW w:w="388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diabetes and obesity</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123.8</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23"/>
        </w:trPr>
        <w:tc>
          <w:tcPr>
            <w:tcW w:w="3880" w:type="dxa"/>
            <w:vAlign w:val="bottom"/>
          </w:tcPr>
          <w:p>
            <w:pPr>
              <w:ind w:left="360"/>
              <w:spacing w:after="0"/>
              <w:rPr>
                <w:sz w:val="20"/>
                <w:szCs w:val="20"/>
                <w:color w:val="auto"/>
              </w:rPr>
            </w:pPr>
            <w:r>
              <w:rPr>
                <w:rFonts w:ascii="Arial" w:cs="Arial" w:eastAsia="Arial" w:hAnsi="Arial"/>
                <w:sz w:val="18"/>
                <w:szCs w:val="18"/>
                <w:color w:val="auto"/>
              </w:rPr>
              <w:t>Total diabetes and obesity</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4,090.0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1,403.0</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5,493.0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3,075.0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1,115.4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4,190.4</w:t>
            </w:r>
          </w:p>
        </w:tc>
      </w:tr>
      <w:tr>
        <w:trPr>
          <w:trHeight w:val="95"/>
        </w:trPr>
        <w:tc>
          <w:tcPr>
            <w:tcW w:w="38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29"/>
        </w:trPr>
        <w:tc>
          <w:tcPr>
            <w:tcW w:w="3880" w:type="dxa"/>
            <w:vAlign w:val="bottom"/>
          </w:tcPr>
          <w:p>
            <w:pPr>
              <w:ind w:left="120"/>
              <w:spacing w:after="0"/>
              <w:rPr>
                <w:sz w:val="20"/>
                <w:szCs w:val="20"/>
                <w:color w:val="auto"/>
              </w:rPr>
            </w:pPr>
            <w:r>
              <w:rPr>
                <w:rFonts w:ascii="Arial" w:cs="Arial" w:eastAsia="Arial" w:hAnsi="Arial"/>
                <w:sz w:val="18"/>
                <w:szCs w:val="18"/>
                <w:color w:val="auto"/>
              </w:rPr>
              <w:t>Oncology:</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88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1,050.3</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r>
      <w:tr>
        <w:trPr>
          <w:trHeight w:val="229"/>
        </w:trPr>
        <w:tc>
          <w:tcPr>
            <w:tcW w:w="388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107.2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122.6</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229.9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236.8</w:t>
            </w:r>
          </w:p>
        </w:tc>
      </w:tr>
      <w:tr>
        <w:trPr>
          <w:trHeight w:val="229"/>
        </w:trPr>
        <w:tc>
          <w:tcPr>
            <w:tcW w:w="388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144.6</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30"/>
        </w:trPr>
        <w:tc>
          <w:tcPr>
            <w:tcW w:w="388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i w:val="1"/>
                <w:iCs w:val="1"/>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116.7</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116.7</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29"/>
        </w:trPr>
        <w:tc>
          <w:tcPr>
            <w:tcW w:w="388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oncology</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268.5</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223"/>
        </w:trPr>
        <w:tc>
          <w:tcPr>
            <w:tcW w:w="3880" w:type="dxa"/>
            <w:vAlign w:val="bottom"/>
          </w:tcPr>
          <w:p>
            <w:pPr>
              <w:ind w:left="360"/>
              <w:spacing w:after="0"/>
              <w:rPr>
                <w:sz w:val="20"/>
                <w:szCs w:val="20"/>
                <w:color w:val="auto"/>
              </w:rPr>
            </w:pPr>
            <w:r>
              <w:rPr>
                <w:rFonts w:ascii="Arial" w:cs="Arial" w:eastAsia="Arial" w:hAnsi="Arial"/>
                <w:sz w:val="18"/>
                <w:szCs w:val="18"/>
                <w:color w:val="auto"/>
              </w:rPr>
              <w:t>Total oncology</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998.3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811.7</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1,810.0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1,356.0</w:t>
            </w:r>
          </w:p>
        </w:tc>
      </w:tr>
      <w:tr>
        <w:trPr>
          <w:trHeight w:val="95"/>
        </w:trPr>
        <w:tc>
          <w:tcPr>
            <w:tcW w:w="38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Immunology:</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88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604.1</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r>
      <w:tr>
        <w:trPr>
          <w:trHeight w:val="230"/>
        </w:trPr>
        <w:tc>
          <w:tcPr>
            <w:tcW w:w="388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171.0</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217.4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228.9</w:t>
            </w:r>
          </w:p>
        </w:tc>
      </w:tr>
      <w:tr>
        <w:trPr>
          <w:trHeight w:val="230"/>
        </w:trPr>
        <w:tc>
          <w:tcPr>
            <w:tcW w:w="388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immunology</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12.5</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3880" w:type="dxa"/>
            <w:vAlign w:val="bottom"/>
          </w:tcPr>
          <w:p>
            <w:pPr>
              <w:ind w:left="360"/>
              <w:spacing w:after="0"/>
              <w:rPr>
                <w:sz w:val="20"/>
                <w:szCs w:val="20"/>
                <w:color w:val="auto"/>
              </w:rPr>
            </w:pPr>
            <w:r>
              <w:rPr>
                <w:rFonts w:ascii="Arial" w:cs="Arial" w:eastAsia="Arial" w:hAnsi="Arial"/>
                <w:sz w:val="18"/>
                <w:szCs w:val="18"/>
                <w:color w:val="auto"/>
              </w:rPr>
              <w:t>Total immunology</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397.2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436.8</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834.0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777.8</w:t>
            </w:r>
          </w:p>
        </w:tc>
      </w:tr>
      <w:tr>
        <w:trPr>
          <w:trHeight w:val="95"/>
        </w:trPr>
        <w:tc>
          <w:tcPr>
            <w:tcW w:w="38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Neuroscience: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88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225.7</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r>
      <w:tr>
        <w:trPr>
          <w:trHeight w:val="230"/>
        </w:trPr>
        <w:tc>
          <w:tcPr>
            <w:tcW w:w="388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neuroscience</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125.2</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163.4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r>
      <w:tr>
        <w:trPr>
          <w:trHeight w:val="223"/>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neuroscience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389.1</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r>
      <w:tr>
        <w:trPr>
          <w:trHeight w:val="95"/>
        </w:trPr>
        <w:tc>
          <w:tcPr>
            <w:tcW w:w="3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8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133.4</w:t>
            </w:r>
          </w:p>
        </w:tc>
        <w:tc>
          <w:tcPr>
            <w:tcW w:w="2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139.3</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29"/>
        </w:trPr>
        <w:tc>
          <w:tcPr>
            <w:tcW w:w="388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61.3</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30"/>
        </w:trPr>
        <w:tc>
          <w:tcPr>
            <w:tcW w:w="388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41.3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23"/>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196.2</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241.9</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8,768.0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2,523.9</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31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r>
      <w:tr>
        <w:trPr>
          <w:trHeight w:val="224"/>
        </w:trPr>
        <w:tc>
          <w:tcPr>
            <w:tcW w:w="7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U.S.</w:t>
            </w:r>
          </w:p>
        </w:tc>
        <w:tc>
          <w:tcPr>
            <w:tcW w:w="1140" w:type="dxa"/>
            <w:vAlign w:val="bottom"/>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5,694.4</w:t>
            </w:r>
          </w:p>
        </w:tc>
        <w:tc>
          <w:tcPr>
            <w:tcW w:w="1260" w:type="dxa"/>
            <w:vAlign w:val="bottom"/>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4,436.2</w:t>
            </w: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1,440.7</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376.2</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372.7</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Japan</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363.9</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r>
      <w:tr>
        <w:trPr>
          <w:trHeight w:val="229"/>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foreign countries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892.9</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w:t>
            </w: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8,768.0</w:t>
            </w:r>
          </w:p>
        </w:tc>
        <w:tc>
          <w:tcPr>
            <w:tcW w:w="12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 or other party.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should products be approved for commercialization and/or milestones based on the successful progress of compounds through the development process. We account for each arrangement as either a business combination or an asset acquisition in accordance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POINT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December 2023, we acquired all shares of POINT Biopharma Global Inc. (POINT) for a purchase price of $12.50 per share in cash (or an aggregate of $ 1.04 billion, net of cash acquired). POINT has capabilities in radiopharmaceutical discovery, development, and manufacturing efforts, as well as clinical and pre-clinical radioligand therapies in development for the treatment of cancer.</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this acquisition met the definition of a business under GAAP,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was recorded as goodwill. The results of operations of this acquisition is included in our consolidated condensed financial statements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access to POINT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27,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 (IPR&amp;D)</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29"/>
        </w:trPr>
        <w:tc>
          <w:tcPr>
            <w:tcW w:w="8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(1)</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1,338.5</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8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acquired</w:t>
            </w:r>
          </w:p>
        </w:tc>
        <w:tc>
          <w:tcPr>
            <w:tcW w:w="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r>
    </w:tbl>
    <w:p>
      <w:pPr>
        <w:spacing w:after="0" w:line="85" w:lineRule="exact"/>
        <w:rPr>
          <w:sz w:val="20"/>
          <w:szCs w:val="20"/>
          <w:color w:val="auto"/>
        </w:rPr>
      </w:pPr>
    </w:p>
    <w:p>
      <w:pPr>
        <w:ind w:left="180" w:right="200" w:hanging="172"/>
        <w:spacing w:after="0" w:line="229" w:lineRule="auto"/>
        <w:tabs>
          <w:tab w:leader="none" w:pos="158"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attributable primarily to the radiopharmaceutical discovery, development, and manufacturing capabilities and the assembled workforce for POINT, which is not deductible for tax purposes.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POINT for the three months ended March 31, 2024 were not material.</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months ended March 31,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Upon each asset acquisition, the cost allocated to acquired IPR&amp;D was immediately expensed as acquired IPR&amp;D if the compound had no alternative future use. Milestone payment obligations incurred prior to regulatory approval of the compound were expensed as acquired IPR&amp;D when the event triggering an obligation to pay the milestone occurred. We recognized acquired IPR&amp;D charges of $110.5 million and $105.0 million for the three months ended March 31, 2024 and 2023,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often enter into collaborative and other arrangements to develop and commercialize drug candidates. See Note 2 for a discussion of our recognition of revenue from our collaborations and other arrangements.</w:t>
      </w:r>
    </w:p>
    <w:p>
      <w:pPr>
        <w:spacing w:after="0" w:line="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17"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our basal insulins, Basaglar and Rezvoglar. Glyxambi, Synjardy, and Trijardy XR are included in the Jardiance product family. Jentadueto is included in the Trajenta product family. Rezvoglar is included in the Basaglar product family.</w:t>
      </w:r>
    </w:p>
    <w:p>
      <w:pPr>
        <w:spacing w:after="0" w:line="87"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Net milestones capitalized with respect to Jardiance and Trajenta and net milestones deferred with respect to Basaglar are not material.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spacing w:after="0" w:line="254" w:lineRule="auto"/>
        <w:rPr>
          <w:sz w:val="20"/>
          <w:szCs w:val="20"/>
          <w:color w:val="auto"/>
        </w:rPr>
      </w:pPr>
      <w:r>
        <w:rPr>
          <w:rFonts w:ascii="Arial" w:cs="Arial" w:eastAsia="Arial" w:hAnsi="Arial"/>
          <w:sz w:val="18"/>
          <w:szCs w:val="18"/>
          <w:color w:val="auto"/>
        </w:rPr>
        <w:t>For the Jardiance product family, we and Boehringer Ingelheim generally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the Basaglar product family in the U.S. We record our sales of the Basaglar product family to third parties as net product revenue with the royalty payments made to Boehringer Ingelheim recorded as cost of sales. The following table summarizes our revenue recognized: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1220" w:type="dxa"/>
            <w:vAlign w:val="bottom"/>
            <w:shd w:val="clear" w:color="auto" w:fill="CCEEFF"/>
          </w:tcPr>
          <w:p>
            <w:pPr>
              <w:jc w:val="right"/>
              <w:ind w:right="1022"/>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686.5</w:t>
            </w:r>
          </w:p>
        </w:tc>
        <w:tc>
          <w:tcPr>
            <w:tcW w:w="13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Basaglar</w:t>
            </w:r>
          </w:p>
        </w:tc>
        <w:tc>
          <w:tcPr>
            <w:tcW w:w="12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157.6</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209.3</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Trajenta</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88.9</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baricitinib, which is branded and trademarked as Olumiant, and certain follow-on compounds, for the treatment of inflammatory and autoimmune diseases and COVID-19.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 The agreement calls for payments by us to Incyte associated with certain development, success-based regulatory, and sales-based milestones.</w:t>
      </w:r>
    </w:p>
    <w:p>
      <w:pPr>
        <w:spacing w:after="0" w:line="74"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In connection with the regulatory approvals of Olumiant in the U.S., Europe, and Japan, as well as achievement of a sales-based milestone, milestone payments were capitalized as intangible assets and are being amortized to cost of sales through the term of the collaboration. Net milestones capitalized are not material. As of March 31, 2024, Incyte is eligible to receive up to $100.0 million of additional payments from us in potential sales-based milestones.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w:t>
      </w:r>
    </w:p>
    <w:p>
      <w:pPr>
        <w:spacing w:after="0" w:line="149"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23495</wp:posOffset>
            </wp:positionV>
            <wp:extent cx="24688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5" w:lineRule="exact"/>
        <w:rPr>
          <w:sz w:val="20"/>
          <w:szCs w:val="20"/>
          <w:color w:val="auto"/>
        </w:rPr>
      </w:pPr>
    </w:p>
    <w:p>
      <w:pPr>
        <w:ind w:left="8140"/>
        <w:spacing w:after="0"/>
        <w:tabs>
          <w:tab w:leader="none" w:pos="101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360" w:val="left"/>
          <w:tab w:leader="none" w:pos="8680" w:val="left"/>
          <w:tab w:leader="none" w:pos="9360" w:val="left"/>
          <w:tab w:leader="none" w:pos="10700" w:val="left"/>
        </w:tabs>
        <w:rPr>
          <w:sz w:val="20"/>
          <w:szCs w:val="20"/>
          <w:color w:val="auto"/>
        </w:rPr>
      </w:pPr>
      <w:r>
        <w:rPr>
          <w:rFonts w:ascii="Arial" w:cs="Arial" w:eastAsia="Arial" w:hAnsi="Arial"/>
          <w:sz w:val="18"/>
          <w:szCs w:val="18"/>
          <w:color w:val="auto"/>
        </w:rPr>
        <w:t>Olumiant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217.4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228.9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Tyvyt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collaboration agreement with Innovent Biologics, Inc. (Innovent) to jointly develop and commercialize sintilimab injection in China, where it is branded and trademarked as Tyvyt. 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w:t>
      </w:r>
    </w:p>
    <w:p>
      <w:pPr>
        <w:spacing w:after="0" w:line="118"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23495</wp:posOffset>
            </wp:positionV>
            <wp:extent cx="2468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5" w:lineRule="exact"/>
        <w:rPr>
          <w:sz w:val="20"/>
          <w:szCs w:val="20"/>
          <w:color w:val="auto"/>
        </w:rPr>
      </w:pPr>
    </w:p>
    <w:p>
      <w:pPr>
        <w:ind w:left="8140"/>
        <w:spacing w:after="0"/>
        <w:tabs>
          <w:tab w:leader="none" w:pos="101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360" w:val="left"/>
          <w:tab w:leader="none" w:pos="8700" w:val="left"/>
          <w:tab w:leader="none" w:pos="9360" w:val="left"/>
          <w:tab w:leader="none" w:pos="10800" w:val="left"/>
        </w:tabs>
        <w:rPr>
          <w:sz w:val="20"/>
          <w:szCs w:val="20"/>
          <w:color w:val="auto"/>
        </w:rPr>
      </w:pPr>
      <w:r>
        <w:rPr>
          <w:rFonts w:ascii="Arial" w:cs="Arial" w:eastAsia="Arial" w:hAnsi="Arial"/>
          <w:sz w:val="18"/>
          <w:szCs w:val="18"/>
          <w:color w:val="auto"/>
        </w:rPr>
        <w:t>Tyvyt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116.7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61.0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Ebglyss</w:t>
      </w:r>
      <w:r>
        <w:rPr>
          <w:rFonts w:ascii="Times New Roman" w:cs="Times New Roman" w:eastAsia="Times New Roman" w:hAnsi="Times New Roman"/>
          <w:sz w:val="23"/>
          <w:szCs w:val="23"/>
          <w:b w:val="1"/>
          <w:bCs w:val="1"/>
          <w:color w:val="auto"/>
          <w:vertAlign w:val="superscript"/>
        </w:rPr>
        <w:t>®</w:t>
      </w:r>
    </w:p>
    <w:p>
      <w:pPr>
        <w:spacing w:after="0" w:line="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March 31, 2024, Roche is eligible to receive additional payments from us, including up to $115.0 million contingent upon the achievement of additional success-based regulatory milestones and up to $1.03 billion in potential sales-based milestones. During the three months ended March 31, 2024 and 2023, milestone payments to Roche were not material.</w:t>
      </w:r>
    </w:p>
    <w:p>
      <w:pPr>
        <w:spacing w:after="0" w:line="7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lebrikizumab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During the three months ended March 31, 2024 and 2023, collaboration and other revenue recognized under this license agreement was not material. As of March 31, 2024, we are eligible to receive additional payments up to $1.25 billion in a series of sales-based milestones.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Orforglipron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license agreement with Chugai Pharmaceutical Co., Ltd (Chugai), which provides us with the worldwide development and commercialization rights to orforglipron. Chugai has the right to receive tiered royalty payments on future worldwide net sales from mid single digits to low teens if the product is successfully commercialized. As of March 31, 2024, Chugai is eligible to receive up to $140.0 million contingent upon the achievement of success-based regulatory milestones and up to $250.0 million in a series of sales-based milestones, contingent upon the commercial success of orforglipron.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components of inventories: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699.6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b w:val="1"/>
                <w:bCs w:val="1"/>
                <w:color w:val="auto"/>
              </w:rPr>
              <w:t>3,611.9</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3,248.6</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1,693.8</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260" w:type="dxa"/>
            <w:vAlign w:val="bottom"/>
          </w:tcPr>
          <w:p>
            <w:pPr>
              <w:spacing w:after="0"/>
              <w:rPr>
                <w:sz w:val="19"/>
                <w:szCs w:val="19"/>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b w:val="1"/>
                <w:bCs w:val="1"/>
                <w:color w:val="auto"/>
              </w:rPr>
              <w:t>6,005.3</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5,670.4</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to last-in, first-out (LIFO) cost</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96.5</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6,101.8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near-term prospects of the issuer, general market conditions, and industry specific factors. Adjustments recorded for the three months ended March 31, 2024 and 2023 were not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net gains (losses) recognized in our consolidated condensed statements of operations for equity securities were $16.0 million and</w:t>
      </w:r>
    </w:p>
    <w:p>
      <w:pPr>
        <w:spacing w:after="0" w:line="27"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$(13.7) million for the three months ended March 31, 2024 and 2023, respectively. The net gains (losses) recognized for the three months ended March 31, 2024 and 2023 on equity securities sold during the respective periods were not material.</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As of March 31, 2024, we had approximately $880 million of unfunded commitments to invest in venture capital funds, which we anticipate will be paid over a period of up to 10 years.</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 our available -for-sale debt securities at fair value, with changes in fair value reported as a component of accumulated other comprehensive income (loss). 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months ended March 31, 2024 and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March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7"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7"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650.2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222.4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580" w:type="dxa"/>
            <w:vAlign w:val="bottom"/>
          </w:tcPr>
          <w:p>
            <w:pPr>
              <w:jc w:val="right"/>
              <w:ind w:right="334"/>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28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2880" w:type="dxa"/>
            <w:vAlign w:val="bottom"/>
          </w:tcPr>
          <w:p>
            <w:pPr>
              <w:spacing w:after="0"/>
              <w:rPr>
                <w:sz w:val="19"/>
                <w:szCs w:val="19"/>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b w:val="1"/>
                <w:bCs w:val="1"/>
                <w:color w:val="auto"/>
              </w:rPr>
              <w:t>42.5</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28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111.8</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Pr>
          <w:p>
            <w:pPr>
              <w:spacing w:after="0"/>
              <w:rPr>
                <w:sz w:val="19"/>
                <w:szCs w:val="19"/>
                <w:color w:val="auto"/>
              </w:rPr>
            </w:pPr>
          </w:p>
        </w:tc>
      </w:tr>
      <w:tr>
        <w:trPr>
          <w:trHeight w:val="247"/>
        </w:trPr>
        <w:tc>
          <w:tcPr>
            <w:tcW w:w="4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288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b w:val="1"/>
                <w:bCs w:val="1"/>
                <w:color w:val="auto"/>
              </w:rPr>
              <w:t>477.9</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452.0</w:t>
            </w:r>
          </w:p>
        </w:tc>
        <w:tc>
          <w:tcPr>
            <w:tcW w:w="20" w:type="dxa"/>
            <w:vAlign w:val="bottom"/>
          </w:tcPr>
          <w:p>
            <w:pPr>
              <w:spacing w:after="0"/>
              <w:rPr>
                <w:sz w:val="21"/>
                <w:szCs w:val="21"/>
                <w:color w:val="auto"/>
              </w:rPr>
            </w:pPr>
          </w:p>
        </w:tc>
      </w:tr>
      <w:tr>
        <w:trPr>
          <w:trHeight w:val="837"/>
        </w:trPr>
        <w:tc>
          <w:tcPr>
            <w:tcW w:w="4860" w:type="dxa"/>
            <w:vAlign w:val="bottom"/>
          </w:tcPr>
          <w:p>
            <w:pPr>
              <w:spacing w:after="0"/>
              <w:rPr>
                <w:sz w:val="24"/>
                <w:szCs w:val="24"/>
                <w:color w:val="auto"/>
              </w:rPr>
            </w:pPr>
          </w:p>
        </w:tc>
        <w:tc>
          <w:tcPr>
            <w:tcW w:w="2880" w:type="dxa"/>
            <w:vAlign w:val="bottom"/>
          </w:tcPr>
          <w:p>
            <w:pPr>
              <w:jc w:val="right"/>
              <w:ind w:right="1930"/>
              <w:spacing w:after="0"/>
              <w:rPr>
                <w:sz w:val="20"/>
                <w:szCs w:val="20"/>
                <w:color w:val="auto"/>
              </w:rPr>
            </w:pPr>
            <w:r>
              <w:rPr>
                <w:rFonts w:ascii="Arial" w:cs="Arial" w:eastAsia="Arial" w:hAnsi="Arial"/>
                <w:sz w:val="18"/>
                <w:szCs w:val="18"/>
                <w:color w:val="auto"/>
              </w:rPr>
              <w:t>17</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86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t>As of March 31, 2024, the available-for-sale securities in an unrealized loss position include primarily fixed-rate debt securities of varying maturities, which are sensitive to changes in the yield curve and other market conditions. Substantially all of the fixed-rate debt securities in a loss position are investment-grade debt securities. As of March 31, 2024,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 and were not material for the three months ended March 31, 2024 and 2023. Proceeds from sales of available-for-sale investments were $24.4 million and $27.6 million for the three months ended March 31, 2024 and 2023, respectively.</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auto"/>
        </w:rPr>
        <w:t>Fair Value of Investments</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summarizes certain fair value information at March 31, 2024 and December 31, 2023 for investment assets measured at fair value on a recurring basis, as well as the carrying amount and amortized cost of certain other investments: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w:t>
            </w: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1,321.1</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1,321.1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1,308.4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12.7</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1,321.1</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30.8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30.6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51.0</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51.1</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51.0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51.0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42.4</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9.2</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33.2</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42.4</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126.1</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139.0</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154.0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139.0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139.0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231.7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217.3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217.3</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155.7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167.4</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155.7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155.7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55.6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54.6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54.6</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184.5</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86.4</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6.2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178.3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184.5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700.4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490.8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700.4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700.4</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619.6</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1,015.8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3,086.9</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1,088.4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1,088.4</w:t>
            </w: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25.0</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13.6</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11.4</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148.1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161.0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148.1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226.6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214.3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167.1</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157.3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197.4</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100.2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23.5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493.2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711.3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608.0</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3,052.2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ind w:left="180" w:right="860" w:hanging="172"/>
        <w:spacing w:after="0" w:line="261" w:lineRule="auto"/>
        <w:tabs>
          <w:tab w:leader="none" w:pos="172" w:val="left"/>
        </w:tabs>
        <w:numPr>
          <w:ilvl w:val="0"/>
          <w:numId w:val="7"/>
        </w:numPr>
        <w:rPr>
          <w:rFonts w:ascii="Arial" w:cs="Arial" w:eastAsia="Arial" w:hAnsi="Arial"/>
          <w:sz w:val="9"/>
          <w:szCs w:val="9"/>
          <w:color w:val="auto"/>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line="204"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9" w:name="page20"/>
    <w:bookmarkEnd w:id="19"/>
    <w:p>
      <w:pPr>
        <w:ind w:right="220"/>
        <w:spacing w:after="0" w:line="259"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February 2024, we issued $1.00 billion of 4.500 percent fixed-rate notes due in 2027, $1.00 billion of 4.500 percent fixed-rate notes due in 2029, $1.50 billion of 4.700 percent fixed-rate notes due in 2034, $1.50 billion of 5.000 percent fixed-rate notes due in 2054, and $1.50 billion of 5.100 percent fixed-rate notes due in 2064, all with interest to be paid semi-annually. We used, or will be using, the net cash proceeds from the offering of $6.45 billion for general business purposes, including the repayment of outstanding commercial paper, repayment of current maturities of long -term debt, and repayment of the $750.0 million of 5.000 percent fixed-rate notes due in 2026, which became callable at par beginning February 27, 2024.</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2023, we issued $750.0 million of 5.000 percent fixed-rate notes due in 2026, which are callable at par after one year,</w:t>
      </w:r>
    </w:p>
    <w:p>
      <w:pPr>
        <w:spacing w:after="0" w:line="27" w:lineRule="exact"/>
        <w:rPr>
          <w:sz w:val="20"/>
          <w:szCs w:val="20"/>
          <w:color w:val="auto"/>
        </w:rPr>
      </w:pPr>
    </w:p>
    <w:p>
      <w:pPr>
        <w:jc w:val="both"/>
        <w:ind w:right="340"/>
        <w:spacing w:after="0" w:line="258" w:lineRule="auto"/>
        <w:rPr>
          <w:sz w:val="20"/>
          <w:szCs w:val="20"/>
          <w:color w:val="auto"/>
        </w:rPr>
      </w:pPr>
      <w:r>
        <w:rPr>
          <w:rFonts w:ascii="Arial" w:cs="Arial" w:eastAsia="Arial" w:hAnsi="Arial"/>
          <w:sz w:val="18"/>
          <w:szCs w:val="18"/>
          <w:color w:val="auto"/>
        </w:rPr>
        <w:t>$1.00 billion of 4.700 percent fixed-rate notes due in 2033,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Debt</w:t>
      </w:r>
    </w:p>
    <w:p>
      <w:pPr>
        <w:spacing w:after="0" w:line="115" w:lineRule="exact"/>
        <w:rPr>
          <w:sz w:val="20"/>
          <w:szCs w:val="20"/>
          <w:color w:val="auto"/>
        </w:rPr>
      </w:pPr>
    </w:p>
    <w:p>
      <w:pPr>
        <w:jc w:val="both"/>
        <w:ind w:right="320"/>
        <w:spacing w:after="0" w:line="279" w:lineRule="auto"/>
        <w:rPr>
          <w:sz w:val="20"/>
          <w:szCs w:val="20"/>
          <w:color w:val="auto"/>
        </w:rPr>
      </w:pPr>
      <w:r>
        <w:rPr>
          <w:rFonts w:ascii="Arial" w:cs="Arial" w:eastAsia="Arial" w:hAnsi="Arial"/>
          <w:sz w:val="18"/>
          <w:szCs w:val="18"/>
          <w:color w:val="auto"/>
        </w:rPr>
        <w:t>The following table summarizes certain fair value information at March 31, 2024 and December 31, 2023 for our short-term and long-term debt: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5"/>
          </w:tcPr>
          <w:p>
            <w:pPr>
              <w:jc w:val="center"/>
              <w:ind w:right="59"/>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2"/>
                <w:szCs w:val="12"/>
                <w:color w:val="auto"/>
              </w:rPr>
            </w:pPr>
          </w:p>
        </w:tc>
        <w:tc>
          <w:tcPr>
            <w:tcW w:w="11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5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Significant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rPr>
              <w:t>Active Markets</w:t>
            </w: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8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for Identical</w:t>
            </w:r>
          </w:p>
        </w:tc>
        <w:tc>
          <w:tcPr>
            <w:tcW w:w="14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1"/>
                <w:szCs w:val="11"/>
                <w:color w:val="auto"/>
              </w:rPr>
            </w:pPr>
          </w:p>
        </w:tc>
        <w:tc>
          <w:tcPr>
            <w:tcW w:w="15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rPr>
              <w:t>Unobservable</w:t>
            </w: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Inputs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commercial paper borrowings</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March 31, 2024</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6"/>
              <w:spacing w:after="0"/>
              <w:rPr>
                <w:sz w:val="20"/>
                <w:szCs w:val="20"/>
                <w:color w:val="auto"/>
              </w:rPr>
            </w:pPr>
            <w:r>
              <w:rPr>
                <w:rFonts w:ascii="Arial" w:cs="Arial" w:eastAsia="Arial" w:hAnsi="Arial"/>
                <w:sz w:val="18"/>
                <w:szCs w:val="18"/>
                <w:b w:val="1"/>
                <w:bCs w:val="1"/>
                <w:color w:val="auto"/>
              </w:rPr>
              <w:t>(984.6)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(982.8)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ind w:left="900"/>
              <w:spacing w:after="0"/>
              <w:rPr>
                <w:sz w:val="20"/>
                <w:szCs w:val="20"/>
                <w:color w:val="auto"/>
              </w:rPr>
            </w:pPr>
            <w:r>
              <w:rPr>
                <w:rFonts w:ascii="Arial" w:cs="Arial" w:eastAsia="Arial" w:hAnsi="Arial"/>
                <w:sz w:val="18"/>
                <w:szCs w:val="18"/>
                <w:b w:val="1"/>
                <w:bCs w:val="1"/>
                <w:color w:val="auto"/>
              </w:rPr>
              <w:t>—  $</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(982.8)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2023</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(6,189.4)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31, 2024</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(25,226.8)</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(22,961.3)</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(22,961.3)</w:t>
            </w:r>
          </w:p>
        </w:tc>
        <w:tc>
          <w:tcPr>
            <w:tcW w:w="0" w:type="dxa"/>
            <w:vAlign w:val="bottom"/>
          </w:tcPr>
          <w:p>
            <w:pPr>
              <w:spacing w:after="0"/>
              <w:rPr>
                <w:sz w:val="1"/>
                <w:szCs w:val="1"/>
                <w:color w:val="auto"/>
              </w:rPr>
            </w:pPr>
          </w:p>
        </w:tc>
      </w:tr>
      <w:tr>
        <w:trPr>
          <w:trHeight w:val="239"/>
        </w:trPr>
        <w:tc>
          <w:tcPr>
            <w:tcW w:w="3820" w:type="dxa"/>
            <w:vAlign w:val="bottom"/>
          </w:tcPr>
          <w:p>
            <w:pPr>
              <w:ind w:left="140"/>
              <w:spacing w:after="0"/>
              <w:rPr>
                <w:sz w:val="20"/>
                <w:szCs w:val="20"/>
                <w:color w:val="auto"/>
              </w:rPr>
            </w:pPr>
            <w:r>
              <w:rPr>
                <w:rFonts w:ascii="Arial" w:cs="Arial" w:eastAsia="Arial" w:hAnsi="Arial"/>
                <w:sz w:val="18"/>
                <w:szCs w:val="18"/>
                <w:color w:val="auto"/>
              </w:rPr>
              <w:t>December 31, 2023</w:t>
            </w:r>
          </w:p>
        </w:tc>
        <w:tc>
          <w:tcPr>
            <w:tcW w:w="76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(19,035.9)</w:t>
            </w:r>
          </w:p>
        </w:tc>
        <w:tc>
          <w:tcPr>
            <w:tcW w:w="140" w:type="dxa"/>
            <w:vAlign w:val="bottom"/>
          </w:tcPr>
          <w:p>
            <w:pPr>
              <w:spacing w:after="0"/>
              <w:rPr>
                <w:sz w:val="20"/>
                <w:szCs w:val="20"/>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(17,221.7)</w:t>
            </w:r>
          </w:p>
        </w:tc>
        <w:tc>
          <w:tcPr>
            <w:tcW w:w="220" w:type="dxa"/>
            <w:vAlign w:val="bottom"/>
          </w:tcPr>
          <w:p>
            <w:pPr>
              <w:spacing w:after="0"/>
              <w:rPr>
                <w:sz w:val="20"/>
                <w:szCs w:val="20"/>
                <w:color w:val="auto"/>
              </w:rPr>
            </w:pPr>
          </w:p>
        </w:tc>
        <w:tc>
          <w:tcPr>
            <w:tcW w:w="15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(17,221.7)</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We derecognized $399.0 million and $431.9 million of accounts receivable as of March 31, 2024 and December 31, 2023, respectively, under these factoring arrangements. The costs of factoring such accounts receivable as well as estimated credit losses were not material for the three months ended March 31, 2024 and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jc w:val="both"/>
        <w:ind w:right="460"/>
        <w:spacing w:after="0" w:line="268"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 (see Note 10)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10). Derivative contracts that are not designated as hedging instruments are recorded at fair value with the gain or loss recognized in earnings during the period of change.</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(primarily the euro, Chinese yuan,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Forward contracts generally have maturities not exceeding 12 months. At March 31, 2024, we had outstanding foreign currency forward commitments as follows, all of which have settlement dates within 180 days: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 2024</w:t>
      </w:r>
    </w:p>
    <w:p>
      <w:pPr>
        <w:spacing w:after="0" w:line="35" w:lineRule="exact"/>
        <w:rPr>
          <w:sz w:val="20"/>
          <w:szCs w:val="20"/>
          <w:color w:val="auto"/>
        </w:rPr>
      </w:pPr>
    </w:p>
    <w:tbl>
      <w:tblPr>
        <w:tblLayout w:type="fixed"/>
        <w:tblInd w:w="2520" w:type="dxa"/>
        <w:tblCellMar>
          <w:top w:w="0" w:type="dxa"/>
          <w:left w:w="0" w:type="dxa"/>
          <w:bottom w:w="0" w:type="dxa"/>
          <w:right w:w="0" w:type="dxa"/>
        </w:tblCellMar>
      </w:tblPr>
      <w:tr>
        <w:trPr>
          <w:trHeight w:val="197"/>
        </w:trPr>
        <w:tc>
          <w:tcPr>
            <w:tcW w:w="116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118"/>
              <w:spacing w:after="0"/>
              <w:rPr>
                <w:sz w:val="20"/>
                <w:szCs w:val="20"/>
                <w:color w:val="auto"/>
              </w:rPr>
            </w:pPr>
            <w:r>
              <w:rPr>
                <w:rFonts w:ascii="Arial" w:cs="Arial" w:eastAsia="Arial" w:hAnsi="Arial"/>
                <w:sz w:val="14"/>
                <w:szCs w:val="14"/>
                <w:b w:val="1"/>
                <w:bCs w:val="1"/>
                <w:color w:val="auto"/>
              </w:rPr>
              <w:t>Purchase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1318"/>
              <w:spacing w:after="0"/>
              <w:rPr>
                <w:sz w:val="20"/>
                <w:szCs w:val="20"/>
                <w:color w:val="auto"/>
              </w:rPr>
            </w:pPr>
            <w:r>
              <w:rPr>
                <w:rFonts w:ascii="Arial" w:cs="Arial" w:eastAsia="Arial" w:hAnsi="Arial"/>
                <w:sz w:val="14"/>
                <w:szCs w:val="14"/>
                <w:b w:val="1"/>
                <w:bCs w:val="1"/>
                <w:color w:val="auto"/>
              </w:rPr>
              <w:t>Sell</w:t>
            </w:r>
          </w:p>
        </w:tc>
        <w:tc>
          <w:tcPr>
            <w:tcW w:w="0" w:type="dxa"/>
            <w:vAlign w:val="bottom"/>
          </w:tcPr>
          <w:p>
            <w:pPr>
              <w:spacing w:after="0"/>
              <w:rPr>
                <w:sz w:val="1"/>
                <w:szCs w:val="1"/>
                <w:color w:val="auto"/>
              </w:rPr>
            </w:pPr>
          </w:p>
        </w:tc>
      </w:tr>
      <w:tr>
        <w:trPr>
          <w:trHeight w:val="147"/>
        </w:trPr>
        <w:tc>
          <w:tcPr>
            <w:tcW w:w="11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Currency</w:t>
            </w:r>
          </w:p>
        </w:tc>
        <w:tc>
          <w:tcPr>
            <w:tcW w:w="2020" w:type="dxa"/>
            <w:vAlign w:val="bottom"/>
            <w:gridSpan w:val="2"/>
          </w:tcPr>
          <w:p>
            <w:pPr>
              <w:jc w:val="center"/>
              <w:ind w:left="78"/>
              <w:spacing w:after="0" w:line="147" w:lineRule="exact"/>
              <w:rPr>
                <w:sz w:val="20"/>
                <w:szCs w:val="20"/>
                <w:color w:val="auto"/>
              </w:rPr>
            </w:pPr>
            <w:r>
              <w:rPr>
                <w:rFonts w:ascii="Arial" w:cs="Arial" w:eastAsia="Arial" w:hAnsi="Arial"/>
                <w:sz w:val="14"/>
                <w:szCs w:val="14"/>
                <w:b w:val="1"/>
                <w:bCs w:val="1"/>
                <w:color w:val="auto"/>
              </w:rPr>
              <w:t>Amount</w:t>
            </w:r>
          </w:p>
        </w:tc>
        <w:tc>
          <w:tcPr>
            <w:tcW w:w="12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Currency</w:t>
            </w:r>
          </w:p>
        </w:tc>
        <w:tc>
          <w:tcPr>
            <w:tcW w:w="1780" w:type="dxa"/>
            <w:vAlign w:val="bottom"/>
          </w:tcPr>
          <w:p>
            <w:pPr>
              <w:jc w:val="right"/>
              <w:ind w:right="418"/>
              <w:spacing w:after="0" w:line="14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gridSpan w:val="2"/>
          </w:tcPr>
          <w:p>
            <w:pPr>
              <w:jc w:val="center"/>
              <w:ind w:left="98"/>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7,557.6</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U.S. dollars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8,223.3</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860" w:type="dxa"/>
            <w:vAlign w:val="bottom"/>
          </w:tcPr>
          <w:p>
            <w:pPr>
              <w:jc w:val="right"/>
              <w:spacing w:after="0"/>
              <w:rPr>
                <w:sz w:val="20"/>
                <w:szCs w:val="20"/>
                <w:color w:val="auto"/>
              </w:rPr>
            </w:pPr>
            <w:r>
              <w:rPr>
                <w:rFonts w:ascii="Arial" w:cs="Arial" w:eastAsia="Arial" w:hAnsi="Arial"/>
                <w:sz w:val="18"/>
                <w:szCs w:val="18"/>
                <w:color w:val="auto"/>
              </w:rPr>
              <w:t>3,538.5</w:t>
            </w:r>
          </w:p>
        </w:tc>
        <w:tc>
          <w:tcPr>
            <w:tcW w:w="16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Euro</w:t>
            </w:r>
          </w:p>
        </w:tc>
        <w:tc>
          <w:tcPr>
            <w:tcW w:w="1780" w:type="dxa"/>
            <w:vAlign w:val="bottom"/>
          </w:tcPr>
          <w:p>
            <w:pPr>
              <w:jc w:val="right"/>
              <w:spacing w:after="0"/>
              <w:rPr>
                <w:sz w:val="20"/>
                <w:szCs w:val="20"/>
                <w:color w:val="auto"/>
              </w:rPr>
            </w:pPr>
            <w:r>
              <w:rPr>
                <w:rFonts w:ascii="Arial" w:cs="Arial" w:eastAsia="Arial" w:hAnsi="Arial"/>
                <w:sz w:val="18"/>
                <w:szCs w:val="18"/>
                <w:color w:val="auto"/>
              </w:rPr>
              <w:t>3,239.6</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British pounds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U.S. dollars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39"/>
        </w:trPr>
        <w:tc>
          <w:tcPr>
            <w:tcW w:w="116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860" w:type="dxa"/>
            <w:vAlign w:val="bottom"/>
          </w:tcPr>
          <w:p>
            <w:pPr>
              <w:jc w:val="right"/>
              <w:spacing w:after="0"/>
              <w:rPr>
                <w:sz w:val="20"/>
                <w:szCs w:val="20"/>
                <w:color w:val="auto"/>
              </w:rPr>
            </w:pPr>
            <w:r>
              <w:rPr>
                <w:rFonts w:ascii="Arial" w:cs="Arial" w:eastAsia="Arial" w:hAnsi="Arial"/>
                <w:sz w:val="18"/>
                <w:szCs w:val="18"/>
                <w:color w:val="auto"/>
              </w:rPr>
              <w:t>167.1</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Japanese yen</w:t>
            </w:r>
          </w:p>
        </w:tc>
        <w:tc>
          <w:tcPr>
            <w:tcW w:w="1780" w:type="dxa"/>
            <w:vAlign w:val="bottom"/>
          </w:tcPr>
          <w:p>
            <w:pPr>
              <w:jc w:val="right"/>
              <w:spacing w:after="0"/>
              <w:rPr>
                <w:sz w:val="20"/>
                <w:szCs w:val="20"/>
                <w:color w:val="auto"/>
              </w:rPr>
            </w:pPr>
            <w:r>
              <w:rPr>
                <w:rFonts w:ascii="Arial" w:cs="Arial" w:eastAsia="Arial" w:hAnsi="Arial"/>
                <w:sz w:val="18"/>
                <w:szCs w:val="18"/>
                <w:color w:val="auto"/>
              </w:rPr>
              <w:t>24,690.1</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Foreign currency exchange risk is also managed through the use of foreign currency debt, cross-currency interest rate swaps, and foreign currency forward contracts. Our foreign currency-denominated notes had carrying amounts of $6.91 billion and $7.14 billion as of March 31, 2024 and December 31, 2023, respectively, of which $5.54 billion and $5.67 billion have been designated as, and are effective as, economic hedges of net investments in certain of our foreign operations as of March 31, 2024 and December 31, 2023, respectively. At March 31, 2024, we had outstanding cross-currency swaps with notional amounts of $ 728.6 million swapping U.S. dollars to euro and $1.00 billion swapping Swiss francs to U.S. dollars which have settlement dates ranging through 2028. Our cross-currency interest rate swaps, for which a significant amount convert a portion of our U.S. dollar-denominated fixed-rate debt to foreign-denominated fixed-rate debt, have also been designated as, and are effective as, economic hedges of net investments. At March 31, 2024, we had outstanding foreign currency forward contracts to sell 3.70 billion euro and to sell 2.70 billion Chinese yuan with settlement dates ranging through 2025, which have been designated as, and are effective as, economic hedges of net investments.</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March 31, 2024, all of our total long-term debt is at a fixed rate. We have converted approximately 8 percent of our long-term fixed-rate notes to floating rates through the use of interest rate swaps.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1" w:name="page22"/>
    <w:bookmarkEnd w:id="21"/>
    <w:p>
      <w:pPr>
        <w:ind w:right="120"/>
        <w:spacing w:after="0" w:line="259" w:lineRule="auto"/>
        <w:rPr>
          <w:sz w:val="20"/>
          <w:szCs w:val="20"/>
          <w:color w:val="auto"/>
        </w:rPr>
      </w:pPr>
      <w:r>
        <w:rPr>
          <w:rFonts w:ascii="Arial" w:cs="Arial" w:eastAsia="Arial" w:hAnsi="Arial"/>
          <w:sz w:val="18"/>
          <w:szCs w:val="18"/>
          <w:color w:val="auto"/>
        </w:rPr>
        <w:t>We also may enter into forward-starting interest rate swaps and treasury locks,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10) and, upon completion of a debt issuance and termination of the instrument, is amortized to interest expense over the life of the underlying debt. Cash proceeds or payments from the termination of these instruments are classified as operating activities in our consolidated condensed statements of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32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1240" w:type="dxa"/>
            <w:vAlign w:val="bottom"/>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(16.7)</w:t>
            </w:r>
          </w:p>
        </w:tc>
        <w:tc>
          <w:tcPr>
            <w:tcW w:w="1300" w:type="dxa"/>
            <w:vAlign w:val="bottom"/>
          </w:tcPr>
          <w:p>
            <w:pPr>
              <w:jc w:val="right"/>
              <w:ind w:right="103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from interest rate contracts</w:t>
            </w: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16.7</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Effective portion of losses on interest rate contracts reclassified from accumulated other</w:t>
            </w:r>
          </w:p>
        </w:tc>
        <w:tc>
          <w:tcPr>
            <w:tcW w:w="12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w:t>
            </w:r>
          </w:p>
        </w:tc>
        <w:tc>
          <w:tcPr>
            <w:tcW w:w="1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24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124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84.0</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76"/>
        </w:trPr>
        <w:tc>
          <w:tcPr>
            <w:tcW w:w="7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(gains) losses on foreign currency exchange contracts not designated as hedging</w:t>
            </w:r>
          </w:p>
        </w:tc>
        <w:tc>
          <w:tcPr>
            <w:tcW w:w="12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w:t>
            </w:r>
          </w:p>
        </w:tc>
        <w:tc>
          <w:tcPr>
            <w:tcW w:w="1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88.8</w:t>
            </w:r>
          </w:p>
        </w:tc>
        <w:tc>
          <w:tcPr>
            <w:tcW w:w="130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the three months ended March 31, 2024 and 2023, the amortization of losses related to the portion of our risk management hedging instruments, fair value hedges, and cash flow hedges that was excluded from the assessment of effectiveness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3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1220" w:type="dxa"/>
            <w:vAlign w:val="bottom"/>
          </w:tcPr>
          <w:p>
            <w:pPr>
              <w:jc w:val="right"/>
              <w:ind w:right="1022"/>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131.8</w:t>
            </w:r>
          </w:p>
        </w:tc>
        <w:tc>
          <w:tcPr>
            <w:tcW w:w="1300" w:type="dxa"/>
            <w:vAlign w:val="bottom"/>
          </w:tcPr>
          <w:p>
            <w:pPr>
              <w:jc w:val="right"/>
              <w:ind w:right="99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29"/>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12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99.1</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36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12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77.4</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bl>
    <w:p>
      <w:pPr>
        <w:spacing w:after="0" w:line="1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next 12 months, we expect to reclassify $5.4 million of pretax net losses on cash flow hedges from accumulated other comprehensive loss to other–net, (income) expense. During the three months ended March 31, 2024 and 2023, the amounts excluded from the assessment of hedge effectiveness recognized in other comprehensive income (loss) were not material.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Risk-Management Instruments</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following table summarizes certain fair value information at March 31, 2024 and December 31, 2023 for risk management assets and liabilities measured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43"/>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40" w:type="dxa"/>
            <w:vAlign w:val="bottom"/>
          </w:tcPr>
          <w:p>
            <w:pPr>
              <w:jc w:val="center"/>
              <w:ind w:right="161"/>
              <w:spacing w:after="0" w:line="143"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Significant</w:t>
            </w:r>
          </w:p>
        </w:tc>
        <w:tc>
          <w:tcPr>
            <w:tcW w:w="1020" w:type="dxa"/>
            <w:vAlign w:val="bottom"/>
          </w:tcPr>
          <w:p>
            <w:pPr>
              <w:spacing w:after="0"/>
              <w:rPr>
                <w:sz w:val="12"/>
                <w:szCs w:val="12"/>
                <w:color w:val="auto"/>
              </w:rPr>
            </w:pPr>
          </w:p>
        </w:tc>
      </w:tr>
      <w:tr>
        <w:trPr>
          <w:trHeight w:val="139"/>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Active Markets for</w:t>
            </w:r>
          </w:p>
        </w:tc>
        <w:tc>
          <w:tcPr>
            <w:tcW w:w="14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39" w:lineRule="exact"/>
              <w:rPr>
                <w:sz w:val="20"/>
                <w:szCs w:val="20"/>
                <w:color w:val="auto"/>
              </w:rPr>
            </w:pPr>
            <w:r>
              <w:rPr>
                <w:rFonts w:ascii="Arial" w:cs="Arial" w:eastAsia="Arial" w:hAnsi="Arial"/>
                <w:sz w:val="14"/>
                <w:szCs w:val="14"/>
                <w:b w:val="1"/>
                <w:bCs w:val="1"/>
                <w:color w:val="auto"/>
              </w:rPr>
              <w:t>Unobservable</w:t>
            </w:r>
          </w:p>
        </w:tc>
        <w:tc>
          <w:tcPr>
            <w:tcW w:w="1020" w:type="dxa"/>
            <w:vAlign w:val="bottom"/>
          </w:tcPr>
          <w:p>
            <w:pPr>
              <w:spacing w:after="0"/>
              <w:rPr>
                <w:sz w:val="12"/>
                <w:szCs w:val="12"/>
                <w:color w:val="auto"/>
              </w:rPr>
            </w:pPr>
          </w:p>
        </w:tc>
      </w:tr>
      <w:tr>
        <w:trPr>
          <w:trHeight w:val="158"/>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80"/>
              <w:spacing w:after="0" w:line="158" w:lineRule="exact"/>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3"/>
                <w:szCs w:val="13"/>
                <w:color w:val="auto"/>
              </w:rPr>
            </w:pPr>
          </w:p>
        </w:tc>
        <w:tc>
          <w:tcPr>
            <w:tcW w:w="1140" w:type="dxa"/>
            <w:vAlign w:val="bottom"/>
          </w:tcPr>
          <w:p>
            <w:pPr>
              <w:jc w:val="center"/>
              <w:ind w:right="161"/>
              <w:spacing w:after="0" w:line="158"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3"/>
                <w:szCs w:val="13"/>
                <w:color w:val="auto"/>
              </w:rPr>
            </w:pPr>
          </w:p>
        </w:tc>
        <w:tc>
          <w:tcPr>
            <w:tcW w:w="158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rPr>
              <w:t>Inputs</w:t>
            </w:r>
          </w:p>
        </w:tc>
        <w:tc>
          <w:tcPr>
            <w:tcW w:w="1020" w:type="dxa"/>
            <w:vAlign w:val="bottom"/>
          </w:tcPr>
          <w:p>
            <w:pPr>
              <w:jc w:val="right"/>
              <w:ind w:right="460"/>
              <w:spacing w:after="0" w:line="158" w:lineRule="exact"/>
              <w:rPr>
                <w:sz w:val="20"/>
                <w:szCs w:val="20"/>
                <w:color w:val="auto"/>
              </w:rPr>
            </w:pPr>
            <w:r>
              <w:rPr>
                <w:rFonts w:ascii="Arial" w:cs="Arial" w:eastAsia="Arial" w:hAnsi="Arial"/>
                <w:sz w:val="14"/>
                <w:szCs w:val="14"/>
                <w:b w:val="1"/>
                <w:bCs w:val="1"/>
                <w:color w:val="auto"/>
              </w:rPr>
              <w:t>Fair</w:t>
            </w:r>
          </w:p>
        </w:tc>
      </w:tr>
      <w:tr>
        <w:trPr>
          <w:trHeight w:val="189"/>
        </w:trPr>
        <w:tc>
          <w:tcPr>
            <w:tcW w:w="4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Value</w:t>
            </w: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(119.5)</w:t>
            </w:r>
          </w:p>
        </w:tc>
        <w:tc>
          <w:tcPr>
            <w:tcW w:w="220" w:type="dxa"/>
            <w:vAlign w:val="bottom"/>
          </w:tcPr>
          <w:p>
            <w:pPr>
              <w:jc w:val="right"/>
              <w:ind w:right="46"/>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(119.5)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tcPr>
          <w:p>
            <w:pPr>
              <w:ind w:left="940"/>
              <w:spacing w:after="0"/>
              <w:rPr>
                <w:sz w:val="20"/>
                <w:szCs w:val="20"/>
                <w:color w:val="auto"/>
              </w:rPr>
            </w:pPr>
            <w:r>
              <w:rPr>
                <w:rFonts w:ascii="Arial" w:cs="Arial" w:eastAsia="Arial" w:hAnsi="Arial"/>
                <w:sz w:val="16"/>
                <w:szCs w:val="16"/>
                <w:b w:val="1"/>
                <w:bCs w:val="1"/>
                <w:color w:val="auto"/>
              </w:rPr>
              <w:t>—  $</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(119.5)</w:t>
            </w: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investment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(15.6)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w:t>
            </w: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66.2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66.2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66.2</w:t>
            </w: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40.3</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40.3</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40.3</w:t>
            </w: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Foreign exchange contracts designated as net</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29.4</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29.4</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29.4</w:t>
            </w: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44.3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44.3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44.3</w:t>
            </w: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(58.3)</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(58.3)</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(58.3)</w:t>
            </w: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(40.0)</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(40.0)</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(40.0)</w:t>
            </w: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(42.1)</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(42.1)</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40" w:type="dxa"/>
            <w:vAlign w:val="bottom"/>
          </w:tcPr>
          <w:p>
            <w:pPr>
              <w:jc w:val="center"/>
              <w:ind w:right="161"/>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rPr>
              <w:t>Significant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Active Markets for</w:t>
            </w:r>
          </w:p>
        </w:tc>
        <w:tc>
          <w:tcPr>
            <w:tcW w:w="14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rPr>
              <w:t>Unobservable</w:t>
            </w:r>
          </w:p>
        </w:tc>
        <w:tc>
          <w:tcPr>
            <w:tcW w:w="102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2"/>
                <w:szCs w:val="12"/>
                <w:color w:val="auto"/>
              </w:rPr>
            </w:pPr>
          </w:p>
        </w:tc>
        <w:tc>
          <w:tcPr>
            <w:tcW w:w="11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Inputs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December 31, 2023</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Risk-management instruments: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(100.3)</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(100.3)</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cash flow hedges: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291.2</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291.2</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Cross-currency interest rate contracts designated as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investment hedges: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(28.4)</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2"/>
        </w:trPr>
        <w:tc>
          <w:tcPr>
            <w:tcW w:w="422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113.8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63.1</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63.1</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Foreign exchange contracts designated as hedging</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instruments: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(115.8)</w:t>
            </w:r>
          </w:p>
        </w:tc>
        <w:tc>
          <w:tcPr>
            <w:tcW w:w="22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(115.8)</w:t>
            </w:r>
          </w:p>
        </w:tc>
        <w:tc>
          <w:tcPr>
            <w:tcW w:w="200" w:type="dxa"/>
            <w:vAlign w:val="bottom"/>
          </w:tcPr>
          <w:p>
            <w:pPr>
              <w:spacing w:after="0"/>
              <w:rPr>
                <w:sz w:val="19"/>
                <w:szCs w:val="19"/>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instruments: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129.6</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129.6</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(55.9)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Contingent consideration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(64.4)</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(64.4)</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Contingent consideration liabilities relate to our liabilities arising in connection with the contingent value rights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effective tax rate was 11.6 percent for the three months ended March 31, 2024 compared to 12.1 percent for the three months ended March 31, 2023, driven by a larger net discrete tax benefit reflected in the three months ended March 31, 2024 compared to the same period in 2023.</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examination of tax years 2016-2018 began in 2019 and remains ongoing. The Internal Revenue Service commenced its examination of tax years 2019-2021 during the third quarter of 2023. The resolution of both audit periods will likely extend beyond the next 12 months.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cost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320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Defined Benefit Pension Plans</w:t>
            </w:r>
          </w:p>
        </w:tc>
        <w:tc>
          <w:tcPr>
            <w:tcW w:w="680" w:type="dxa"/>
            <w:vAlign w:val="bottom"/>
            <w:tcBorders>
              <w:bottom w:val="single" w:sz="8" w:color="auto"/>
            </w:tcBorders>
          </w:tcPr>
          <w:p>
            <w:pPr>
              <w:spacing w:after="0"/>
              <w:rPr>
                <w:sz w:val="17"/>
                <w:szCs w:val="17"/>
                <w:color w:val="auto"/>
              </w:rPr>
            </w:pPr>
          </w:p>
        </w:tc>
      </w:tr>
      <w:tr>
        <w:trPr>
          <w:trHeight w:val="196"/>
        </w:trPr>
        <w:tc>
          <w:tcPr>
            <w:tcW w:w="7360" w:type="dxa"/>
            <w:vAlign w:val="bottom"/>
          </w:tcPr>
          <w:p>
            <w:pPr>
              <w:spacing w:after="0"/>
              <w:rPr>
                <w:sz w:val="17"/>
                <w:szCs w:val="17"/>
                <w:color w:val="auto"/>
              </w:rPr>
            </w:pPr>
          </w:p>
        </w:tc>
        <w:tc>
          <w:tcPr>
            <w:tcW w:w="320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09"/>
        </w:trPr>
        <w:tc>
          <w:tcPr>
            <w:tcW w:w="7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3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180" w:type="dxa"/>
            <w:vAlign w:val="bottom"/>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83.8</w:t>
            </w:r>
          </w:p>
        </w:tc>
        <w:tc>
          <w:tcPr>
            <w:tcW w:w="1260" w:type="dxa"/>
            <w:vAlign w:val="bottom"/>
          </w:tcPr>
          <w:p>
            <w:pPr>
              <w:jc w:val="right"/>
              <w:ind w:right="99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165.0</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29"/>
        </w:trPr>
        <w:tc>
          <w:tcPr>
            <w:tcW w:w="73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18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(277.6)</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(263.3)</w:t>
            </w:r>
          </w:p>
        </w:tc>
      </w:tr>
      <w:tr>
        <w:trPr>
          <w:trHeight w:val="229"/>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0.5</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30.6</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118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w:t>
            </w:r>
          </w:p>
        </w:tc>
        <w:tc>
          <w:tcPr>
            <w:tcW w:w="126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431"/>
        </w:trPr>
        <w:tc>
          <w:tcPr>
            <w:tcW w:w="7360" w:type="dxa"/>
            <w:vAlign w:val="bottom"/>
          </w:tcPr>
          <w:p>
            <w:pPr>
              <w:spacing w:after="0"/>
              <w:rPr>
                <w:sz w:val="24"/>
                <w:szCs w:val="24"/>
                <w:color w:val="auto"/>
              </w:rPr>
            </w:pPr>
          </w:p>
        </w:tc>
        <w:tc>
          <w:tcPr>
            <w:tcW w:w="320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Retiree Health Benefit Plans</w:t>
            </w:r>
          </w:p>
        </w:tc>
        <w:tc>
          <w:tcPr>
            <w:tcW w:w="680" w:type="dxa"/>
            <w:vAlign w:val="bottom"/>
            <w:tcBorders>
              <w:bottom w:val="single" w:sz="8" w:color="auto"/>
            </w:tcBorders>
          </w:tcPr>
          <w:p>
            <w:pPr>
              <w:spacing w:after="0"/>
              <w:rPr>
                <w:sz w:val="24"/>
                <w:szCs w:val="24"/>
                <w:color w:val="auto"/>
              </w:rPr>
            </w:pPr>
          </w:p>
        </w:tc>
      </w:tr>
      <w:tr>
        <w:trPr>
          <w:trHeight w:val="196"/>
        </w:trPr>
        <w:tc>
          <w:tcPr>
            <w:tcW w:w="7360" w:type="dxa"/>
            <w:vAlign w:val="bottom"/>
          </w:tcPr>
          <w:p>
            <w:pPr>
              <w:spacing w:after="0"/>
              <w:rPr>
                <w:sz w:val="17"/>
                <w:szCs w:val="17"/>
                <w:color w:val="auto"/>
              </w:rPr>
            </w:pPr>
          </w:p>
        </w:tc>
        <w:tc>
          <w:tcPr>
            <w:tcW w:w="320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09"/>
        </w:trPr>
        <w:tc>
          <w:tcPr>
            <w:tcW w:w="7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180" w:type="dxa"/>
            <w:vAlign w:val="bottom"/>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8.2</w:t>
            </w:r>
          </w:p>
        </w:tc>
        <w:tc>
          <w:tcPr>
            <w:tcW w:w="1260" w:type="dxa"/>
            <w:vAlign w:val="bottom"/>
          </w:tcPr>
          <w:p>
            <w:pPr>
              <w:jc w:val="right"/>
              <w:ind w:right="99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73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18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(48.1)</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gain</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w:t>
            </w:r>
          </w:p>
        </w:tc>
        <w:tc>
          <w:tcPr>
            <w:tcW w:w="118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w:t>
            </w:r>
          </w:p>
        </w:tc>
        <w:tc>
          <w:tcPr>
            <w:tcW w:w="126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regulatory agencies, competitors, customers, suppliers, service providers, licensees, employees, or shareholders, among others. These matters may involve patent infringement, antitrust, securities, pricing, access, sales and marketing practices, environmental, commercial, contractual rights, licensing obligations, health and safety matters, consumer fraud, employment matters, product liability, insurance coverage, and regulatory compliance,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defending against the legal proceedings in which we are named as defendants vigorously. It is not possible to determine the final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Litigation accruals and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7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Patent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a named defendant in litigation filed by Teva Pharmaceuticals International GMBH and Teva Pharmaceuticals USA, Inc. (collectively, Teva) in the U.S. District Court for the District of Massachusetts seeking a ruling that various claims in three different Teva patents are infringed by our launch and continued sales of Emgality for the prevention of migraine in adults.</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Following a trial, in November 2022, a jury returned a verdict in favor of Teva. In September 2023, the court granted our motion to overrule the jury verdict and found all asserted claims of the three patents invalid. Teva has appealed the decision. This matter is ongoing.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1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Litigation</w:t>
      </w:r>
    </w:p>
    <w:p>
      <w:pPr>
        <w:spacing w:after="0" w:line="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named along with Takeda Chemical Industries, Ltd. and Takeda affiliates (collectively, Takeda) in a third party payor class action in the U.S. District Court for the Central District of California. Plaintiffs claim that they and similarly situated class members are entitled to recover money paid for or to reimburse Actos prescriptions because of alleged concealment of bladder cancer risk. Our agreement with Takeda calls for Takeda to defend and indemnify us against our losses and expenses with respect to U.S. litigation arising out of the manufacture, use, or sale of Actos and other related expenses in accordance with the terms of the agreement. In August 2023, the Ninth Circuit granted our and Takeda's petition for permission to appeal the class certification order, and the appeal is being briefed. This matter is ongoing.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Mounjaro and Trulicity Product Liability Litigation</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along with Novo Nordisk A/S (Novo) and other related Novo entities, are named in numerous lawsuits by plaintiffs alleging injuries following purported use of incretin medicines. Certain complaints name us and allege injuries that plaintiffs claim are associated with the use of Mounjaro and/or Trulicity. These lawsuits were filed beginning in August 2023 and are pending in various federal courts. In February 2024, the Judicial Panel on Multi-District Litigation established Multi-District Litigation for coordinated and consolidated pretrial proceedings in the Eastern District of Pennsylvania. This matter is ongoing.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HHS's December 30, 2020 advisory opinion stating that drug manufacturers are required to deliver discounts under the 340B program to all contract pharmacies and HHS's Administrative Dispute Resolution regulations. We seek a declaratory judgment that the defendants violated the Administrative Procedure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sent us an enforcement letter notifying us that it determined that our policy was contrary to the 340B statute. In response, in May 2021, we amended our complaint to bring claims related to HRSA's determination. In June 2021, the defendants withdrew the HHS December 30, 2020 advisory opinion. In July 2021, the court held oral argument on the parties' cross motions for summary judgment and the defendants' motion to dismiss. In October 2021, the court denied the defendants' motion to dismiss, and granted in part and denied in part the parties' cross motions for summary judgment. Both parties filed notices of appeal related to the court's summary judgment order. In October 2022, the U.S. Court of Appeals for the Seventh Circuit held oral argument. This matter is ongoing.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6" w:name="page27"/>
    <w:bookmarkEnd w:id="26"/>
    <w:p>
      <w:pPr>
        <w:ind w:right="160"/>
        <w:spacing w:after="0" w:line="257" w:lineRule="auto"/>
        <w:rPr>
          <w:sz w:val="20"/>
          <w:szCs w:val="20"/>
          <w:color w:val="auto"/>
        </w:rPr>
      </w:pPr>
      <w:r>
        <w:rPr>
          <w:rFonts w:ascii="Arial" w:cs="Arial" w:eastAsia="Arial" w:hAnsi="Arial"/>
          <w:sz w:val="18"/>
          <w:szCs w:val="18"/>
          <w:color w:val="auto"/>
        </w:rPr>
        <w:t>We, along with other pharmaceutical manufacturers, have been named as a defendant in petitions filed in 2021 and 2023 and currently pending before the HHS Administrative Dispute Resolution Panel. Petitioners seek declaratory, injunctive, and/or monetary relief related to the 340B program. As described above, the U.S. District Court for the Southern District of Indiana has entered a preliminary injunction enjoining the government's enforcement of the administrative dispute resolution process against us. HRSA has now promulgated a revised regulation governing Administrative Dispute Resolution (ADR) proceedings, which will take effect in June 2024 and may lead to the resumption of ADR proceedings against us.</w:t>
      </w:r>
    </w:p>
    <w:p>
      <w:pPr>
        <w:spacing w:after="0" w:line="7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July 2021, we, along with Sanofi-Aventis U.S., LLC (Sanofi), Novo Nordisk Inc. (Novo Nordisk), and AstraZeneca Pharmaceuticals LP (AstraZeneca), were named as a defendant in a purported class action lawsuit filed in the U.S. District Court for the Western District of New York by Mosaic Health, Inc. alleging antitrust and unjust enrichment claims related to the defendants' 340B distribution programs. We, with Sanofi, Novo Nordisk, and AstraZeneca, filed a motion to dismiss the lawsuit, which was granted in September 2022. In January 2024, the court dismissed the case. In February 2024, the plaintiffs filed a notice of appeal to the U.S. Court of Appeals for the Second Circuit. This matter is ongoing.</w:t>
      </w:r>
    </w:p>
    <w:p>
      <w:pPr>
        <w:spacing w:after="0" w:line="7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 May 2021, we received a subpoena from the U.S. Department of Justice requesting the production of certain documents relating to our manufacturing site in Branchburg, New Jersey. We are cooperating with the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First initiated in 2008, Eli Lilly do Brasil Limitada (Lilly Brasil) is named in a Public Civil Action brought by the Labor Public Attorney (LPA) alleging harm to employees and former employees caused by alleged exposure to soil and groundwater contaminants at a former manufacturing facility in Cosmopolis, operated by the company between 1977 and 2003. In May 2014, the trial Court ruled against Lilly Brasil, ordering it to undertake several remedial and compensatory actions, including health coverage for a class of individuals and certain of their children. In July 2018, the appeals court generally affirmed the trial Court's ruling, which included a liquidated award of 300 million Brazilian reais, which, when adjusted for inflation, is approximately 1.30 billion Brazilian reais (approximately $ 260 million as of March 31, 2024). In August 2019, Lilly Brasil appealed to the superior labor court (TST) and in June 2021, the majority of the elements of Lilly Brasil's appeal were admitted; elements not proceeding are subject to an interlocutory appeal to the TST that was filed in June 2021. Mediation hearings are ongoing.</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2019, at the LPA's request, the trial Court ordered a freeze of Lilly Brasil’s immovable property in the amount of 500 million Brazilian reais, which was reduced on Lilly Brasil's appeal and, when adjusted for inflation, is approximately 135 million Brazilian reais (approximately $27 million as of March 31, 2024). The parties appealed to the TST, which appeal is under review. The trial Court is currently assessing the status of Lilly Brasil’s compliance with the obligations as to the land and an inspection in the industrial plant occurred in October 2023. These matters are ongoing.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Lilly Brasil is also named in various pending lawsuits filed in the trial Court by individual former employees making related claims. These individual lawsuits are at various stages in the litigation process.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Puerto Rico Tax Matter</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 The trial began in May 2022; however, the Municipality filed a new motion requesting the CFI to execute an alleged judgment. The request was denied by the CFI in our favor and the Municipality filed for revision at the AP, which we opposed, staying the case. The AP denied the Municipality's motion for revision. This matter is ongoing and trial has been scheduled for August 2024.</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November 2014, we, along with another pharmaceutical manufacturer, were named as co-defendants in </w:t>
      </w:r>
      <w:r>
        <w:rPr>
          <w:rFonts w:ascii="Arial" w:cs="Arial" w:eastAsia="Arial" w:hAnsi="Arial"/>
          <w:sz w:val="18"/>
          <w:szCs w:val="18"/>
          <w:i w:val="1"/>
          <w:iCs w:val="1"/>
          <w:color w:val="auto"/>
        </w:rPr>
        <w:t>United States et al. ex rel. Streck</w:t>
      </w:r>
      <w:r>
        <w:rPr>
          <w:rFonts w:ascii="Arial" w:cs="Arial" w:eastAsia="Arial" w:hAnsi="Arial"/>
          <w:sz w:val="18"/>
          <w:szCs w:val="18"/>
          <w:color w:val="auto"/>
        </w:rPr>
        <w:t xml:space="preserve"> </w:t>
      </w:r>
      <w:r>
        <w:rPr>
          <w:rFonts w:ascii="Arial" w:cs="Arial" w:eastAsia="Arial" w:hAnsi="Arial"/>
          <w:sz w:val="18"/>
          <w:szCs w:val="18"/>
          <w:i w:val="1"/>
          <w:iCs w:val="1"/>
          <w:color w:val="auto"/>
        </w:rPr>
        <w:t>v. Takeda Pharm. Am., Inc., et al.</w:t>
      </w:r>
      <w:r>
        <w:rPr>
          <w:rFonts w:ascii="Arial" w:cs="Arial" w:eastAsia="Arial" w:hAnsi="Arial"/>
          <w:sz w:val="18"/>
          <w:szCs w:val="18"/>
          <w:color w:val="auto"/>
        </w:rPr>
        <w:t>, which was filed in November 2014 and unsealed in the U.S. District Court for the Northern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Illinois. The complaint alleges that the defendants should have treated certain credits from distributors as retroactive price increases and included such increases in calculating average manufacturer prices. Following a trial in August 2022, the jury returned a verdict in favor of the plaintiff. Lilly appealed to the Seventh Circuit and the appeal is pending. This matter is ongoing.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We were named as a defendant in two lawsuits filed in Texas and New Jersey state courts in October 2019 seeking damages under the Texas Medicaid Fraud Prevention Act and New Jersey Medicaid False Claims Act, respectively, for certain patient support programs related to our products Humalog, Humulin, and Forteo. The Texas state court action has been stayed. The New Jersey state court action was dismissed with prejudice, and in March 2024 the Appellate Division of the New Jersey Superior Court affirmed the dismissal. The relator did not appeal the decision to the New Jersey Supreme Court. As a result, the dismissal is final and the New Jersey state matter is closed.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along with Sanofi, Novo Nordisk, and, in some matters, certain pharmacy benefit managers, have been named in numerous lawsuits, including putative class actions, by states and state attorneys general, counties, municipalities, third-party payers, consumers, and other parties related to insulin pricing and rebates paid by manufacturers to pharmacy benefit managers. These lawsuits assert various theories, including consumer protection and deceptive trade practice, fraud, false advertising, unjust enrichment, civil conspiracy, federal and state RICO statutes, antitrust, and unfair competition claims. These lawsuits have been brought in various state and federal courts since 2017 and are at various stages in the litigation process. Starting in August 2023 after a ruling by the Judicial Panel for Multi-District Litigation, several of these cases were transferred to or filed in the District of New Jersey for coordinated or consolidated pre-trial proceedings. In May 2023, we reached a settlement in the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consumer class action, and the plaintiffs filed a motion for preliminary approval of our settlement. In January 2024, the Multi-District Litigation court denied the consumer class plaintiffs’ motion for class certification, and in April 2024, the settlement agreement was terminated. In February 2024, we entered into a non-monetary settlement with the Minnesota Attorney General's Office that resolved all matters related to Minnesota's insulin pricing lawsuit.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Investigations and Similar Matters</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been subject to various investigations and received subpoenas, civil investigative demand requests, information requests, interrogatories, and other inquiries from various governmental entities related to pricing issues, including the pricing and sale of insulins and other products and calculations of AMP and best price. These include subpoenas from the Vermont Attorney General Office, civil investigative demands from the Washington, New Mexico, Colorado, Louisiana, Texas and Indiana Attorney General Offices, the U.S. Department of Justice, and the U.S. Federal Trade Commission, as well as information requests from the Mississippi, Washington D.C., California, Florida, Hawaii, and Nevada Attorney General Offices.</w:t>
      </w:r>
    </w:p>
    <w:p>
      <w:pPr>
        <w:spacing w:after="0" w:line="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January 2022, the Michigan Attorney General filed a petition in Michigan state court seeking authorization to investigate Lilly for potential violations of the Michigan Consumer Protection Act (MCPA), and a complaint seeking a declaratory judgment that the Attorney General has authority to investigate Lilly's sale of insulin under the MCPA. The court authorized the proposed investigation and the issuance of civil investigative subpoenas. In April 2022, the parties entered into a stipulation providing that the State of Michigan will not issue any civil investigative subpoena to us under the MCPA until the declaratory judgment action is resolved. In July 2022, the court dismissed the case in its entirety. In June 2023, the Michigan Court of Appeals affirmed the judgment in our favor. In August 2023, the Michigan Attorney General filed an application for leave to appeal to the Michigan Supreme Court, which is being set for argument.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are cooperating with all of the aforementioned investigations, subpoenas, and inquiries.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Trial is scheduled for August 2024. Potential damages payable under the litigation, if finally awarded after an appeal, could be material but are not currently reasonably estimable. This matter is ongoing.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180" w:type="dxa"/>
            <w:vAlign w:val="bottom"/>
          </w:tcPr>
          <w:p>
            <w:pPr>
              <w:spacing w:after="0"/>
              <w:rPr>
                <w:sz w:val="13"/>
                <w:szCs w:val="13"/>
                <w:color w:val="auto"/>
              </w:rPr>
            </w:pPr>
          </w:p>
        </w:tc>
        <w:tc>
          <w:tcPr>
            <w:tcW w:w="1180" w:type="dxa"/>
            <w:vAlign w:val="bottom"/>
          </w:tcPr>
          <w:p>
            <w:pPr>
              <w:jc w:val="center"/>
              <w:ind w:right="61"/>
              <w:spacing w:after="0"/>
              <w:rPr>
                <w:sz w:val="20"/>
                <w:szCs w:val="20"/>
                <w:color w:val="auto"/>
              </w:rPr>
            </w:pPr>
            <w:r>
              <w:rPr>
                <w:rFonts w:ascii="Arial" w:cs="Arial" w:eastAsia="Arial" w:hAnsi="Arial"/>
                <w:sz w:val="13"/>
                <w:szCs w:val="13"/>
                <w:b w:val="1"/>
                <w:bCs w:val="1"/>
                <w:color w:val="auto"/>
                <w:w w:val="96"/>
              </w:rPr>
              <w:t>Defined Benefit</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Net Unrealized</w:t>
            </w: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80" w:type="dxa"/>
            <w:vAlign w:val="bottom"/>
          </w:tcPr>
          <w:p>
            <w:pPr>
              <w:spacing w:after="0"/>
              <w:rPr>
                <w:sz w:val="10"/>
                <w:szCs w:val="10"/>
                <w:color w:val="auto"/>
              </w:rPr>
            </w:pPr>
          </w:p>
        </w:tc>
        <w:tc>
          <w:tcPr>
            <w:tcW w:w="1180" w:type="dxa"/>
            <w:vAlign w:val="bottom"/>
          </w:tcPr>
          <w:p>
            <w:pPr>
              <w:jc w:val="center"/>
              <w:ind w:right="81"/>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300" w:type="dxa"/>
            <w:vAlign w:val="bottom"/>
            <w:gridSpan w:val="2"/>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60" w:type="dxa"/>
            <w:vAlign w:val="bottom"/>
          </w:tcPr>
          <w:p>
            <w:pPr>
              <w:jc w:val="center"/>
              <w:ind w:right="118"/>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1"/>
                <w:szCs w:val="11"/>
                <w:color w:val="auto"/>
              </w:rPr>
            </w:pPr>
          </w:p>
        </w:tc>
        <w:tc>
          <w:tcPr>
            <w:tcW w:w="116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Available-For-</w:t>
            </w:r>
          </w:p>
        </w:tc>
        <w:tc>
          <w:tcPr>
            <w:tcW w:w="180" w:type="dxa"/>
            <w:vAlign w:val="bottom"/>
          </w:tcPr>
          <w:p>
            <w:pPr>
              <w:spacing w:after="0"/>
              <w:rPr>
                <w:sz w:val="11"/>
                <w:szCs w:val="11"/>
                <w:color w:val="auto"/>
              </w:rPr>
            </w:pPr>
          </w:p>
        </w:tc>
        <w:tc>
          <w:tcPr>
            <w:tcW w:w="1180" w:type="dxa"/>
            <w:vAlign w:val="bottom"/>
          </w:tcPr>
          <w:p>
            <w:pPr>
              <w:jc w:val="center"/>
              <w:ind w:right="81"/>
              <w:spacing w:after="0" w:line="135" w:lineRule="exact"/>
              <w:rPr>
                <w:sz w:val="20"/>
                <w:szCs w:val="20"/>
                <w:color w:val="auto"/>
              </w:rPr>
            </w:pPr>
            <w:r>
              <w:rPr>
                <w:rFonts w:ascii="Arial" w:cs="Arial" w:eastAsia="Arial" w:hAnsi="Arial"/>
                <w:sz w:val="13"/>
                <w:szCs w:val="13"/>
                <w:b w:val="1"/>
                <w:bCs w:val="1"/>
                <w:color w:val="auto"/>
                <w:w w:val="98"/>
              </w:rPr>
              <w:t>Retiree Health</w:t>
            </w: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Gains (Losses) on</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7"/>
              </w:rPr>
              <w:t>Benefit 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(2,697.3)</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215.5</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(4,327.0)</w:t>
            </w:r>
          </w:p>
        </w:tc>
        <w:tc>
          <w:tcPr>
            <w:tcW w:w="0" w:type="dxa"/>
            <w:vAlign w:val="bottom"/>
          </w:tcPr>
          <w:p>
            <w:pPr>
              <w:spacing w:after="0"/>
              <w:rPr>
                <w:sz w:val="1"/>
                <w:szCs w:val="1"/>
                <w:color w:val="auto"/>
              </w:rPr>
            </w:pPr>
          </w:p>
        </w:tc>
      </w:tr>
      <w:tr>
        <w:trPr>
          <w:trHeight w:val="176"/>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(88.2)</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w:t>
            </w:r>
          </w:p>
        </w:tc>
        <w:tc>
          <w:tcPr>
            <w:tcW w:w="180" w:type="dxa"/>
            <w:vAlign w:val="bottom"/>
          </w:tcPr>
          <w:p>
            <w:pPr>
              <w:spacing w:after="0"/>
              <w:rPr>
                <w:sz w:val="15"/>
                <w:szCs w:val="15"/>
                <w:color w:val="auto"/>
              </w:rPr>
            </w:pPr>
          </w:p>
        </w:tc>
        <w:tc>
          <w:tcPr>
            <w:tcW w:w="1180" w:type="dxa"/>
            <w:vAlign w:val="bottom"/>
            <w:vMerge w:val="restart"/>
          </w:tcPr>
          <w:p>
            <w:pPr>
              <w:jc w:val="right"/>
              <w:ind w:right="41"/>
              <w:spacing w:after="0"/>
              <w:rPr>
                <w:sz w:val="20"/>
                <w:szCs w:val="20"/>
                <w:color w:val="auto"/>
              </w:rPr>
            </w:pPr>
            <w:r>
              <w:rPr>
                <w:rFonts w:ascii="Arial" w:cs="Arial" w:eastAsia="Arial" w:hAnsi="Arial"/>
                <w:sz w:val="18"/>
                <w:szCs w:val="18"/>
                <w:b w:val="1"/>
                <w:bCs w:val="1"/>
                <w:color w:val="auto"/>
              </w:rPr>
              <w:t>15.6</w:t>
            </w:r>
          </w:p>
        </w:tc>
        <w:tc>
          <w:tcPr>
            <w:tcW w:w="700" w:type="dxa"/>
            <w:vAlign w:val="bottom"/>
          </w:tcPr>
          <w:p>
            <w:pPr>
              <w:spacing w:after="0"/>
              <w:rPr>
                <w:sz w:val="15"/>
                <w:szCs w:val="15"/>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72.0</w:t>
            </w:r>
          </w:p>
        </w:tc>
        <w:tc>
          <w:tcPr>
            <w:tcW w:w="6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10.2</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23.0</w:t>
            </w:r>
          </w:p>
        </w:tc>
        <w:tc>
          <w:tcPr>
            <w:tcW w:w="7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6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38.6</w:t>
            </w:r>
          </w:p>
        </w:tc>
        <w:tc>
          <w:tcPr>
            <w:tcW w:w="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71.6</w:t>
            </w:r>
          </w:p>
        </w:tc>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(2,658.7)</w:t>
            </w:r>
          </w:p>
        </w:tc>
        <w:tc>
          <w:tcPr>
            <w:tcW w:w="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287.1</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(4,299.5)</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180" w:type="dxa"/>
            <w:vAlign w:val="bottom"/>
          </w:tcPr>
          <w:p>
            <w:pPr>
              <w:spacing w:after="0"/>
              <w:rPr>
                <w:sz w:val="24"/>
                <w:szCs w:val="24"/>
                <w:color w:val="auto"/>
              </w:rPr>
            </w:pPr>
          </w:p>
        </w:tc>
        <w:tc>
          <w:tcPr>
            <w:tcW w:w="1180" w:type="dxa"/>
            <w:vAlign w:val="bottom"/>
          </w:tcPr>
          <w:p>
            <w:pPr>
              <w:jc w:val="center"/>
              <w:ind w:right="61"/>
              <w:spacing w:after="0"/>
              <w:rPr>
                <w:sz w:val="20"/>
                <w:szCs w:val="20"/>
                <w:color w:val="auto"/>
              </w:rPr>
            </w:pPr>
            <w:r>
              <w:rPr>
                <w:rFonts w:ascii="Arial" w:cs="Arial" w:eastAsia="Arial" w:hAnsi="Arial"/>
                <w:sz w:val="13"/>
                <w:szCs w:val="13"/>
                <w:b w:val="1"/>
                <w:bCs w:val="1"/>
                <w:color w:val="auto"/>
                <w:w w:val="96"/>
              </w:rPr>
              <w:t>Defined Benefit</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Net Unrealized</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80" w:type="dxa"/>
            <w:vAlign w:val="bottom"/>
          </w:tcPr>
          <w:p>
            <w:pPr>
              <w:spacing w:after="0"/>
              <w:rPr>
                <w:sz w:val="10"/>
                <w:szCs w:val="10"/>
                <w:color w:val="auto"/>
              </w:rPr>
            </w:pPr>
          </w:p>
        </w:tc>
        <w:tc>
          <w:tcPr>
            <w:tcW w:w="1180" w:type="dxa"/>
            <w:vAlign w:val="bottom"/>
          </w:tcPr>
          <w:p>
            <w:pPr>
              <w:jc w:val="center"/>
              <w:ind w:right="81"/>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300" w:type="dxa"/>
            <w:vAlign w:val="bottom"/>
            <w:gridSpan w:val="2"/>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0"/>
                <w:szCs w:val="10"/>
                <w:color w:val="auto"/>
              </w:rPr>
            </w:pPr>
          </w:p>
        </w:tc>
        <w:tc>
          <w:tcPr>
            <w:tcW w:w="1160" w:type="dxa"/>
            <w:vAlign w:val="bottom"/>
          </w:tcPr>
          <w:p>
            <w:pPr>
              <w:jc w:val="center"/>
              <w:ind w:right="118"/>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60" w:type="dxa"/>
            <w:vAlign w:val="bottom"/>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Available-For-</w:t>
            </w:r>
          </w:p>
        </w:tc>
        <w:tc>
          <w:tcPr>
            <w:tcW w:w="180" w:type="dxa"/>
            <w:vAlign w:val="bottom"/>
          </w:tcPr>
          <w:p>
            <w:pPr>
              <w:spacing w:after="0"/>
              <w:rPr>
                <w:sz w:val="10"/>
                <w:szCs w:val="10"/>
                <w:color w:val="auto"/>
              </w:rPr>
            </w:pPr>
          </w:p>
        </w:tc>
        <w:tc>
          <w:tcPr>
            <w:tcW w:w="1180" w:type="dxa"/>
            <w:vAlign w:val="bottom"/>
          </w:tcPr>
          <w:p>
            <w:pPr>
              <w:jc w:val="center"/>
              <w:ind w:right="81"/>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1300" w:type="dxa"/>
            <w:vAlign w:val="bottom"/>
            <w:gridSpan w:val="2"/>
          </w:tcPr>
          <w:p>
            <w:pPr>
              <w:ind w:left="120"/>
              <w:spacing w:after="0" w:line="122"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7"/>
              </w:rPr>
              <w:t>Benefit 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(2,062.3)</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(3,844.6)</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15"/>
                <w:szCs w:val="15"/>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(16.8)</w:t>
            </w:r>
          </w:p>
        </w:tc>
        <w:tc>
          <w:tcPr>
            <w:tcW w:w="700" w:type="dxa"/>
            <w:vAlign w:val="bottom"/>
          </w:tcPr>
          <w:p>
            <w:pPr>
              <w:spacing w:after="0"/>
              <w:rPr>
                <w:sz w:val="15"/>
                <w:szCs w:val="15"/>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color w:val="auto"/>
              </w:rPr>
              <w:t>12.7</w:t>
            </w:r>
          </w:p>
        </w:tc>
        <w:tc>
          <w:tcPr>
            <w:tcW w:w="6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13.0</w:t>
            </w:r>
          </w:p>
        </w:tc>
        <w:tc>
          <w:tcPr>
            <w:tcW w:w="7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47.6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(2,066.1)</w:t>
            </w:r>
          </w:p>
        </w:tc>
        <w:tc>
          <w:tcPr>
            <w:tcW w:w="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143.7</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(3,777.3)</w:t>
            </w:r>
          </w:p>
        </w:tc>
        <w:tc>
          <w:tcPr>
            <w:tcW w:w="0" w:type="dxa"/>
            <w:vAlign w:val="bottom"/>
          </w:tcPr>
          <w:p>
            <w:pPr>
              <w:spacing w:after="0"/>
              <w:rPr>
                <w:sz w:val="1"/>
                <w:szCs w:val="1"/>
                <w:color w:val="auto"/>
              </w:rPr>
            </w:pPr>
          </w:p>
        </w:tc>
      </w:tr>
      <w:tr>
        <w:trPr>
          <w:trHeight w:val="409"/>
        </w:trPr>
        <w:tc>
          <w:tcPr>
            <w:tcW w:w="9240" w:type="dxa"/>
            <w:vAlign w:val="bottom"/>
            <w:gridSpan w:val="8"/>
          </w:tcPr>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(52.0)</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Net unrealized gains/losses on available-for-sale securities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ind w:left="360"/>
              <w:spacing w:after="0"/>
              <w:rPr>
                <w:sz w:val="20"/>
                <w:szCs w:val="20"/>
                <w:color w:val="auto"/>
              </w:rPr>
            </w:pPr>
            <w:r>
              <w:rPr>
                <w:rFonts w:ascii="Arial" w:cs="Arial" w:eastAsia="Arial" w:hAnsi="Arial"/>
                <w:sz w:val="18"/>
                <w:szCs w:val="18"/>
                <w:b w:val="1"/>
                <w:bCs w:val="1"/>
                <w:color w:val="auto"/>
              </w:rPr>
              <w:t>1.4</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4.8</w:t>
            </w: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unrealized gains/losses on cash flow hedges</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(19.0)</w:t>
            </w: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Benefit (expense) for income taxes allocated to other comprehensive income (loss) items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(64.8)</w:t>
            </w:r>
          </w:p>
        </w:tc>
        <w:tc>
          <w:tcPr>
            <w:tcW w:w="6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20" w:type="dxa"/>
            <w:vAlign w:val="bottom"/>
          </w:tcPr>
          <w:p>
            <w:pPr>
              <w:ind w:left="140"/>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7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jc w:val="right"/>
              <w:ind w:right="256"/>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c>
          <w:tcPr>
            <w:tcW w:w="3360" w:type="dxa"/>
            <w:vAlign w:val="bottom"/>
            <w:gridSpan w:val="3"/>
          </w:tcPr>
          <w:p>
            <w:pPr>
              <w:ind w:left="360"/>
              <w:spacing w:after="0"/>
              <w:rPr>
                <w:sz w:val="20"/>
                <w:szCs w:val="20"/>
                <w:color w:val="auto"/>
              </w:rPr>
            </w:pPr>
            <w:r>
              <w:rPr>
                <w:rFonts w:ascii="Arial" w:cs="Arial" w:eastAsia="Arial" w:hAnsi="Arial"/>
                <w:sz w:val="14"/>
                <w:szCs w:val="14"/>
                <w:b w:val="1"/>
                <w:bCs w:val="1"/>
                <w:color w:val="auto"/>
              </w:rPr>
              <w:t>Affected Line Item in the Consolidated</w:t>
            </w:r>
          </w:p>
        </w:tc>
      </w:tr>
      <w:tr>
        <w:trPr>
          <w:trHeight w:val="197"/>
        </w:trPr>
        <w:tc>
          <w:tcPr>
            <w:tcW w:w="402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Components</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2024</w:t>
            </w:r>
          </w:p>
        </w:tc>
        <w:tc>
          <w:tcPr>
            <w:tcW w:w="14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Condensed Statements of Operations</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020" w:type="dxa"/>
            <w:vAlign w:val="bottom"/>
          </w:tcPr>
          <w:p>
            <w:pPr>
              <w:ind w:left="180"/>
              <w:spacing w:after="0"/>
              <w:rPr>
                <w:sz w:val="20"/>
                <w:szCs w:val="20"/>
                <w:color w:val="auto"/>
              </w:rPr>
            </w:pPr>
            <w:r>
              <w:rPr>
                <w:rFonts w:ascii="Arial" w:cs="Arial" w:eastAsia="Arial" w:hAnsi="Arial"/>
                <w:sz w:val="18"/>
                <w:szCs w:val="18"/>
                <w:color w:val="auto"/>
              </w:rPr>
              <w:t>Prior service benefits, net</w:t>
            </w:r>
          </w:p>
        </w:tc>
        <w:tc>
          <w:tcPr>
            <w:tcW w:w="7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1420" w:type="dxa"/>
            <w:vAlign w:val="bottom"/>
          </w:tcPr>
          <w:p>
            <w:pPr>
              <w:jc w:val="right"/>
              <w:ind w:right="113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3360" w:type="dxa"/>
            <w:vAlign w:val="bottom"/>
            <w:gridSpan w:val="3"/>
          </w:tcPr>
          <w:p>
            <w:pPr>
              <w:ind w:left="100"/>
              <w:spacing w:after="0"/>
              <w:rPr>
                <w:sz w:val="20"/>
                <w:szCs w:val="20"/>
                <w:color w:val="auto"/>
              </w:rPr>
            </w:pPr>
            <w:r>
              <w:rPr>
                <w:rFonts w:ascii="Arial" w:cs="Arial" w:eastAsia="Arial" w:hAnsi="Arial"/>
                <w:sz w:val="18"/>
                <w:szCs w:val="18"/>
                <w:color w:val="auto"/>
              </w:rPr>
              <w:t>Other–net, (income) expense</w:t>
            </w:r>
          </w:p>
        </w:tc>
      </w:tr>
      <w:tr>
        <w:trPr>
          <w:trHeight w:val="230"/>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losses, net</w:t>
            </w:r>
          </w:p>
        </w:tc>
        <w:tc>
          <w:tcPr>
            <w:tcW w:w="7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30.0</w:t>
            </w:r>
          </w:p>
        </w:tc>
        <w:tc>
          <w:tcPr>
            <w:tcW w:w="1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Other–net, (income) expense</w:t>
            </w:r>
          </w:p>
        </w:tc>
      </w:tr>
      <w:tr>
        <w:trPr>
          <w:trHeight w:val="223"/>
        </w:trPr>
        <w:tc>
          <w:tcPr>
            <w:tcW w:w="4020" w:type="dxa"/>
            <w:vAlign w:val="bottom"/>
          </w:tcPr>
          <w:p>
            <w:pPr>
              <w:ind w:left="180"/>
              <w:spacing w:after="0"/>
              <w:rPr>
                <w:sz w:val="20"/>
                <w:szCs w:val="20"/>
                <w:color w:val="auto"/>
              </w:rPr>
            </w:pPr>
            <w:r>
              <w:rPr>
                <w:rFonts w:ascii="Arial" w:cs="Arial" w:eastAsia="Arial" w:hAnsi="Arial"/>
                <w:sz w:val="18"/>
                <w:szCs w:val="18"/>
                <w:color w:val="auto"/>
              </w:rPr>
              <w:t>Total before tax</w:t>
            </w:r>
          </w:p>
        </w:tc>
        <w:tc>
          <w:tcPr>
            <w:tcW w:w="72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29.1</w:t>
            </w: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7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402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72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23.0</w:t>
            </w: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7"/>
        </w:trPr>
        <w:tc>
          <w:tcPr>
            <w:tcW w:w="4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360" w:type="dxa"/>
            <w:vAlign w:val="bottom"/>
            <w:gridSpan w:val="3"/>
            <w:shd w:val="clear" w:color="auto" w:fill="CCEEFF"/>
          </w:tcPr>
          <w:p>
            <w:pPr>
              <w:spacing w:after="0"/>
              <w:rPr>
                <w:sz w:val="22"/>
                <w:szCs w:val="22"/>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7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9.9</w:t>
            </w:r>
          </w:p>
        </w:tc>
        <w:tc>
          <w:tcPr>
            <w:tcW w:w="1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3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Other–net, (income) expense</w:t>
            </w:r>
          </w:p>
        </w:tc>
      </w:tr>
      <w:tr>
        <w:trPr>
          <w:trHeight w:val="24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32.9</w:t>
            </w:r>
          </w:p>
        </w:tc>
        <w:tc>
          <w:tcPr>
            <w:tcW w:w="142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768"/>
        </w:trPr>
        <w:tc>
          <w:tcPr>
            <w:tcW w:w="4020" w:type="dxa"/>
            <w:vAlign w:val="bottom"/>
          </w:tcPr>
          <w:p>
            <w:pPr>
              <w:spacing w:after="0"/>
              <w:rPr>
                <w:sz w:val="20"/>
                <w:szCs w:val="20"/>
                <w:color w:val="auto"/>
              </w:rPr>
            </w:pPr>
            <w:r>
              <w:rPr>
                <w:rFonts w:ascii="Arial" w:cs="Arial" w:eastAsia="Arial" w:hAnsi="Arial"/>
                <w:sz w:val="18"/>
                <w:szCs w:val="18"/>
                <w:b w:val="1"/>
                <w:bCs w:val="1"/>
                <w:color w:val="auto"/>
              </w:rPr>
              <w:t>Note 11: Other–Net, (Income) Expense</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6"/>
        </w:trPr>
        <w:tc>
          <w:tcPr>
            <w:tcW w:w="4740" w:type="dxa"/>
            <w:vAlign w:val="bottom"/>
            <w:gridSpan w:val="2"/>
          </w:tcPr>
          <w:p>
            <w:pPr>
              <w:spacing w:after="0"/>
              <w:rPr>
                <w:sz w:val="20"/>
                <w:szCs w:val="20"/>
                <w:color w:val="auto"/>
              </w:rPr>
            </w:pPr>
            <w:r>
              <w:rPr>
                <w:rFonts w:ascii="Arial" w:cs="Arial" w:eastAsia="Arial" w:hAnsi="Arial"/>
                <w:sz w:val="18"/>
                <w:szCs w:val="18"/>
                <w:color w:val="auto"/>
              </w:rPr>
              <w:t>Other–net, (income) expense consisted of the following:</w:t>
            </w: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2"/>
        </w:trPr>
        <w:tc>
          <w:tcPr>
            <w:tcW w:w="4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4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2023</w:t>
            </w: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179.6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b w:val="1"/>
                <w:bCs w:val="1"/>
                <w:color w:val="auto"/>
              </w:rPr>
              <w:t>(45.8)</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(gains) losses on equity securities (Note 6)</w:t>
            </w:r>
          </w:p>
        </w:tc>
        <w:tc>
          <w:tcPr>
            <w:tcW w:w="1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(16.0)</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Retirement benefit plans</w:t>
            </w: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b w:val="1"/>
                <w:bCs w:val="1"/>
                <w:color w:val="auto"/>
              </w:rPr>
              <w:t>(116.1)</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(28.8)</w:t>
            </w:r>
          </w:p>
        </w:tc>
        <w:tc>
          <w:tcPr>
            <w:tcW w:w="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(27.1)</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854"/>
        </w:trPr>
        <w:tc>
          <w:tcPr>
            <w:tcW w:w="4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30</w:t>
            </w: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1"/>
        </w:trPr>
        <w:tc>
          <w:tcPr>
            <w:tcW w:w="40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Tables present dollars in millions, except per-share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may cause our actual results, financial position, and cash generated from operations to differ from these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This section provides an overview of our financial results, late-stage pipeline developments, and other matters affecting our company and the pharmaceutical industry.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c>
          <w:tcPr>
            <w:tcW w:w="90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r>
      <w:tr>
        <w:trPr>
          <w:trHeight w:val="197"/>
        </w:trPr>
        <w:tc>
          <w:tcPr>
            <w:tcW w:w="6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jc w:val="right"/>
              <w:ind w:right="942"/>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8,768.0</w:t>
            </w:r>
          </w:p>
        </w:tc>
        <w:tc>
          <w:tcPr>
            <w:tcW w:w="12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6,960.0</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26</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2,242.9</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1,344.9</w:t>
            </w:r>
          </w:p>
        </w:tc>
        <w:tc>
          <w:tcPr>
            <w:tcW w:w="900" w:type="dxa"/>
            <w:vAlign w:val="bottom"/>
          </w:tcPr>
          <w:p>
            <w:pPr>
              <w:jc w:val="center"/>
              <w:ind w:left="17"/>
              <w:spacing w:after="0"/>
              <w:rPr>
                <w:sz w:val="20"/>
                <w:szCs w:val="20"/>
                <w:color w:val="auto"/>
              </w:rPr>
            </w:pPr>
            <w:r>
              <w:rPr>
                <w:rFonts w:ascii="Arial" w:cs="Arial" w:eastAsia="Arial" w:hAnsi="Arial"/>
                <w:sz w:val="18"/>
                <w:szCs w:val="18"/>
                <w:color w:val="auto"/>
                <w:w w:val="99"/>
              </w:rPr>
              <w:t>67</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1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2.48</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66</w:t>
            </w:r>
          </w:p>
        </w:tc>
      </w:tr>
    </w:tbl>
    <w:p>
      <w:pPr>
        <w:spacing w:after="0" w:line="200" w:lineRule="exact"/>
        <w:rPr>
          <w:sz w:val="20"/>
          <w:szCs w:val="20"/>
          <w:color w:val="auto"/>
        </w:rPr>
      </w:pPr>
    </w:p>
    <w:p>
      <w:pPr>
        <w:spacing w:after="0" w:line="22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Revenue increased for the three months ended March 31, 2024 driven by increased volume and higher realized prices. The increase in revenue during the three months ended March 31, 2024 was primarily driven by increased sales of Mounjaro</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Zepbound</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Verzenio</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and Jardiance</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partially offset by decreased sales of Trulicity</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Strong demand for our incretin medicines outpaced supply increases.</w:t>
      </w:r>
    </w:p>
    <w:p>
      <w:pPr>
        <w:spacing w:after="0" w:line="2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Net income and earnings per share for the three months ended March 31, 2024 increased primarily due to increased revenue, partially offset by increased research and development expenses and marketing, selling, and administrative expenses.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Late-Stage Pipeline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new medicines. We currently have approximately 50 new medicine candidates in clinical development or under regulatory review, and a larger number of projects in the discovery phase.</w:t>
      </w:r>
    </w:p>
    <w:p>
      <w:pPr>
        <w:spacing w:after="0" w:line="63" w:lineRule="exact"/>
        <w:rPr>
          <w:sz w:val="20"/>
          <w:szCs w:val="20"/>
          <w:color w:val="auto"/>
        </w:rPr>
      </w:pPr>
    </w:p>
    <w:p>
      <w:pPr>
        <w:ind w:right="4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following select new molecular entities (NMEs) and new indication line extension (NILEX) products are currently in Phase 2 or Phase 3 clinical trials or have been submitted for regulatory review or have recently received regulatory approval in the United States (U.S.), European Union (EU), or Japan. The table reflects the status of these NMEs and NILEX products, including certain other developments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96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68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534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Diabetes, Obesity, and Other Cardiometabolic Diseases</w:t>
            </w:r>
          </w:p>
        </w:tc>
        <w:tc>
          <w:tcPr>
            <w:tcW w:w="68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20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Empagliflozin (Jardiance)</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kidney disease</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68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in the U.S. and the EU in 2023 and in Japan in 2024.</w:t>
            </w:r>
          </w:p>
        </w:tc>
        <w:tc>
          <w:tcPr>
            <w:tcW w:w="0" w:type="dxa"/>
            <w:vAlign w:val="bottom"/>
          </w:tcPr>
          <w:p>
            <w:pPr>
              <w:spacing w:after="0"/>
              <w:rPr>
                <w:sz w:val="1"/>
                <w:szCs w:val="1"/>
                <w:color w:val="auto"/>
              </w:rPr>
            </w:pPr>
          </w:p>
        </w:tc>
      </w:tr>
      <w:tr>
        <w:trPr>
          <w:trHeight w:val="152"/>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w:t>
            </w:r>
          </w:p>
        </w:tc>
        <w:tc>
          <w:tcPr>
            <w:tcW w:w="2180" w:type="dxa"/>
            <w:vAlign w:val="bottom"/>
            <w:tcBorders>
              <w:right w:val="single" w:sz="8" w:color="auto"/>
            </w:tcBorders>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tcPr>
          <w:p>
            <w:pPr>
              <w:spacing w:after="0"/>
              <w:rPr>
                <w:sz w:val="14"/>
                <w:szCs w:val="14"/>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Obesity</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68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Approved in the U.S. and the EU in 2023. Submitted in Japan in</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2024. Phase 3 trials are ongoing.</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Cardiovascular outcomes</w:t>
            </w:r>
          </w:p>
        </w:tc>
        <w:tc>
          <w:tcPr>
            <w:tcW w:w="960" w:type="dxa"/>
            <w:vAlign w:val="bottom"/>
          </w:tcPr>
          <w:p>
            <w:pPr>
              <w:ind w:left="20"/>
              <w:spacing w:after="0"/>
              <w:rPr>
                <w:sz w:val="20"/>
                <w:szCs w:val="20"/>
                <w:color w:val="auto"/>
              </w:rPr>
            </w:pPr>
            <w:r>
              <w:rPr>
                <w:rFonts w:ascii="Arial" w:cs="Arial" w:eastAsia="Arial" w:hAnsi="Arial"/>
                <w:sz w:val="18"/>
                <w:szCs w:val="18"/>
                <w:color w:val="auto"/>
              </w:rPr>
              <w:t>Phase 3</w:t>
            </w:r>
          </w:p>
        </w:tc>
        <w:tc>
          <w:tcPr>
            <w:tcW w:w="68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type 2 diabetes</w:t>
            </w:r>
          </w:p>
        </w:tc>
        <w:tc>
          <w:tcPr>
            <w:tcW w:w="9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right w:val="single" w:sz="8" w:color="auto"/>
            </w:tcBorders>
          </w:tcPr>
          <w:p>
            <w:pPr>
              <w:spacing w:after="0"/>
              <w:rPr>
                <w:sz w:val="23"/>
                <w:szCs w:val="23"/>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Heart failure with</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8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preserved ejection fraction</w:t>
            </w:r>
          </w:p>
        </w:tc>
        <w:tc>
          <w:tcPr>
            <w:tcW w:w="960" w:type="dxa"/>
            <w:vAlign w:val="bottom"/>
            <w:vMerge w:val="continue"/>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 (Mounjaro,</w:t>
            </w:r>
          </w:p>
        </w:tc>
        <w:tc>
          <w:tcPr>
            <w:tcW w:w="21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vMerge w:val="continue"/>
          </w:tcPr>
          <w:p>
            <w:pPr>
              <w:spacing w:after="0"/>
              <w:rPr>
                <w:sz w:val="22"/>
                <w:szCs w:val="22"/>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Morbidity and mortality in</w:t>
            </w:r>
          </w:p>
        </w:tc>
        <w:tc>
          <w:tcPr>
            <w:tcW w:w="960" w:type="dxa"/>
            <w:vAlign w:val="bottom"/>
          </w:tcPr>
          <w:p>
            <w:pPr>
              <w:ind w:left="20"/>
              <w:spacing w:after="0"/>
              <w:rPr>
                <w:sz w:val="20"/>
                <w:szCs w:val="20"/>
                <w:color w:val="auto"/>
              </w:rPr>
            </w:pPr>
            <w:r>
              <w:rPr>
                <w:rFonts w:ascii="Arial" w:cs="Arial" w:eastAsia="Arial" w:hAnsi="Arial"/>
                <w:sz w:val="18"/>
                <w:szCs w:val="18"/>
                <w:color w:val="auto"/>
              </w:rPr>
              <w:t>Phase 3</w:t>
            </w:r>
          </w:p>
        </w:tc>
        <w:tc>
          <w:tcPr>
            <w:tcW w:w="680" w:type="dxa"/>
            <w:vAlign w:val="bottom"/>
            <w:tcBorders>
              <w:right w:val="single" w:sz="8" w:color="auto"/>
            </w:tcBorders>
          </w:tcPr>
          <w:p>
            <w:pPr>
              <w:spacing w:after="0"/>
              <w:rPr>
                <w:sz w:val="22"/>
                <w:szCs w:val="22"/>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7"/>
                <w:szCs w:val="17"/>
                <w:color w:val="auto"/>
              </w:rPr>
              <w:t>Zepbound)</w:t>
            </w:r>
          </w:p>
        </w:tc>
        <w:tc>
          <w:tcPr>
            <w:tcW w:w="218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obesity</w:t>
            </w:r>
          </w:p>
        </w:tc>
        <w:tc>
          <w:tcPr>
            <w:tcW w:w="9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Obstructive sleep apnea</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8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Granted U.S. Food and Drug Administration (FDA) Fast Track</w:t>
            </w:r>
          </w:p>
        </w:tc>
        <w:tc>
          <w:tcPr>
            <w:tcW w:w="0" w:type="dxa"/>
            <w:vAlign w:val="bottom"/>
          </w:tcPr>
          <w:p>
            <w:pPr>
              <w:spacing w:after="0"/>
              <w:rPr>
                <w:sz w:val="1"/>
                <w:szCs w:val="1"/>
                <w:color w:val="auto"/>
              </w:rPr>
            </w:pP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6"/>
                <w:szCs w:val="16"/>
                <w:color w:val="auto"/>
              </w:rPr>
              <w:t>designation</w:t>
            </w:r>
            <w:r>
              <w:rPr>
                <w:rFonts w:ascii="Arial" w:cs="Arial" w:eastAsia="Arial" w:hAnsi="Arial"/>
                <w:sz w:val="20"/>
                <w:szCs w:val="20"/>
                <w:color w:val="auto"/>
                <w:vertAlign w:val="superscript"/>
              </w:rPr>
              <w:t>(2)</w:t>
            </w:r>
            <w:r>
              <w:rPr>
                <w:rFonts w:ascii="Arial" w:cs="Arial" w:eastAsia="Arial" w:hAnsi="Arial"/>
                <w:sz w:val="16"/>
                <w:szCs w:val="16"/>
                <w:color w:val="auto"/>
              </w:rPr>
              <w:t>. Announced in 2024 that trials met all primary and</w:t>
            </w: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(OSA)</w:t>
            </w:r>
          </w:p>
        </w:tc>
        <w:tc>
          <w:tcPr>
            <w:tcW w:w="9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key secondary endpoints.</w:t>
            </w:r>
          </w:p>
        </w:tc>
        <w:tc>
          <w:tcPr>
            <w:tcW w:w="0" w:type="dxa"/>
            <w:vAlign w:val="bottom"/>
          </w:tcPr>
          <w:p>
            <w:pPr>
              <w:spacing w:after="0"/>
              <w:rPr>
                <w:sz w:val="1"/>
                <w:szCs w:val="1"/>
                <w:color w:val="auto"/>
              </w:rPr>
            </w:pPr>
          </w:p>
        </w:tc>
      </w:tr>
      <w:tr>
        <w:trPr>
          <w:trHeight w:val="74"/>
        </w:trPr>
        <w:tc>
          <w:tcPr>
            <w:tcW w:w="2200" w:type="dxa"/>
            <w:vAlign w:val="bottom"/>
            <w:tcBorders>
              <w:left w:val="single" w:sz="8" w:color="auto"/>
              <w:right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5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200" w:type="dxa"/>
            <w:vAlign w:val="bottom"/>
            <w:tcBorders>
              <w:left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Higher doses</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8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363"/>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Metabolic dysfunction-</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Phase 2</w:t>
            </w:r>
          </w:p>
        </w:tc>
        <w:tc>
          <w:tcPr>
            <w:tcW w:w="68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in 2024 that a Phase 2 trial met its primary endpoint.</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associated steatohepatitis</w:t>
            </w:r>
          </w:p>
        </w:tc>
        <w:tc>
          <w:tcPr>
            <w:tcW w:w="960" w:type="dxa"/>
            <w:vAlign w:val="bottom"/>
            <w:vMerge w:val="continue"/>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Insulin Efsitora Alfa</w:t>
            </w:r>
          </w:p>
        </w:tc>
        <w:tc>
          <w:tcPr>
            <w:tcW w:w="21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Type 1 and type 2</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8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960" w:type="dxa"/>
            <w:vAlign w:val="bottom"/>
            <w:vMerge w:val="continue"/>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Lepodisiran</w:t>
            </w:r>
          </w:p>
        </w:tc>
        <w:tc>
          <w:tcPr>
            <w:tcW w:w="218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8"/>
                <w:szCs w:val="18"/>
                <w:color w:val="auto"/>
              </w:rPr>
              <w:t>Atherosclerotic</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8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 initiated in 2024.</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cardiovascular disease</w:t>
            </w:r>
          </w:p>
        </w:tc>
        <w:tc>
          <w:tcPr>
            <w:tcW w:w="960" w:type="dxa"/>
            <w:vAlign w:val="bottom"/>
            <w:vMerge w:val="continue"/>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Orforglipron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68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8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40"/>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Obesity, osteoarthritis,</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8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52"/>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Retatrutide</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OSA</w:t>
            </w:r>
          </w:p>
        </w:tc>
        <w:tc>
          <w:tcPr>
            <w:tcW w:w="960" w:type="dxa"/>
            <w:vAlign w:val="bottom"/>
            <w:vMerge w:val="continue"/>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200" w:type="dxa"/>
            <w:vAlign w:val="bottom"/>
            <w:tcBorders>
              <w:left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68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 trials initiated in 2024.</w:t>
            </w:r>
          </w:p>
        </w:tc>
        <w:tc>
          <w:tcPr>
            <w:tcW w:w="0" w:type="dxa"/>
            <w:vAlign w:val="bottom"/>
          </w:tcPr>
          <w:p>
            <w:pPr>
              <w:spacing w:after="0"/>
              <w:rPr>
                <w:sz w:val="1"/>
                <w:szCs w:val="1"/>
                <w:color w:val="auto"/>
              </w:rPr>
            </w:pPr>
          </w:p>
        </w:tc>
      </w:tr>
      <w:tr>
        <w:trPr>
          <w:trHeight w:val="22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Bimagrumab</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8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Eloralintide</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8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Mazdutide</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8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Muvalaplin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Cardiovascular disease</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8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Solbinsiran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Cardiovascular disease</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8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Volenrelaxin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Heart failure</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8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848"/>
        </w:trPr>
        <w:tc>
          <w:tcPr>
            <w:tcW w:w="2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90" w:right="31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9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66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(3)</w:t>
            </w:r>
          </w:p>
        </w:tc>
        <w:tc>
          <w:tcPr>
            <w:tcW w:w="21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the EU in 2023 and in Japan in 2024. Resubmitted</w:t>
            </w: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(Ebglyss</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1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Atopic dermatitis</w:t>
            </w:r>
          </w:p>
        </w:tc>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Approved</w:t>
            </w:r>
          </w:p>
        </w:tc>
        <w:tc>
          <w:tcPr>
            <w:tcW w:w="6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the U.S. in 2024. We anticipate regulatory action by the end of</w:t>
            </w: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2024. Phase 3 trials are ongoing.</w:t>
            </w: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Crohn's Disease</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Submitted</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Submitted in the U.S. and the EU in 2024. Phase 3 trials are</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CD19 Antibody</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Multiple sclerosis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DC-806</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Eltrekibart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Hidradenitis suppurativa</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45"/>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KV1.3 Antagonist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Ocadusertib</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Rheumatoid arthritis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Peresolimab</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Rheumatoid arthritis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Ucenprubart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Atopic dermatitis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54"/>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2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5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2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Submitted in the U.S., the EU, and Japan in 2023. We expect the</w:t>
            </w:r>
          </w:p>
        </w:tc>
        <w:tc>
          <w:tcPr>
            <w:tcW w:w="0" w:type="dxa"/>
            <w:vAlign w:val="bottom"/>
          </w:tcPr>
          <w:p>
            <w:pPr>
              <w:spacing w:after="0"/>
              <w:rPr>
                <w:sz w:val="1"/>
                <w:szCs w:val="1"/>
                <w:color w:val="auto"/>
              </w:rPr>
            </w:pPr>
          </w:p>
        </w:tc>
      </w:tr>
      <w:tr>
        <w:trPr>
          <w:trHeight w:val="184"/>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Early Alzheimer's disease</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Submitted</w:t>
            </w:r>
          </w:p>
        </w:tc>
        <w:tc>
          <w:tcPr>
            <w:tcW w:w="6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FDA to convene a Peripheral and Central Nervous System</w:t>
            </w:r>
          </w:p>
        </w:tc>
        <w:tc>
          <w:tcPr>
            <w:tcW w:w="0" w:type="dxa"/>
            <w:vAlign w:val="bottom"/>
          </w:tcPr>
          <w:p>
            <w:pPr>
              <w:spacing w:after="0"/>
              <w:rPr>
                <w:sz w:val="1"/>
                <w:szCs w:val="1"/>
                <w:color w:val="auto"/>
              </w:rPr>
            </w:pPr>
          </w:p>
        </w:tc>
      </w:tr>
      <w:tr>
        <w:trPr>
          <w:trHeight w:val="181"/>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Drugs Advisory Committee meeting in mid-2024 to discuss trial</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Donanemab</w:t>
            </w:r>
          </w:p>
        </w:tc>
        <w:tc>
          <w:tcPr>
            <w:tcW w:w="21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18"/>
                <w:szCs w:val="18"/>
                <w:color w:val="auto"/>
              </w:rPr>
              <w:t>results. Granted FDA Breakthrough Therapy designation</w:t>
            </w:r>
            <w:r>
              <w:rPr>
                <w:rFonts w:ascii="Arial" w:cs="Arial" w:eastAsia="Arial" w:hAnsi="Arial"/>
                <w:sz w:val="23"/>
                <w:szCs w:val="23"/>
                <w:color w:val="auto"/>
                <w:vertAlign w:val="superscript"/>
              </w:rPr>
              <w:t>(4)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72"/>
        </w:trPr>
        <w:tc>
          <w:tcPr>
            <w:tcW w:w="2200" w:type="dxa"/>
            <w:vAlign w:val="bottom"/>
            <w:tcBorders>
              <w:left w:val="single" w:sz="8" w:color="auto"/>
              <w:right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5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tcPr>
          <w:p>
            <w:pPr>
              <w:spacing w:after="0"/>
              <w:rPr>
                <w:sz w:val="14"/>
                <w:szCs w:val="14"/>
                <w:color w:val="auto"/>
              </w:rPr>
            </w:pPr>
          </w:p>
        </w:tc>
        <w:tc>
          <w:tcPr>
            <w:tcW w:w="21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Preclinical Alzheimer's</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Remternetug</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Early Alzheimer's disease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321"/>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GBA1 Gene Therapy</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Gaucher disease Type 1</w:t>
            </w:r>
          </w:p>
        </w:tc>
        <w:tc>
          <w:tcPr>
            <w:tcW w:w="980" w:type="dxa"/>
            <w:vAlign w:val="bottom"/>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91"/>
        </w:trPr>
        <w:tc>
          <w:tcPr>
            <w:tcW w:w="2200" w:type="dxa"/>
            <w:vAlign w:val="bottom"/>
            <w:tcBorders>
              <w:left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Parkinson's disease</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(2)</w:t>
            </w:r>
            <w:r>
              <w:rPr>
                <w:rFonts w:ascii="Arial" w:cs="Arial" w:eastAsia="Arial" w:hAnsi="Arial"/>
                <w:sz w:val="18"/>
                <w:szCs w:val="18"/>
                <w:color w:val="auto"/>
              </w:rPr>
              <w:t>. Phase 2 trial is ongoing.</w:t>
            </w:r>
          </w:p>
        </w:tc>
        <w:tc>
          <w:tcPr>
            <w:tcW w:w="0" w:type="dxa"/>
            <w:vAlign w:val="bottom"/>
          </w:tcPr>
          <w:p>
            <w:pPr>
              <w:spacing w:after="0"/>
              <w:rPr>
                <w:sz w:val="1"/>
                <w:szCs w:val="1"/>
                <w:color w:val="auto"/>
              </w:rPr>
            </w:pPr>
          </w:p>
        </w:tc>
      </w:tr>
      <w:tr>
        <w:trPr>
          <w:trHeight w:val="285"/>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GRN Gene Therapy</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Frontotemporal dementia</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(2)</w:t>
            </w:r>
            <w:r>
              <w:rPr>
                <w:rFonts w:ascii="Arial" w:cs="Arial" w:eastAsia="Arial" w:hAnsi="Arial"/>
                <w:sz w:val="18"/>
                <w:szCs w:val="18"/>
                <w:color w:val="auto"/>
              </w:rPr>
              <w:t>. 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O-GlcNAcase Inh</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 disease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OTOF Gene Therapy</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Hearing loss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P2X7 Inhibitor</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Pain</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trials were completed in 2023.</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SSTR4 Agonist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Pain</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trials are ongoing.</w:t>
            </w:r>
          </w:p>
        </w:tc>
        <w:tc>
          <w:tcPr>
            <w:tcW w:w="0" w:type="dxa"/>
            <w:vAlign w:val="bottom"/>
          </w:tcPr>
          <w:p>
            <w:pPr>
              <w:spacing w:after="0"/>
              <w:rPr>
                <w:sz w:val="1"/>
                <w:szCs w:val="1"/>
                <w:color w:val="auto"/>
              </w:rPr>
            </w:pPr>
          </w:p>
        </w:tc>
      </w:tr>
      <w:tr>
        <w:trPr>
          <w:trHeight w:val="861"/>
        </w:trPr>
        <w:tc>
          <w:tcPr>
            <w:tcW w:w="2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16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lymphocytic</w:t>
            </w:r>
          </w:p>
        </w:tc>
        <w:tc>
          <w:tcPr>
            <w:tcW w:w="1640" w:type="dxa"/>
            <w:vAlign w:val="bottom"/>
            <w:tcBorders>
              <w:right w:val="single" w:sz="8" w:color="auto"/>
            </w:tcBorders>
          </w:tcPr>
          <w:p>
            <w:pPr>
              <w:ind w:left="800"/>
              <w:spacing w:after="0"/>
              <w:rPr>
                <w:sz w:val="20"/>
                <w:szCs w:val="20"/>
                <w:color w:val="auto"/>
              </w:rPr>
            </w:pPr>
            <w:r>
              <w:rPr>
                <w:rFonts w:ascii="Arial" w:cs="Arial" w:eastAsia="Arial" w:hAnsi="Arial"/>
                <w:sz w:val="12"/>
                <w:szCs w:val="12"/>
                <w:color w:val="auto"/>
              </w:rPr>
              <w:t>(5)</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FDA granted accelerated approval</w:t>
            </w:r>
            <w:r>
              <w:rPr>
                <w:rFonts w:ascii="Arial" w:cs="Arial" w:eastAsia="Arial" w:hAnsi="Arial"/>
                <w:sz w:val="23"/>
                <w:szCs w:val="23"/>
                <w:color w:val="auto"/>
                <w:w w:val="99"/>
                <w:vertAlign w:val="superscript"/>
              </w:rPr>
              <w:t>(5)</w:t>
            </w:r>
            <w:r>
              <w:rPr>
                <w:rFonts w:ascii="Arial" w:cs="Arial" w:eastAsia="Arial" w:hAnsi="Arial"/>
                <w:sz w:val="18"/>
                <w:szCs w:val="18"/>
                <w:color w:val="auto"/>
                <w:w w:val="99"/>
              </w:rPr>
              <w:t xml:space="preserve"> in the U.S. in 2023. Phase 3</w:t>
            </w:r>
          </w:p>
        </w:tc>
        <w:tc>
          <w:tcPr>
            <w:tcW w:w="0" w:type="dxa"/>
            <w:vAlign w:val="bottom"/>
          </w:tcPr>
          <w:p>
            <w:pPr>
              <w:spacing w:after="0"/>
              <w:rPr>
                <w:sz w:val="1"/>
                <w:szCs w:val="1"/>
                <w:color w:val="auto"/>
              </w:rPr>
            </w:pPr>
          </w:p>
        </w:tc>
      </w:tr>
      <w:tr>
        <w:trPr>
          <w:trHeight w:val="17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Pirtobrutinib</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leukemia</w:t>
            </w:r>
          </w:p>
        </w:tc>
        <w:tc>
          <w:tcPr>
            <w:tcW w:w="16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Approved</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trials are ongoing.</w:t>
            </w:r>
          </w:p>
        </w:tc>
        <w:tc>
          <w:tcPr>
            <w:tcW w:w="0" w:type="dxa"/>
            <w:vAlign w:val="bottom"/>
          </w:tcPr>
          <w:p>
            <w:pPr>
              <w:spacing w:after="0"/>
              <w:rPr>
                <w:sz w:val="1"/>
                <w:szCs w:val="1"/>
                <w:color w:val="auto"/>
              </w:rPr>
            </w:pPr>
          </w:p>
        </w:tc>
      </w:tr>
      <w:tr>
        <w:trPr>
          <w:trHeight w:val="63"/>
        </w:trPr>
        <w:tc>
          <w:tcPr>
            <w:tcW w:w="2200" w:type="dxa"/>
            <w:vAlign w:val="bottom"/>
            <w:tcBorders>
              <w:left w:val="single" w:sz="8" w:color="auto"/>
              <w:right w:val="single" w:sz="8" w:color="auto"/>
            </w:tcBorders>
            <w:vMerge w:val="continue"/>
          </w:tcPr>
          <w:p>
            <w:pPr>
              <w:spacing w:after="0"/>
              <w:rPr>
                <w:sz w:val="5"/>
                <w:szCs w:val="5"/>
                <w:color w:val="auto"/>
              </w:rPr>
            </w:pPr>
          </w:p>
        </w:tc>
        <w:tc>
          <w:tcPr>
            <w:tcW w:w="218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00" w:type="dxa"/>
            <w:vAlign w:val="bottom"/>
            <w:tcBorders>
              <w:left w:val="single" w:sz="8" w:color="auto"/>
              <w:right w:val="single" w:sz="8" w:color="auto"/>
            </w:tcBorders>
            <w:vMerge w:val="restart"/>
          </w:tcPr>
          <w:p>
            <w:pPr>
              <w:ind w:left="40"/>
              <w:spacing w:after="0" w:line="230" w:lineRule="exact"/>
              <w:rPr>
                <w:sz w:val="20"/>
                <w:szCs w:val="20"/>
                <w:color w:val="auto"/>
              </w:rPr>
            </w:pPr>
            <w:r>
              <w:rPr>
                <w:rFonts w:ascii="Arial" w:cs="Arial" w:eastAsia="Arial" w:hAnsi="Arial"/>
                <w:sz w:val="18"/>
                <w:szCs w:val="18"/>
                <w:color w:val="auto"/>
              </w:rPr>
              <w:t>(Jaypirca</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00" w:type="dxa"/>
            <w:vAlign w:val="bottom"/>
            <w:tcBorders>
              <w:left w:val="single" w:sz="8" w:color="auto"/>
              <w:right w:val="single" w:sz="8" w:color="auto"/>
            </w:tcBorders>
            <w:vMerge w:val="continue"/>
          </w:tcPr>
          <w:p>
            <w:pPr>
              <w:spacing w:after="0"/>
              <w:rPr>
                <w:sz w:val="15"/>
                <w:szCs w:val="15"/>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Mantle cell lymphoma</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r>
              <w:rPr>
                <w:rFonts w:ascii="Arial" w:cs="Arial" w:eastAsia="Arial" w:hAnsi="Arial"/>
                <w:sz w:val="23"/>
                <w:szCs w:val="23"/>
                <w:color w:val="auto"/>
                <w:vertAlign w:val="superscript"/>
              </w:rPr>
              <w:t>(5)</w:t>
            </w:r>
          </w:p>
        </w:tc>
        <w:tc>
          <w:tcPr>
            <w:tcW w:w="5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7"/>
                <w:szCs w:val="17"/>
                <w:color w:val="auto"/>
              </w:rPr>
              <w:t>FDA granted accelerated approval</w:t>
            </w:r>
            <w:r>
              <w:rPr>
                <w:rFonts w:ascii="Arial" w:cs="Arial" w:eastAsia="Arial" w:hAnsi="Arial"/>
                <w:sz w:val="21"/>
                <w:szCs w:val="21"/>
                <w:color w:val="auto"/>
                <w:vertAlign w:val="superscript"/>
              </w:rPr>
              <w:t>(5)</w:t>
            </w:r>
            <w:r>
              <w:rPr>
                <w:rFonts w:ascii="Arial" w:cs="Arial" w:eastAsia="Arial" w:hAnsi="Arial"/>
                <w:sz w:val="17"/>
                <w:szCs w:val="17"/>
                <w:color w:val="auto"/>
              </w:rPr>
              <w:t xml:space="preserve"> in the U.S. in 2023.</w:t>
            </w:r>
          </w:p>
        </w:tc>
        <w:tc>
          <w:tcPr>
            <w:tcW w:w="0" w:type="dxa"/>
            <w:vAlign w:val="bottom"/>
          </w:tcPr>
          <w:p>
            <w:pPr>
              <w:spacing w:after="0"/>
              <w:rPr>
                <w:sz w:val="1"/>
                <w:szCs w:val="1"/>
                <w:color w:val="auto"/>
              </w:rPr>
            </w:pPr>
          </w:p>
        </w:tc>
      </w:tr>
      <w:tr>
        <w:trPr>
          <w:trHeight w:val="184"/>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continue"/>
          </w:tcPr>
          <w:p>
            <w:pPr>
              <w:spacing w:after="0"/>
              <w:rPr>
                <w:sz w:val="15"/>
                <w:szCs w:val="15"/>
                <w:color w:val="auto"/>
              </w:rPr>
            </w:pPr>
          </w:p>
        </w:tc>
        <w:tc>
          <w:tcPr>
            <w:tcW w:w="1640" w:type="dxa"/>
            <w:vAlign w:val="bottom"/>
            <w:tcBorders>
              <w:right w:val="single" w:sz="8" w:color="auto"/>
            </w:tcBorders>
            <w:vMerge w:val="continue"/>
          </w:tcPr>
          <w:p>
            <w:pPr>
              <w:spacing w:after="0"/>
              <w:rPr>
                <w:sz w:val="15"/>
                <w:szCs w:val="15"/>
                <w:color w:val="auto"/>
              </w:rPr>
            </w:pPr>
          </w:p>
        </w:tc>
        <w:tc>
          <w:tcPr>
            <w:tcW w:w="5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Approved in the EU in 2023. Submitted in Japan in 2023. Phase</w:t>
            </w:r>
          </w:p>
        </w:tc>
        <w:tc>
          <w:tcPr>
            <w:tcW w:w="0" w:type="dxa"/>
            <w:vAlign w:val="bottom"/>
          </w:tcPr>
          <w:p>
            <w:pPr>
              <w:spacing w:after="0"/>
              <w:rPr>
                <w:sz w:val="1"/>
                <w:szCs w:val="1"/>
                <w:color w:val="auto"/>
              </w:rPr>
            </w:pPr>
          </w:p>
        </w:tc>
      </w:tr>
      <w:tr>
        <w:trPr>
          <w:trHeight w:val="244"/>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 trial is ongoing.</w:t>
            </w:r>
          </w:p>
        </w:tc>
        <w:tc>
          <w:tcPr>
            <w:tcW w:w="0" w:type="dxa"/>
            <w:vAlign w:val="bottom"/>
          </w:tcPr>
          <w:p>
            <w:pPr>
              <w:spacing w:after="0"/>
              <w:rPr>
                <w:sz w:val="1"/>
                <w:szCs w:val="1"/>
                <w:color w:val="auto"/>
              </w:rPr>
            </w:pPr>
          </w:p>
        </w:tc>
      </w:tr>
      <w:tr>
        <w:trPr>
          <w:trHeight w:val="326"/>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Adjuvant breast cancer</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Imlunestrant</w:t>
            </w:r>
          </w:p>
        </w:tc>
        <w:tc>
          <w:tcPr>
            <w:tcW w:w="218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200" w:type="dxa"/>
            <w:vAlign w:val="bottom"/>
            <w:tcBorders>
              <w:left w:val="single" w:sz="8" w:color="auto"/>
              <w:right w:val="single" w:sz="8" w:color="auto"/>
            </w:tcBorders>
            <w:vMerge w:val="continue"/>
          </w:tcPr>
          <w:p>
            <w:pPr>
              <w:spacing w:after="0"/>
              <w:rPr>
                <w:sz w:val="17"/>
                <w:szCs w:val="17"/>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ER+HER2- metastatic</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63"/>
        </w:trPr>
        <w:tc>
          <w:tcPr>
            <w:tcW w:w="2200" w:type="dxa"/>
            <w:vAlign w:val="bottom"/>
            <w:tcBorders>
              <w:left w:val="single" w:sz="8" w:color="auto"/>
              <w:right w:val="single" w:sz="8" w:color="auto"/>
            </w:tcBorders>
          </w:tcPr>
          <w:p>
            <w:pPr>
              <w:spacing w:after="0"/>
              <w:rPr>
                <w:sz w:val="5"/>
                <w:szCs w:val="5"/>
                <w:color w:val="auto"/>
              </w:rPr>
            </w:pPr>
          </w:p>
        </w:tc>
        <w:tc>
          <w:tcPr>
            <w:tcW w:w="218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breast cancer</w:t>
            </w:r>
          </w:p>
        </w:tc>
        <w:tc>
          <w:tcPr>
            <w:tcW w:w="164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Olomorasib</w:t>
            </w:r>
          </w:p>
        </w:tc>
        <w:tc>
          <w:tcPr>
            <w:tcW w:w="21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KRAS G12C-mutant</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NSCLC</w:t>
            </w:r>
          </w:p>
        </w:tc>
        <w:tc>
          <w:tcPr>
            <w:tcW w:w="164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Fast Track designation is designed to facilitate the development and expedite the review of medicines to treat serious conditions and fill an unmet medical need.</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In collaboration with Almirall, S.A. in Europe.</w:t>
      </w:r>
    </w:p>
    <w:p>
      <w:pPr>
        <w:spacing w:after="0" w:line="14" w:lineRule="exact"/>
        <w:rPr>
          <w:rFonts w:ascii="Arial" w:cs="Arial" w:eastAsia="Arial" w:hAnsi="Arial"/>
          <w:sz w:val="9"/>
          <w:szCs w:val="9"/>
          <w:color w:val="auto"/>
        </w:rPr>
      </w:pPr>
    </w:p>
    <w:p>
      <w:pPr>
        <w:ind w:left="180" w:right="80" w:hanging="172"/>
        <w:spacing w:after="0" w:line="221" w:lineRule="auto"/>
        <w:tabs>
          <w:tab w:leader="none" w:pos="172"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1" w:lineRule="exact"/>
        <w:rPr>
          <w:rFonts w:ascii="Arial" w:cs="Arial" w:eastAsia="Arial" w:hAnsi="Arial"/>
          <w:sz w:val="19"/>
          <w:szCs w:val="19"/>
          <w:color w:val="auto"/>
          <w:vertAlign w:val="superscript"/>
        </w:rPr>
      </w:pPr>
    </w:p>
    <w:p>
      <w:pPr>
        <w:ind w:left="160" w:hanging="152"/>
        <w:spacing w:after="0" w:line="204"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3 trials.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17" w:lineRule="exact"/>
        <w:rPr>
          <w:sz w:val="20"/>
          <w:szCs w:val="20"/>
          <w:color w:val="auto"/>
        </w:rPr>
      </w:pPr>
    </w:p>
    <w:p>
      <w:pPr>
        <w:ind w:right="2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See Note 9 to the consolidated condensed financial statements for a description of legal proceedings currently pending regarding certain of our patents and "Business—Patents, Trademarks, and Other Intellectual Property Rights" in Part I, Item 1 of our Annual Report on </w:t>
      </w:r>
      <w:hyperlink r:id="rId15">
        <w:r>
          <w:rPr>
            <w:rFonts w:ascii="Arial" w:cs="Arial" w:eastAsia="Arial" w:hAnsi="Arial"/>
            <w:sz w:val="18"/>
            <w:szCs w:val="18"/>
            <w:u w:val="single" w:color="auto"/>
            <w:color w:val="0000FF"/>
          </w:rPr>
          <w:t>Form 10-K</w:t>
        </w:r>
      </w:hyperlink>
      <w:r>
        <w:rPr>
          <w:rFonts w:ascii="Arial" w:cs="Arial" w:eastAsia="Arial" w:hAnsi="Arial"/>
          <w:sz w:val="18"/>
          <w:szCs w:val="18"/>
          <w:color w:val="auto"/>
        </w:rPr>
        <w:t xml:space="preserve"> </w:t>
      </w:r>
      <w:r>
        <w:rPr>
          <w:rFonts w:ascii="Arial" w:cs="Arial" w:eastAsia="Arial" w:hAnsi="Arial"/>
          <w:sz w:val="17"/>
          <w:szCs w:val="17"/>
          <w:color w:val="auto"/>
        </w:rPr>
        <w:t>for the year ended December 31, 2023 for a discussion of the impacts of trends involving intellectual property on our business and results.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 and Certain Other Regulatory Developments</w:t>
      </w:r>
    </w:p>
    <w:p>
      <w:pPr>
        <w:spacing w:after="0" w:line="11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Reforms, including those that may stem from political initiatives, periods of uneven economic growth or downturns, or as a result of high inflation, the emergence or escalation of, and responses to, international tension and conflicts, or government budgeting priorities, are expected to continue to result in added pressure on pricing and reimbursement for our products.</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Global concern over access to and affordability of pharmaceutical products continues to drive regulatory and legislative debate and action, as well as worldwide cost containment efforts by governmental authorities. Such measures include the use of mandated discounts, price reporting requirements, mandated reference prices, restrictive formularies, changes to available intellectual property protections, as well as other efforts. In August 2022, the U.S. government enacted the Inflation Reduction Act of 2022 (IRA). Among other measures, the IRA requires the U.S. Department of Health and Human Services (HHS) to effectively set prices for certain single-source drugs and biologics reimbursed under Medicare Part B and Part D. Generally, these government prices apply nine years (for medicines approved under a New Drug Application) or thirteen years (for medicines approved under a Biologics License Application) following initial FDA approval and will be set at a price that is likely to represent a significant discount from existing average prices to wholesalers and direct purchasers. While the law specifies a ceiling price, it does not set a minimum or floor price. In August 2023, the HHS selected Jardiance, which is part of our collaboration with Boehringer Ingelheim, as one of the first ten medicines subject to government-set prices effective in 2026. Given our product portfolio, we expect additional significant products will be selected in future years, which would have the effect of accelerating revenue erosion prior to expiry of exclusivities. The effect of reducing prices and reimbursement for certain of our products would significantly impact our business and consolidated results of operations.</w:t>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34" w:name="page35"/>
    <w:bookmarkEnd w:id="34"/>
    <w:p>
      <w:pPr>
        <w:ind w:right="100"/>
        <w:spacing w:after="0" w:line="262" w:lineRule="auto"/>
        <w:rPr>
          <w:sz w:val="20"/>
          <w:szCs w:val="20"/>
          <w:color w:val="auto"/>
        </w:rPr>
      </w:pPr>
      <w:r>
        <w:rPr>
          <w:rFonts w:ascii="Arial" w:cs="Arial" w:eastAsia="Arial" w:hAnsi="Arial"/>
          <w:sz w:val="18"/>
          <w:szCs w:val="18"/>
          <w:color w:val="auto"/>
        </w:rPr>
        <w:t>Other IRA provisions require drug manufacturers to provide rebates for Medicare Part B and Part D medicines under certain circumstances. Also, the Part D benefit redesign will replace the Part D Coverage Gap Discount Program with a new manufacturer discount program. Manufacturers that fail to comply with the IRA may be subject to various penalties, including civil monetary penalties, which could be significant.</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IRA has and will meaningfully influence our business strategies and those of our competitors. In particular, the nine-year timeline to set prices for medicines approved under a New Drug Application reduces the attractiveness of investment in small molecule innovation. The IRA can cause changes to development approach and timing and investments at-risk. The full impact of the IRA on our business and the pharmaceutical industry, including the implications to us of a competitor's product being selected for price setting, remains uncertain.</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Additional policies, regulations, legislation, or enforcement, including those proposed or pursued by the U.S. Congress, the U.S. executive branch, and regulatory authorities worldwide, could adversely impact our business and consolidated results of operations. For example, the proposed BIOSECURE Act in the U.S. would affect elements of the pharmaceutical supply chain, although as currently written we do not anticipate it would have a material impact on our business.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Consolidation and integration of private payors and pharmacy benefit managers in the U.S. has also significantly impacted the market for pharmaceuticals by increasing payor leverage in negotiating manufacturer price or rebate concessions and pharmacy reimbursement rates. Furthermore, restrictive or unfavorable pricing, coverage, or reimbursement determinations for our medicines or product candidates by governments, regulatory agencies, courts, or private payers may adversely impact our business and consolidated results of operations. We expect that these actions may intensify and could particularly affect certain products, which could adversely affect our business. In addition, we are engaged in litigation and investigations related to the 340B program, access to insulin, pricing, product safety,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 Moreover, increased focus on business combinations across industries and jurisdictions can lead to impediments to the completion of business combinations.</w:t>
      </w:r>
    </w:p>
    <w:p>
      <w:pPr>
        <w:spacing w:after="0" w:line="77" w:lineRule="exact"/>
        <w:rPr>
          <w:sz w:val="20"/>
          <w:szCs w:val="20"/>
          <w:color w:val="auto"/>
        </w:rPr>
      </w:pPr>
    </w:p>
    <w:p>
      <w:pPr>
        <w:ind w:right="6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See "Business—Regulations and Private Payer Actions Affecting Pharmaceutical Pricing, Reimbursement, and Access" in Part I, Item 1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See also Note 9 to the consolidated condensed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Supply</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Demand for our incretin medicines has exceeded production. We expect tight supply to continue as growing production volume is outpaced by demand. In the short to mid-term, we expect sales growth for incretin medicines to primarily be a function of the quantity we can produce and ship. Among other measures to manage tight supply, in international markets we have communicated with healthcare practitioners to not start new patients on Trulicity in order to minimize disruption to existing patients. Supply considerations have also influenced the timing of tirzepatide launches in new markets. We continue to expand manufacturing capacity and progress efforts to bring tirzepatide to patients in various countries via different delivery presentations, such as single-use vials and multi-use pens. The most significant production increases in 2024 are expected in the second half of the year with additional capacity expected to be operational over the next several years.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(OECD) and the European Commission could influence tax laws in countries in which we operate. Tax authorities in the U.S. and other jurisdictions in which we do business routinely examine our tax returns and are expected to increase their scrutiny of cross-border tax issues. Changes to existing U.S. and foreign tax laws and increased scrutiny by tax authorities in the U.S. and other jurisdictions could adversely impact our future consolidated results of operations and cash flows.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response to the OECD/G20 Inclusive Framework on Base Erosion and Profit Shifting (Framework), which set forth a two-pillar solution to reform the international tax framework, and the EU's adoption of Directive 2022/2523 (known as "Pillar Two") (Directive) within the EU to implement the Framework, multiple countries, both within and outside of the EU, have enacted legislation that provides for a minimum level of taxation of multinational companies. The Directive required EU member states to enact legislation effective for years beginning on or after December 31, 2023. For certain provisions within the Framework, the OECD published guidance during 2023 that extends the effective dates for enactment. While we expect an increase in future years’ tax expense as a result of the global minimum tax, we do not anticipate a material impact to our 2024 consolidated results of operations. Our assessment of the impact for 2024 and subsequent years could be affected by legislative guidance, future enactment of additional provisions within the Pillar Two framework, and U.S. tax changes scheduled to occur in 2026 as part of the Tax Cuts and Jobs Act (2017 Tax Act).</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bipartisan tax bill, the Tax Relief for American Families and Workers Act, was passed by the U.S. House of Representatives in January 2024. The bill contains certain business tax provisions including the retroactive repeal for 2022 and 2023 and deferral of the requirement to capitalize U.S. research and development expenses for tax purposes that was a provision enacted in the 2017 Tax Act. Uncertainty exists as to whether the bill will be enacted into law; however, if the bill is enacted as currently drafted, we would expect our effective tax rate for 2024 to be moderately higher, and a net discrete tax detriment in the quarter of enactment related to 2022 and 2023. In addition, we would expect a decrease in cash tax payments.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invest in external research and technologies that we believe complement and strengthen our own efforts. These investments can take many forms, including acquisitions, collaborations, investments, and licensing arrangements. We view our business development activity as a way to enhance or refine our pipeline and strengthen our business.</w:t>
      </w:r>
    </w:p>
    <w:p>
      <w:pPr>
        <w:spacing w:after="0" w:line="63" w:lineRule="exact"/>
        <w:rPr>
          <w:sz w:val="20"/>
          <w:szCs w:val="20"/>
          <w:color w:val="auto"/>
        </w:rPr>
      </w:pPr>
    </w:p>
    <w:p>
      <w:pPr>
        <w:ind w:right="1740"/>
        <w:spacing w:after="0" w:line="375" w:lineRule="auto"/>
        <w:rPr>
          <w:sz w:val="20"/>
          <w:szCs w:val="20"/>
          <w:color w:val="auto"/>
        </w:rPr>
      </w:pPr>
      <w:r>
        <w:rPr>
          <w:rFonts w:ascii="Arial" w:cs="Arial" w:eastAsia="Arial" w:hAnsi="Arial"/>
          <w:sz w:val="18"/>
          <w:szCs w:val="18"/>
          <w:color w:val="auto"/>
        </w:rPr>
        <w:t xml:space="preserve">See Note 3 to the consolidated condensed financial statements for further discussion regarding our recent acquisitions. </w:t>
      </w:r>
      <w:r>
        <w:rPr>
          <w:rFonts w:ascii="Arial" w:cs="Arial" w:eastAsia="Arial" w:hAnsi="Arial"/>
          <w:sz w:val="18"/>
          <w:szCs w:val="18"/>
          <w:i w:val="1"/>
          <w:iCs w:val="1"/>
          <w:u w:val="single" w:color="auto"/>
          <w:color w:val="auto"/>
        </w:rPr>
        <w:t>Foreign Currency Exchange Rates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could adversely impact our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Other factors have had, and may continue to have, an impact on our consolidated results of operations. These factors include cost and wage inflation, availability of adequate capacity in global transportation, supply chain and labor market complexities, international tension and conflicts, uneven economic growth or downturns or uncertainty, and an increase in overall demand in our industry for certain products and materials.</w:t>
      </w:r>
    </w:p>
    <w:p>
      <w:pPr>
        <w:spacing w:after="0" w:line="68" w:lineRule="exact"/>
        <w:rPr>
          <w:sz w:val="20"/>
          <w:szCs w:val="20"/>
          <w:color w:val="auto"/>
        </w:rPr>
      </w:pPr>
    </w:p>
    <w:p>
      <w:pPr>
        <w:ind w:right="6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See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for additional information on risk factors that could impact our business and operations.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c>
          <w:tcPr>
            <w:tcW w:w="90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r>
      <w:tr>
        <w:trPr>
          <w:trHeight w:val="197"/>
        </w:trPr>
        <w:tc>
          <w:tcPr>
            <w:tcW w:w="6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5,694.4</w:t>
            </w:r>
          </w:p>
        </w:tc>
        <w:tc>
          <w:tcPr>
            <w:tcW w:w="12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4,436.2</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28</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1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3,073.7</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2,523.9</w:t>
            </w:r>
          </w:p>
        </w:tc>
        <w:tc>
          <w:tcPr>
            <w:tcW w:w="90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22</w:t>
            </w:r>
          </w:p>
        </w:tc>
      </w:tr>
      <w:tr>
        <w:trPr>
          <w:trHeight w:val="23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8,768.0</w:t>
            </w:r>
          </w:p>
        </w:tc>
        <w:tc>
          <w:tcPr>
            <w:tcW w:w="12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6,960.0</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26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92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rPr>
              <w:t>Three Months Ended March 31,</w:t>
            </w:r>
          </w:p>
        </w:tc>
        <w:tc>
          <w:tcPr>
            <w:tcW w:w="1660" w:type="dxa"/>
            <w:vAlign w:val="bottom"/>
          </w:tcPr>
          <w:p>
            <w:pPr>
              <w:spacing w:after="0"/>
              <w:rPr>
                <w:sz w:val="17"/>
                <w:szCs w:val="17"/>
                <w:color w:val="auto"/>
              </w:rPr>
            </w:pPr>
          </w:p>
        </w:tc>
      </w:tr>
      <w:tr>
        <w:trPr>
          <w:trHeight w:val="204"/>
        </w:trPr>
        <w:tc>
          <w:tcPr>
            <w:tcW w:w="53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456"/>
              <w:spacing w:after="0"/>
              <w:rPr>
                <w:sz w:val="20"/>
                <w:szCs w:val="20"/>
                <w:color w:val="auto"/>
              </w:rPr>
            </w:pPr>
            <w:r>
              <w:rPr>
                <w:rFonts w:ascii="Arial" w:cs="Arial" w:eastAsia="Arial" w:hAnsi="Arial"/>
                <w:sz w:val="14"/>
                <w:szCs w:val="14"/>
                <w:b w:val="1"/>
                <w:bCs w:val="1"/>
                <w:color w:val="auto"/>
              </w:rPr>
              <w:t>2024 vs. 2023</w:t>
            </w:r>
          </w:p>
        </w:tc>
        <w:tc>
          <w:tcPr>
            <w:tcW w:w="1660" w:type="dxa"/>
            <w:vAlign w:val="bottom"/>
            <w:tcBorders>
              <w:bottom w:val="single" w:sz="8" w:color="auto"/>
            </w:tcBorders>
          </w:tcPr>
          <w:p>
            <w:pPr>
              <w:spacing w:after="0"/>
              <w:rPr>
                <w:sz w:val="17"/>
                <w:szCs w:val="17"/>
                <w:color w:val="auto"/>
              </w:rPr>
            </w:pPr>
          </w:p>
        </w:tc>
      </w:tr>
      <w:tr>
        <w:trPr>
          <w:trHeight w:val="196"/>
        </w:trPr>
        <w:tc>
          <w:tcPr>
            <w:tcW w:w="5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U.S.</w:t>
            </w:r>
          </w:p>
        </w:tc>
        <w:tc>
          <w:tcPr>
            <w:tcW w:w="9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516"/>
              <w:spacing w:after="0"/>
              <w:rPr>
                <w:sz w:val="20"/>
                <w:szCs w:val="20"/>
                <w:color w:val="auto"/>
              </w:rPr>
            </w:pPr>
            <w:r>
              <w:rPr>
                <w:rFonts w:ascii="Arial" w:cs="Arial" w:eastAsia="Arial" w:hAnsi="Arial"/>
                <w:sz w:val="14"/>
                <w:szCs w:val="14"/>
                <w:b w:val="1"/>
                <w:bCs w:val="1"/>
                <w:color w:val="auto"/>
              </w:rPr>
              <w:t>Outside U.S.</w:t>
            </w:r>
          </w:p>
        </w:tc>
        <w:tc>
          <w:tcPr>
            <w:tcW w:w="16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12 %</w:t>
            </w:r>
          </w:p>
        </w:tc>
        <w:tc>
          <w:tcPr>
            <w:tcW w:w="20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23 %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900" w:type="dxa"/>
            <w:vAlign w:val="bottom"/>
          </w:tcPr>
          <w:p>
            <w:pPr>
              <w:jc w:val="right"/>
              <w:ind w:right="414"/>
              <w:spacing w:after="0"/>
              <w:rPr>
                <w:sz w:val="20"/>
                <w:szCs w:val="20"/>
                <w:color w:val="auto"/>
              </w:rPr>
            </w:pPr>
            <w:r>
              <w:rPr>
                <w:rFonts w:ascii="Arial" w:cs="Arial" w:eastAsia="Arial" w:hAnsi="Arial"/>
                <w:sz w:val="18"/>
                <w:szCs w:val="18"/>
                <w:color w:val="auto"/>
              </w:rPr>
              <w:t>16</w:t>
            </w:r>
          </w:p>
        </w:tc>
        <w:tc>
          <w:tcPr>
            <w:tcW w:w="2020" w:type="dxa"/>
            <w:vAlign w:val="bottom"/>
          </w:tcPr>
          <w:p>
            <w:pPr>
              <w:jc w:val="right"/>
              <w:ind w:right="436"/>
              <w:spacing w:after="0"/>
              <w:rPr>
                <w:sz w:val="20"/>
                <w:szCs w:val="20"/>
                <w:color w:val="auto"/>
              </w:rPr>
            </w:pPr>
            <w:r>
              <w:rPr>
                <w:rFonts w:ascii="Arial" w:cs="Arial" w:eastAsia="Arial" w:hAnsi="Arial"/>
                <w:sz w:val="18"/>
                <w:szCs w:val="18"/>
                <w:color w:val="auto"/>
              </w:rPr>
              <w:t>(1)</w:t>
            </w: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10</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1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28 %</w:t>
            </w:r>
          </w:p>
        </w:tc>
        <w:tc>
          <w:tcPr>
            <w:tcW w:w="20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22 %</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U.S. for the three months ended March 31, 2024, the increase in volume was primarily driven by Zepbound, Mounjaro, and Verzenio, partially offset by a decrease in Trulicity. Exceptionally strong demand for our incretin medicines led to wholesaler backorders for these products at March 31, 2024. We expect tight supply to continue as growing production volume is outpaced by demand. In the short to mid-term, we expect sales growth for incretin medicines to primarily be a function of the quantity we can produce and ship. In the U.S. for the three months ended March 31, 2024, the higher realized prices were primarily driven by Mounjaro as realized prices were positively impacted by savings card dynamics compared to the same period in 2023. In the second half of 2024, these savings card dynamics should cease to have a notable effect on realized price comparisons to base periods, as the $25 non-covered benefit expired June 30, 2023.</w:t>
      </w:r>
    </w:p>
    <w:p>
      <w:pPr>
        <w:spacing w:after="0" w:line="7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Outside the U.S. for the three months ended March 31, 2024, the increase in volume was primarily driven by Mounjaro, Verzenio, Jardiance, and Tyvyt</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7" w:name="page38"/>
    <w:bookmarkEnd w:id="37"/>
    <w:p>
      <w:pPr>
        <w:ind w:right="28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three months ended March 31,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195"/>
        </w:trPr>
        <w:tc>
          <w:tcPr>
            <w:tcW w:w="4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420" w:type="dxa"/>
            <w:vAlign w:val="bottom"/>
          </w:tcPr>
          <w:p>
            <w:pPr>
              <w:spacing w:after="0"/>
              <w:rPr>
                <w:sz w:val="16"/>
                <w:szCs w:val="16"/>
                <w:color w:val="auto"/>
              </w:rPr>
            </w:pPr>
          </w:p>
        </w:tc>
      </w:tr>
      <w:tr>
        <w:trPr>
          <w:trHeight w:val="197"/>
        </w:trPr>
        <w:tc>
          <w:tcPr>
            <w:tcW w:w="4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1,520.4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286.2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1,081.9</w:t>
            </w:r>
          </w:p>
        </w:tc>
        <w:tc>
          <w:tcPr>
            <w:tcW w:w="26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374.4</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1,456.3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1,977.1</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(26)</w:t>
            </w: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638.2</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412.1</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40</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368.2</w:t>
            </w:r>
          </w:p>
        </w:tc>
        <w:tc>
          <w:tcPr>
            <w:tcW w:w="26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318.3</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577.5</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19</w:t>
            </w: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Taltz</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347.1</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257.0</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15</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 (2)</w:t>
            </w:r>
          </w:p>
        </w:tc>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338.3</w:t>
            </w:r>
          </w:p>
        </w:tc>
        <w:tc>
          <w:tcPr>
            <w:tcW w:w="26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200.4</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460.9</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17</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Zepbound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517.4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107.2</w:t>
            </w: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122.6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236.8</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(3)</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125.0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100.7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46</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Olumiant</w:t>
            </w:r>
            <w:r>
              <w:rPr>
                <w:rFonts w:ascii="Arial" w:cs="Arial" w:eastAsia="Arial" w:hAnsi="Arial"/>
                <w:sz w:val="23"/>
                <w:szCs w:val="23"/>
                <w:color w:val="auto"/>
                <w:vertAlign w:val="superscript"/>
              </w:rPr>
              <w:t>®</w:t>
            </w:r>
          </w:p>
        </w:tc>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46.3</w:t>
            </w:r>
          </w:p>
        </w:tc>
        <w:tc>
          <w:tcPr>
            <w:tcW w:w="26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171.0</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228.9</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153.1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53.1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(18)</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 (3)</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83.2</w:t>
            </w: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74.3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209.3</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(25)</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132.1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11</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Cialis</w:t>
            </w:r>
            <w:r>
              <w:rPr>
                <w:rFonts w:ascii="Arial" w:cs="Arial" w:eastAsia="Arial" w:hAnsi="Arial"/>
                <w:sz w:val="23"/>
                <w:szCs w:val="23"/>
                <w:color w:val="auto"/>
                <w:vertAlign w:val="superscript"/>
              </w:rPr>
              <w:t>®</w:t>
            </w:r>
          </w:p>
        </w:tc>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5.9</w:t>
            </w:r>
          </w:p>
        </w:tc>
        <w:tc>
          <w:tcPr>
            <w:tcW w:w="26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133.4</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39</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Tyvyt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116.7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91</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Forteo</w:t>
            </w:r>
            <w:r>
              <w:rPr>
                <w:rFonts w:ascii="Arial" w:cs="Arial" w:eastAsia="Arial" w:hAnsi="Arial"/>
                <w:sz w:val="23"/>
                <w:szCs w:val="23"/>
                <w:color w:val="auto"/>
                <w:vertAlign w:val="superscript"/>
              </w:rPr>
              <w:t>®</w:t>
            </w:r>
          </w:p>
        </w:tc>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21.7</w:t>
            </w:r>
          </w:p>
        </w:tc>
        <w:tc>
          <w:tcPr>
            <w:tcW w:w="26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39.5</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122.3</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(50)</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208.4</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401.5</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5,694.4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3,073.7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8,768.0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6,960.0</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40" w:hanging="132"/>
        <w:spacing w:after="0" w:line="228"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3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 of Mounjaro in the U.S. during the three months ended March 31, 2024 was $1.52 billion compared to $536.4 million during the three months ended March 31, 2023, reflecting higher realized prices, as well as increased demand. The higher realized prices were positively impacted by savings card dynamics compared to the same period in 2023. In the second half of 2024, these savings card dynamics should cease to have a notable effect on realized price comparisons to base periods, as the $25 non-covered benefit expired June 30, 2023. Revenue outside the U.S. was $286.2 million compared to $32.0 million during the three months ended March 31, 2023, driven by increased volume. Worldwide volume growth was linked to available supply.</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of Trulicity decreased 30 percent in the U.S. during the three months ended March 31, 2024, driven by decreased volume primarily due to supply constraints and competitive dynamics. Revenue outside the U.S. decreased 13 percent during the three months ended March 31, 2024, driven by decreased volume and, to a lesser extent, lower realized prices. In addition to the factors affecting U.S. volume, international markets continue to be impacted by actions we have taken to manage demand amid tight supply, including measures to minimize impact to existing patients.</w:t>
      </w:r>
    </w:p>
    <w:p>
      <w:pPr>
        <w:spacing w:after="0" w:line="7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Revenue of Verzenio increased 38 percent in the U.S. and 42 percent outside the U.S. during the three months ended March 31, 2024, primarily driven by increased demand.</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 of Jardiance increased 12 percent in the U.S. during the three months ended March 31, 2024, driven by increased demand. Revenue outside the U.S. increased 28 percent during the three months ended March 31, 2024, driven by increased volume. See Note 4 to the consolidated condensed financial statements for information regarding our collaboration with Boehringer Ingelheim involving Jardiance.</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of Taltz increased 11 percent in the U.S. during the three months ended March 31, 2024, driven by increased demand and higher realized prices. Revenue outside the U.S. increased 20 percent during the three months ended March 31, 2024, driven by increased demand.</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38" w:name="page39"/>
    <w:bookmarkEnd w:id="38"/>
    <w:p>
      <w:pPr>
        <w:ind w:right="60"/>
        <w:spacing w:after="0" w:line="268" w:lineRule="auto"/>
        <w:rPr>
          <w:sz w:val="20"/>
          <w:szCs w:val="20"/>
          <w:color w:val="auto"/>
        </w:rPr>
      </w:pPr>
      <w:r>
        <w:rPr>
          <w:rFonts w:ascii="Arial" w:cs="Arial" w:eastAsia="Arial" w:hAnsi="Arial"/>
          <w:sz w:val="18"/>
          <w:szCs w:val="18"/>
          <w:color w:val="auto"/>
        </w:rPr>
        <w:t>Revenue of Zepbound in the U.S. during the three months ended March 31, 2024 was $517.4 million. Similar to our other incretin medicines, volume growth was linked to available supply. Zepbound launched in the U.S. for the treatment of adult patients with obesity or overweight with weight-related comorbidities in November 2023.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3"/>
          </w:tcPr>
          <w:p>
            <w:pPr>
              <w:jc w:val="right"/>
              <w:ind w:right="892"/>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Percent</w:t>
            </w:r>
          </w:p>
        </w:tc>
      </w:tr>
      <w:tr>
        <w:trPr>
          <w:trHeight w:val="197"/>
        </w:trPr>
        <w:tc>
          <w:tcPr>
            <w:tcW w:w="6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7,094.5</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5,333.3</w:t>
            </w:r>
          </w:p>
        </w:tc>
        <w:tc>
          <w:tcPr>
            <w:tcW w:w="90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9"/>
              </w:rPr>
              <w:t>33</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Gross margin as a percent of revenue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80.9 %</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76.6 %</w:t>
            </w: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2,522.8</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1,985.1</w:t>
            </w:r>
          </w:p>
        </w:tc>
        <w:tc>
          <w:tcPr>
            <w:tcW w:w="90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9"/>
              </w:rPr>
              <w:t>27</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Marketing, selling, and administrative</w:t>
            </w:r>
          </w:p>
        </w:tc>
        <w:tc>
          <w:tcPr>
            <w:tcW w:w="480" w:type="dxa"/>
            <w:vAlign w:val="bottom"/>
          </w:tcPr>
          <w:p>
            <w:pPr>
              <w:spacing w:after="0"/>
              <w:rPr>
                <w:sz w:val="19"/>
                <w:szCs w:val="19"/>
                <w:color w:val="auto"/>
              </w:rPr>
            </w:pPr>
          </w:p>
        </w:tc>
        <w:tc>
          <w:tcPr>
            <w:tcW w:w="1580" w:type="dxa"/>
            <w:vAlign w:val="bottom"/>
          </w:tcPr>
          <w:p>
            <w:pPr>
              <w:jc w:val="right"/>
              <w:ind w:right="214"/>
              <w:spacing w:after="0"/>
              <w:rPr>
                <w:sz w:val="20"/>
                <w:szCs w:val="20"/>
                <w:color w:val="auto"/>
              </w:rPr>
            </w:pPr>
            <w:r>
              <w:rPr>
                <w:rFonts w:ascii="Arial" w:cs="Arial" w:eastAsia="Arial" w:hAnsi="Arial"/>
                <w:sz w:val="18"/>
                <w:szCs w:val="18"/>
                <w:b w:val="1"/>
                <w:bCs w:val="1"/>
                <w:color w:val="auto"/>
              </w:rPr>
              <w:t>1,952.2</w:t>
            </w:r>
          </w:p>
        </w:tc>
        <w:tc>
          <w:tcPr>
            <w:tcW w:w="54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1,749.2</w:t>
            </w:r>
          </w:p>
        </w:tc>
        <w:tc>
          <w:tcPr>
            <w:tcW w:w="900" w:type="dxa"/>
            <w:vAlign w:val="bottom"/>
          </w:tcPr>
          <w:p>
            <w:pPr>
              <w:jc w:val="center"/>
              <w:ind w:left="15"/>
              <w:spacing w:after="0"/>
              <w:rPr>
                <w:sz w:val="20"/>
                <w:szCs w:val="20"/>
                <w:color w:val="auto"/>
              </w:rPr>
            </w:pPr>
            <w:r>
              <w:rPr>
                <w:rFonts w:ascii="Arial" w:cs="Arial" w:eastAsia="Arial" w:hAnsi="Arial"/>
                <w:sz w:val="18"/>
                <w:szCs w:val="18"/>
                <w:color w:val="auto"/>
                <w:w w:val="99"/>
              </w:rPr>
              <w:t>12</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 development (IPR&amp;D)</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110.5</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105.0</w:t>
            </w:r>
          </w:p>
        </w:tc>
        <w:tc>
          <w:tcPr>
            <w:tcW w:w="9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5</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480" w:type="dxa"/>
            <w:vAlign w:val="bottom"/>
          </w:tcPr>
          <w:p>
            <w:pPr>
              <w:spacing w:after="0"/>
              <w:rPr>
                <w:sz w:val="19"/>
                <w:szCs w:val="19"/>
                <w:color w:val="auto"/>
              </w:rPr>
            </w:pPr>
          </w:p>
        </w:tc>
        <w:tc>
          <w:tcPr>
            <w:tcW w:w="1580" w:type="dxa"/>
            <w:vAlign w:val="bottom"/>
          </w:tcPr>
          <w:p>
            <w:pPr>
              <w:jc w:val="right"/>
              <w:ind w:right="174"/>
              <w:spacing w:after="0"/>
              <w:rPr>
                <w:sz w:val="20"/>
                <w:szCs w:val="20"/>
                <w:color w:val="auto"/>
              </w:rPr>
            </w:pPr>
            <w:r>
              <w:rPr>
                <w:rFonts w:ascii="Arial" w:cs="Arial" w:eastAsia="Arial" w:hAnsi="Arial"/>
                <w:sz w:val="18"/>
                <w:szCs w:val="18"/>
                <w:b w:val="1"/>
                <w:bCs w:val="1"/>
                <w:color w:val="auto"/>
              </w:rPr>
              <w:t>(27.1)</w:t>
            </w:r>
          </w:p>
        </w:tc>
        <w:tc>
          <w:tcPr>
            <w:tcW w:w="54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(35.7)</w:t>
            </w:r>
          </w:p>
        </w:tc>
        <w:tc>
          <w:tcPr>
            <w:tcW w:w="900" w:type="dxa"/>
            <w:vAlign w:val="bottom"/>
          </w:tcPr>
          <w:p>
            <w:pPr>
              <w:jc w:val="center"/>
              <w:ind w:left="15"/>
              <w:spacing w:after="0"/>
              <w:rPr>
                <w:sz w:val="20"/>
                <w:szCs w:val="20"/>
                <w:color w:val="auto"/>
              </w:rPr>
            </w:pPr>
            <w:r>
              <w:rPr>
                <w:rFonts w:ascii="Arial" w:cs="Arial" w:eastAsia="Arial" w:hAnsi="Arial"/>
                <w:sz w:val="18"/>
                <w:szCs w:val="18"/>
                <w:color w:val="auto"/>
                <w:w w:val="99"/>
              </w:rPr>
              <w:t>(24)</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293.2</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184.8</w:t>
            </w:r>
          </w:p>
        </w:tc>
        <w:tc>
          <w:tcPr>
            <w:tcW w:w="90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9"/>
              </w:rPr>
              <w:t>59</w:t>
            </w:r>
          </w:p>
        </w:tc>
      </w:tr>
      <w:tr>
        <w:trPr>
          <w:trHeight w:val="247"/>
        </w:trPr>
        <w:tc>
          <w:tcPr>
            <w:tcW w:w="62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11.6 %</w:t>
            </w:r>
          </w:p>
        </w:tc>
        <w:tc>
          <w:tcPr>
            <w:tcW w:w="5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12.1 %</w:t>
            </w:r>
          </w:p>
        </w:tc>
        <w:tc>
          <w:tcPr>
            <w:tcW w:w="900" w:type="dxa"/>
            <w:vAlign w:val="bottom"/>
          </w:tcPr>
          <w:p>
            <w:pPr>
              <w:spacing w:after="0"/>
              <w:rPr>
                <w:sz w:val="21"/>
                <w:szCs w:val="2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Gross margin as a percent of revenue for the three months ended March 31, 2024 increased 4.3 percentage points compared with the three months ended March 31, 2023, primarily driven by higher realized prices, favorable product mix, and, to a lesser extent, improvements in the cost of production.</w:t>
      </w:r>
    </w:p>
    <w:p>
      <w:pPr>
        <w:spacing w:after="0" w:line="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Research and development expenses increased 27 percent for the three months ended March 31, 2024, driven by higher development expenses for late-stage assets and additional investments in early-stage research, as well as a charge of approximately $75 million during the three months ended March 31, 2024 associated with the termination of the Verzenio prostate cancer program due to futility.</w:t>
      </w:r>
    </w:p>
    <w:p>
      <w:pPr>
        <w:spacing w:after="0" w:line="6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Marketing, selling, and administrative expenses increased 12 percent for the three months ended March 31, 2024, primarily driven by promotional efforts associated with ongoing and future launches, as well as increased compensation and benefit costs.</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effective tax rate was 11.6 percent for the three months ended March 31, 2024 compared to 12.1 percent for the three months ended March 31, 2023, driven by a larger net discrete tax benefit reflected in the three months ended March 31, 2024 compared to the same period in 2023.</w:t>
      </w:r>
    </w:p>
    <w:p>
      <w:pPr>
        <w:spacing w:after="0" w:line="6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For additional information for acquired IPR&amp;D charges and other–net, (income) expense, see Note 3 and Note 11 to the consolidated condensed financial statements,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16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2023.</w:t>
      </w:r>
    </w:p>
    <w:p>
      <w:pPr>
        <w:spacing w:after="0" w:line="6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are making investments in new facilities in Indiana, North Carolina, Germany, and Ireland to manufacture existing and future products. These investments, and other capital investments that support our operations, have increased our capital expenditures and will result in higher capital expenditures over the next several years.</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we expand our manufacturing capacity in order to meet existing and expected demand of our incretin medicines, we have entered, and expect to continue to enter, into various agreements for contract manufacturing and for supply of materials. The executed agreements could, under certain circumstances, require us to pay up to approximately $10 billion if we do not purchase specified amounts of goods or services over the durations of the agreements, which are generally up to 8 years.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9" w:name="page40"/>
    <w:bookmarkEnd w:id="39"/>
    <w:p>
      <w:pPr>
        <w:ind w:right="240"/>
        <w:spacing w:after="0" w:line="262" w:lineRule="auto"/>
        <w:rPr>
          <w:sz w:val="20"/>
          <w:szCs w:val="20"/>
          <w:color w:val="auto"/>
        </w:rPr>
      </w:pPr>
      <w:r>
        <w:rPr>
          <w:rFonts w:ascii="Arial" w:cs="Arial" w:eastAsia="Arial" w:hAnsi="Arial"/>
          <w:sz w:val="18"/>
          <w:szCs w:val="18"/>
          <w:color w:val="auto"/>
        </w:rPr>
        <w:t>In April 2024, we signed an agreement to purchase a manufacturing facility in Wisconsin intended to further expand our global parenteral (injectable) product manufacturing network. We are targeting to initiate commercial production at this facility at the end of 2025. The proposed acquisition is subject to customary closing conditions. We anticipate funding this proposed acquisition primarily through cash on hand and the issuance of commercial paper.</w:t>
      </w:r>
    </w:p>
    <w:p>
      <w:pPr>
        <w:spacing w:after="0" w:line="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Cash and cash equivalents decreased to $ 2.46 billion as of March 31, 2024, compared with $2.82 billion as of December 31, 2023. Refer to the consolidated condensed statements of cash flows for additional information on the significant sources and uses of cash for the three months ended March 31, 2024 and 2023.</w:t>
      </w:r>
    </w:p>
    <w:p>
      <w:pPr>
        <w:spacing w:after="0" w:line="63"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addition to our cash and cash equivalents, we held total investments of $3.21 billion and $3.16 billion as of March 31, 2024 and December 31, 2023, respectively. See Note 6 to the consolidated condensed financial statements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 total debt was $26.21 billion, an increase of $986.1 million compared with $25.23 billion as of December 31, 2023.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2024, we issued $6.50 billion of fixed-rate notes and used, or will be using, the net cash proceeds for general business purposes,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including the repayment of outstanding commercial paper, repayment of current maturities of long-term debt, and repayment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 million of fixed-rate notes due in 2026, which became callable at par beginning February 27, 2024. See Note 6 to the consolidated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financial statements for additional information.</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March 31, 2024, we had a total of $7.42 billion of unused committed bank credit facilities, $7.00 billion of which is available to support our commercial paper program. We believe that amounts accessible through existing commercial paper markets should be adequate to fund short-term borrowing needs.</w:t>
      </w:r>
    </w:p>
    <w:p>
      <w:pPr>
        <w:spacing w:after="0" w:line="6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During the three months ended March 31, 2024, we did not repurchase any shares under our $5.00 billion share repurchase program authorized in May 2021. As of March 31, 2024, we had $2.50 billion remaining under this program.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2024, we paid dividends of $1.17 billion, or $1.30 per share, to our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Overview—Other Matters—Patent Matters" for information regarding losses of patent protection.</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and international tension and conflicts;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fair values of equity securities.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17"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2023. See also Note 1 to the consolidated condensed financial statements. There have been no material changes to our critical accounting estimates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1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40" w:name="page41"/>
    <w:bookmarkEnd w:id="40"/>
    <w:p>
      <w:pPr>
        <w:spacing w:after="0" w:line="256" w:lineRule="auto"/>
        <w:rPr>
          <w:sz w:val="20"/>
          <w:szCs w:val="20"/>
          <w:color w:val="auto"/>
        </w:rPr>
      </w:pPr>
      <w:r>
        <w:rPr>
          <w:rFonts w:ascii="Arial" w:cs="Arial" w:eastAsia="Arial" w:hAnsi="Arial"/>
          <w:sz w:val="18"/>
          <w:szCs w:val="18"/>
          <w:color w:val="auto"/>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may also use social media channels to communicate with investors and the public about our business, products and other matters, and those communications could be deemed to be material information. The information contained on, or that may be accessed through, our website or social media channels, is not incorporated by reference into, and is not a part of, this Quarterly Report on Form 10-Q.</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5" w:lineRule="exact"/>
        <w:rPr>
          <w:sz w:val="20"/>
          <w:szCs w:val="20"/>
          <w:color w:val="auto"/>
        </w:rPr>
      </w:pPr>
    </w:p>
    <w:p>
      <w:pPr>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market risk, see “Quantitative and Qualitative Disclosures About Market Risk” in Part II, Item 7A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5" w:lineRule="exact"/>
        <w:rPr>
          <w:sz w:val="20"/>
          <w:szCs w:val="20"/>
          <w:color w:val="auto"/>
        </w:rPr>
      </w:pPr>
    </w:p>
    <w:p>
      <w:pPr>
        <w:ind w:left="660" w:right="80" w:hanging="652"/>
        <w:spacing w:after="0" w:line="257"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Securities and Exchange Commission (SEC)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4" w:lineRule="exact"/>
        <w:rPr>
          <w:rFonts w:ascii="Arial" w:cs="Arial" w:eastAsia="Arial" w:hAnsi="Arial"/>
          <w:sz w:val="18"/>
          <w:szCs w:val="18"/>
          <w:color w:val="auto"/>
        </w:rPr>
      </w:pPr>
    </w:p>
    <w:p>
      <w:pPr>
        <w:ind w:left="660" w:right="30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Ricks, president and chief executive officer, and Anat Ashkenazi, executive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2023) as of March 31, 2024, and concluded that they were effective.</w:t>
      </w:r>
    </w:p>
    <w:p>
      <w:pPr>
        <w:spacing w:after="0" w:line="44" w:lineRule="exact"/>
        <w:rPr>
          <w:rFonts w:ascii="Arial" w:cs="Arial" w:eastAsia="Arial" w:hAnsi="Arial"/>
          <w:sz w:val="17"/>
          <w:szCs w:val="17"/>
          <w:color w:val="auto"/>
        </w:rPr>
      </w:pPr>
    </w:p>
    <w:p>
      <w:pPr>
        <w:ind w:left="660" w:right="60" w:hanging="652"/>
        <w:spacing w:after="0" w:line="257"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During the first quarter of 2024, we completed the implementation of a new global enterprise resource</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(ERP) system, which replaced our operating and financial systems. We are performing our post-implementation activities. The implementation resulted in, and the post-implementation activities may result in, changes to certain of our processes and procedures. These changes have been and will continue to be subject to our evaluation of the operating effectiveness of internal controls over financial reporting. There were no other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42" w:name="page43"/>
    <w:bookmarkEnd w:id="42"/>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9 to the consolidated condensed financial statements for information on various legal proceedings.</w:t>
      </w:r>
    </w:p>
    <w:p>
      <w:pPr>
        <w:spacing w:after="0" w:line="99" w:lineRule="exact"/>
        <w:rPr>
          <w:sz w:val="20"/>
          <w:szCs w:val="20"/>
          <w:color w:val="auto"/>
        </w:rPr>
      </w:pPr>
    </w:p>
    <w:p>
      <w:pPr>
        <w:ind w:right="38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27" w:lineRule="exact"/>
        <w:rPr>
          <w:sz w:val="20"/>
          <w:szCs w:val="20"/>
          <w:color w:val="auto"/>
        </w:rPr>
      </w:pPr>
    </w:p>
    <w:p>
      <w:pPr>
        <w:ind w:right="8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December 31, 2023. There have been no material changes from the risk factors previously disclosed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tcPr>
          <w:p>
            <w:pPr>
              <w:jc w:val="center"/>
              <w:ind w:left="228"/>
              <w:spacing w:after="0"/>
              <w:rPr>
                <w:sz w:val="20"/>
                <w:szCs w:val="20"/>
                <w:color w:val="auto"/>
              </w:rPr>
            </w:pPr>
            <w:r>
              <w:rPr>
                <w:rFonts w:ascii="Arial" w:cs="Arial" w:eastAsia="Arial" w:hAnsi="Arial"/>
                <w:sz w:val="14"/>
                <w:szCs w:val="14"/>
                <w:b w:val="1"/>
                <w:bCs w:val="1"/>
                <w:color w:val="auto"/>
              </w:rPr>
              <w:t>Total Number of Shares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Purchased as Part of</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rPr>
              <w:t>Average Price Paid</w:t>
            </w:r>
          </w:p>
        </w:tc>
        <w:tc>
          <w:tcPr>
            <w:tcW w:w="360" w:type="dxa"/>
            <w:vAlign w:val="bottom"/>
          </w:tcPr>
          <w:p>
            <w:pPr>
              <w:spacing w:after="0"/>
              <w:rPr>
                <w:sz w:val="12"/>
                <w:szCs w:val="12"/>
                <w:color w:val="auto"/>
              </w:rPr>
            </w:pPr>
          </w:p>
        </w:tc>
        <w:tc>
          <w:tcPr>
            <w:tcW w:w="2000" w:type="dxa"/>
            <w:vAlign w:val="bottom"/>
          </w:tcPr>
          <w:p>
            <w:pPr>
              <w:jc w:val="center"/>
              <w:ind w:left="228"/>
              <w:spacing w:after="0" w:line="145" w:lineRule="exact"/>
              <w:rPr>
                <w:sz w:val="20"/>
                <w:szCs w:val="20"/>
                <w:color w:val="auto"/>
              </w:rPr>
            </w:pPr>
            <w:r>
              <w:rPr>
                <w:rFonts w:ascii="Arial" w:cs="Arial" w:eastAsia="Arial" w:hAnsi="Arial"/>
                <w:sz w:val="14"/>
                <w:szCs w:val="14"/>
                <w:b w:val="1"/>
                <w:bCs w:val="1"/>
                <w:color w:val="auto"/>
              </w:rPr>
              <w:t>Publicly Announced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17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Shares Purchased</w:t>
            </w:r>
          </w:p>
        </w:tc>
        <w:tc>
          <w:tcPr>
            <w:tcW w:w="16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jc w:val="center"/>
              <w:ind w:left="248"/>
              <w:spacing w:after="0" w:line="139" w:lineRule="exact"/>
              <w:rPr>
                <w:sz w:val="20"/>
                <w:szCs w:val="20"/>
                <w:color w:val="auto"/>
              </w:rPr>
            </w:pPr>
            <w:r>
              <w:rPr>
                <w:rFonts w:ascii="Arial" w:cs="Arial" w:eastAsia="Arial" w:hAnsi="Arial"/>
                <w:sz w:val="14"/>
                <w:szCs w:val="14"/>
                <w:b w:val="1"/>
                <w:bCs w:val="1"/>
                <w:color w:val="auto"/>
              </w:rPr>
              <w:t>Plans or Programs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rPr>
              <w:t>per Share</w:t>
            </w: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2024</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22"/>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February 2024</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2024</w:t>
            </w:r>
          </w:p>
        </w:tc>
        <w:tc>
          <w:tcPr>
            <w:tcW w:w="14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During the three months ended March 31, 2024, we did not repurchase any shares under our $5.00 billion share repurchase program authorized in May 2021.</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6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March 1, 2024, Johna Norton, executive vice president, global quality, adopted a sales plan (Plan). The Plan was entered into during an open trading window and is intended to satisfy the affirmative defense conditions of Rule 10b5 -1(c) of the Exchange Act of 1934 and our policies regarding trading in our securities. The Plan calls for the sale of up to 7,056 shares of company common stock between June 3, 2024 and December 31, 2024 subject to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38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18"/>
                <w:szCs w:val="18"/>
                <w:color w:val="auto"/>
              </w:rPr>
            </w:pPr>
          </w:p>
        </w:tc>
        <w:tc>
          <w:tcPr>
            <w:tcW w:w="9380" w:type="dxa"/>
            <w:vAlign w:val="bottom"/>
            <w:gridSpan w:val="9"/>
          </w:tcPr>
          <w:p>
            <w:pPr>
              <w:spacing w:after="0"/>
              <w:rPr>
                <w:rFonts w:ascii="Arial" w:cs="Arial" w:eastAsia="Arial" w:hAnsi="Arial"/>
                <w:sz w:val="18"/>
                <w:szCs w:val="18"/>
                <w:color w:val="0000FF"/>
              </w:rPr>
            </w:pPr>
            <w:hyperlink r:id="rId73">
              <w:r>
                <w:rPr>
                  <w:rFonts w:ascii="Arial" w:cs="Arial" w:eastAsia="Arial" w:hAnsi="Arial"/>
                  <w:sz w:val="18"/>
                  <w:szCs w:val="18"/>
                  <w:color w:val="0000FF"/>
                </w:rPr>
                <w:t>Amended Articles of Incorporation,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8-K filed on May 4, 2022</w:t>
              </w:r>
            </w:hyperlink>
          </w:p>
        </w:tc>
        <w:tc>
          <w:tcPr>
            <w:tcW w:w="74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rPr>
            </w:pPr>
            <w:hyperlink r:id="rId74">
              <w:r>
                <w:rPr>
                  <w:rFonts w:ascii="Arial" w:cs="Arial" w:eastAsia="Arial" w:hAnsi="Arial"/>
                  <w:sz w:val="18"/>
                  <w:szCs w:val="18"/>
                  <w:color w:val="0000FF"/>
                </w:rPr>
                <w:t>Bylaws, as amended, incorporated by reference to Exhibit 3.2 to the Company's Current Report on Form 8-K filed on</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74">
              <w:r>
                <w:rPr>
                  <w:rFonts w:ascii="Arial" w:cs="Arial" w:eastAsia="Arial" w:hAnsi="Arial"/>
                  <w:sz w:val="18"/>
                  <w:szCs w:val="18"/>
                  <w:color w:val="0000FF"/>
                  <w:w w:val="98"/>
                </w:rPr>
                <w:t>May 4, 2022</w:t>
              </w:r>
            </w:hyperlink>
          </w:p>
        </w:tc>
        <w:tc>
          <w:tcPr>
            <w:tcW w:w="826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Rule 13a-14(a) Certification of David Ricks, Chair, President, and Chief Executive Officer*</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Rule 13a-14(a) Certification of Anat Ashkenazi, Executive Vice President and Chief Financial Officer*</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80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Section 1350 Certification*</w:t>
            </w:r>
          </w:p>
        </w:tc>
        <w:tc>
          <w:tcPr>
            <w:tcW w:w="1360" w:type="dxa"/>
            <w:vAlign w:val="bottom"/>
            <w:gridSpan w:val="3"/>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r>
      <w:tr>
        <w:trPr>
          <w:trHeight w:val="34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90"/>
        </w:trPr>
        <w:tc>
          <w:tcPr>
            <w:tcW w:w="184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ELI LILLY AND COMPANY</w:t>
            </w:r>
          </w:p>
        </w:tc>
        <w:tc>
          <w:tcPr>
            <w:tcW w:w="6320" w:type="dxa"/>
            <w:vAlign w:val="bottom"/>
          </w:tcPr>
          <w:p>
            <w:pPr>
              <w:spacing w:after="0"/>
              <w:rPr>
                <w:sz w:val="18"/>
                <w:szCs w:val="18"/>
                <w:color w:val="auto"/>
              </w:rPr>
            </w:pPr>
          </w:p>
        </w:tc>
      </w:tr>
      <w:tr>
        <w:trPr>
          <w:trHeight w:val="254"/>
        </w:trPr>
        <w:tc>
          <w:tcPr>
            <w:tcW w:w="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9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April 30, 2024</w:t>
            </w:r>
          </w:p>
        </w:tc>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Anat Ashkenazi</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Anat Ashkenazi</w:t>
            </w:r>
          </w:p>
        </w:tc>
      </w:tr>
      <w:tr>
        <w:trPr>
          <w:trHeight w:val="230"/>
        </w:trPr>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April 30, 2024</w:t>
            </w:r>
          </w:p>
        </w:tc>
        <w:tc>
          <w:tcPr>
            <w:tcW w:w="2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Zakrowski</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Donald Zakrowski</w:t>
            </w:r>
          </w:p>
        </w:tc>
      </w:tr>
      <w:tr>
        <w:trPr>
          <w:trHeight w:val="239"/>
        </w:trPr>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Accounting Officer</w:t>
            </w:r>
          </w:p>
        </w:tc>
      </w:tr>
      <w:tr>
        <w:trPr>
          <w:trHeight w:val="864"/>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500" w:type="dxa"/>
            <w:vAlign w:val="bottom"/>
            <w:gridSpan w:val="3"/>
          </w:tcPr>
          <w:p>
            <w:pPr>
              <w:jc w:val="right"/>
              <w:ind w:right="552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240"/>
          </w:cols>
          <w:pgMar w:left="320" w:top="100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17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00" w:hanging="324"/>
        <w:spacing w:after="0" w:line="268" w:lineRule="auto"/>
        <w:tabs>
          <w:tab w:leader="none" w:pos="9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April 30, 2024</w:t>
            </w:r>
          </w:p>
        </w:tc>
      </w:tr>
      <w:tr>
        <w:trPr>
          <w:trHeight w:val="49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David Ricks</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Ricks</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1052"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31.2 Rule 13a-14(a) Certification of Anat Ashkenazi,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Anat Ashkenazi, Executive Vice President and Chief Financial Officer, certify that:</w:t>
      </w:r>
    </w:p>
    <w:p>
      <w:pPr>
        <w:spacing w:after="0" w:line="17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00" w:hanging="324"/>
        <w:spacing w:after="0" w:line="268" w:lineRule="auto"/>
        <w:tabs>
          <w:tab w:leader="none" w:pos="9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April 30, 2024</w:t>
            </w:r>
          </w:p>
        </w:tc>
      </w:tr>
      <w:tr>
        <w:trPr>
          <w:trHeight w:val="49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Anat Ashkenazi</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Anat Ashkenazi</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1147"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Quarterly Report on Form 10-Q for the quarter ended March 31, 2024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April 30, 2024</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David Ricks</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Ricks</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April 30, 2024</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Anat Ashkenazi</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Anat Ashkenazi</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5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15" Type="http://schemas.openxmlformats.org/officeDocument/2006/relationships/hyperlink" Target="https://www.sec.gov/Archives/edgar/data/59478/000005947824000065/lly-20231231.htm" TargetMode="External"/><Relationship Id="rId73" Type="http://schemas.openxmlformats.org/officeDocument/2006/relationships/hyperlink" Target="https://www.sec.gov/Archives/edgar/data/59478/000005947822000138/articlesofincorporationlly.htm" TargetMode="External"/><Relationship Id="rId74"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2024-04-30T11:08:06Z</dcterms:created>
  <dcterms:modified xsi:type="dcterms:W3CDTF">2024-04-30T11:08:06Z</dcterms:modified>
</cp:coreProperties>
</file>