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9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8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36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9"/>
          <w:szCs w:val="29"/>
          <w:b w:val="1"/>
          <w:bCs w:val="1"/>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right="2580" w:firstLine="8"/>
        <w:spacing w:after="0" w:line="263"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15(d) OF THE SECURITIES EXCHANGE ACT OF 1934 For the fiscal year ended December 31, 2023</w:t>
      </w:r>
      <w:r>
        <w:rPr>
          <w:rFonts w:ascii="Times New Roman" w:cs="Times New Roman" w:eastAsia="Times New Roman" w:hAnsi="Times New Roman"/>
          <w:sz w:val="18"/>
          <w:szCs w:val="18"/>
          <w:color w:val="auto"/>
        </w:rPr>
        <w:t>.</w:t>
      </w:r>
    </w:p>
    <w:p>
      <w:pPr>
        <w:spacing w:after="0" w:line="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4"/>
          <w:szCs w:val="24"/>
          <w:color w:val="auto"/>
        </w:rPr>
      </w:pPr>
    </w:p>
    <w:p>
      <w:pPr>
        <w:ind w:left="180" w:right="2080" w:hanging="172"/>
        <w:spacing w:after="0" w:line="260" w:lineRule="auto"/>
        <w:tabs>
          <w:tab w:leader="none" w:pos="34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TRANSITION REPORT PURSUANT TO SECTION 15(d) OF THE SECURITIES EXCHANGE ACT OF 1934 </w:t>
      </w:r>
      <w:r>
        <w:rPr>
          <w:rFonts w:ascii="Times New Roman" w:cs="Times New Roman" w:eastAsia="Times New Roman" w:hAnsi="Times New Roman"/>
          <w:sz w:val="18"/>
          <w:szCs w:val="18"/>
          <w:color w:val="auto"/>
        </w:rPr>
        <w:t>For the transition period from __________________________to __________________________</w:t>
      </w:r>
    </w:p>
    <w:p>
      <w:pPr>
        <w:spacing w:after="0" w:line="204"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001-06351</w:t>
      </w:r>
    </w:p>
    <w:p>
      <w:pPr>
        <w:spacing w:after="0" w:line="256"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63" w:lineRule="exact"/>
        <w:rPr>
          <w:sz w:val="24"/>
          <w:szCs w:val="24"/>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Full title of the plan and the address of the plan, if different from that of the issuer named below:</w:t>
      </w:r>
    </w:p>
    <w:p>
      <w:pPr>
        <w:spacing w:after="0" w:line="34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The Lilly Employee 401(k) Plan</w:t>
      </w:r>
    </w:p>
    <w:p>
      <w:pPr>
        <w:spacing w:after="0" w:line="7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The Savings Plan for Lilly Affiliate Employees in Puerto Rico</w:t>
      </w:r>
    </w:p>
    <w:p>
      <w:pPr>
        <w:spacing w:after="0" w:line="57" w:lineRule="exact"/>
        <w:rPr>
          <w:sz w:val="24"/>
          <w:szCs w:val="24"/>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B.</w:t>
        <w:tab/>
        <w:t>Name of issuer of the securities held pursuant to the plan and the address of its principal executive office:</w:t>
      </w:r>
    </w:p>
    <w:p>
      <w:pPr>
        <w:spacing w:after="0" w:line="5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Eli Lilly and Company</w:t>
      </w:r>
    </w:p>
    <w:p>
      <w:pPr>
        <w:spacing w:after="0" w:line="3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Lilly Corporate Center</w:t>
      </w:r>
    </w:p>
    <w:p>
      <w:pPr>
        <w:spacing w:after="0" w:line="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Indianapolis, Indiana 46285</w:t>
      </w:r>
    </w:p>
    <w:p>
      <w:pPr>
        <w:spacing w:after="0" w:line="232"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auto"/>
        </w:rPr>
        <w:t>REQUIRED INFORMATION</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statements shall be furnished for the plan:</w:t>
      </w:r>
    </w:p>
    <w:p>
      <w:pPr>
        <w:spacing w:after="0" w:line="239" w:lineRule="exact"/>
        <w:rPr>
          <w:sz w:val="24"/>
          <w:szCs w:val="24"/>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Lilly Employee 401(k) Plan and The Savings Plan for Lilly Affiliate Employees in Puerto Rico (the Plans) are subject to the requirements of the Employee Retirement Income Security Act of 1974 (ERISA). Attached hereto are copies of the most recent financial statements and schedule of the Plans prepared in accordance with the financial reporting requirements of ERISA.</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40"/>
          </w:cols>
          <w:pgMar w:left="320" w:top="1440" w:right="5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5"/>
          <w:szCs w:val="25"/>
          <w:b w:val="1"/>
          <w:bCs w:val="1"/>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The Savings Plan for Lilly Affiliate Employees in Puerto Rico</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Financial Statements and Supplemental Schedules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December 31, 2023 and 2022 and for the Year Ended December 31, 2023</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Table of Contents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48"/>
        </w:trPr>
        <w:tc>
          <w:tcPr>
            <w:tcW w:w="99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230"/>
        </w:trPr>
        <w:tc>
          <w:tcPr>
            <w:tcW w:w="9900" w:type="dxa"/>
            <w:vAlign w:val="bottom"/>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Financial Statements</w:t>
            </w:r>
          </w:p>
        </w:tc>
        <w:tc>
          <w:tcPr>
            <w:tcW w:w="460" w:type="dxa"/>
            <w:vAlign w:val="bottom"/>
          </w:tcPr>
          <w:p>
            <w:pPr>
              <w:spacing w:after="0"/>
              <w:rPr>
                <w:sz w:val="19"/>
                <w:szCs w:val="19"/>
                <w:color w:val="auto"/>
              </w:rPr>
            </w:pPr>
          </w:p>
        </w:tc>
      </w:tr>
      <w:tr>
        <w:trPr>
          <w:trHeight w:val="373"/>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Statements of Net Assets Available for Benefits - 2023</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Statements of Net Assets Available for Benefits - 2022</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Statements of Changes in Net Assets Available for Benefits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to Financial Statements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148"/>
        </w:trPr>
        <w:tc>
          <w:tcPr>
            <w:tcW w:w="99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229"/>
        </w:trPr>
        <w:tc>
          <w:tcPr>
            <w:tcW w:w="9900" w:type="dxa"/>
            <w:vAlign w:val="bottom"/>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Supplemental Schedules</w:t>
            </w:r>
          </w:p>
        </w:tc>
        <w:tc>
          <w:tcPr>
            <w:tcW w:w="460" w:type="dxa"/>
            <w:vAlign w:val="bottom"/>
          </w:tcPr>
          <w:p>
            <w:pPr>
              <w:spacing w:after="0"/>
              <w:rPr>
                <w:sz w:val="19"/>
                <w:szCs w:val="19"/>
                <w:color w:val="auto"/>
              </w:rPr>
            </w:pPr>
          </w:p>
        </w:tc>
      </w:tr>
      <w:tr>
        <w:trPr>
          <w:trHeight w:val="324"/>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Schedule of Assets (Held at End of Year) -</w:t>
            </w:r>
          </w:p>
        </w:tc>
        <w:tc>
          <w:tcPr>
            <w:tcW w:w="460" w:type="dxa"/>
            <w:vAlign w:val="bottom"/>
          </w:tcPr>
          <w:p>
            <w:pPr>
              <w:spacing w:after="0"/>
              <w:rPr>
                <w:sz w:val="24"/>
                <w:szCs w:val="24"/>
                <w:color w:val="auto"/>
              </w:rPr>
            </w:pPr>
          </w:p>
        </w:tc>
      </w:tr>
      <w:tr>
        <w:trPr>
          <w:trHeight w:val="238"/>
        </w:trPr>
        <w:tc>
          <w:tcPr>
            <w:tcW w:w="9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Lilly Employee 401(k) Plan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180"/>
        </w:trPr>
        <w:tc>
          <w:tcPr>
            <w:tcW w:w="9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Schedule of Assets (Held at End of Year) -</w:t>
            </w:r>
          </w:p>
        </w:tc>
        <w:tc>
          <w:tcPr>
            <w:tcW w:w="460" w:type="dxa"/>
            <w:vAlign w:val="bottom"/>
          </w:tcPr>
          <w:p>
            <w:pPr>
              <w:spacing w:after="0"/>
              <w:rPr>
                <w:sz w:val="15"/>
                <w:szCs w:val="15"/>
                <w:color w:val="auto"/>
              </w:rPr>
            </w:pPr>
          </w:p>
        </w:tc>
      </w:tr>
      <w:tr>
        <w:trPr>
          <w:trHeight w:val="238"/>
        </w:trPr>
        <w:tc>
          <w:tcPr>
            <w:tcW w:w="9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Savings Plan for Lilly Affiliate Employees in Puerto Rico</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Signatures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23 Consent of Independent Registered Public Accounting Firm</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360"/>
          </w:cols>
          <w:pgMar w:left="760" w:top="948" w:right="7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Report of Independent Registered Public Accounting Firm</w:t>
      </w:r>
    </w:p>
    <w:p>
      <w:pPr>
        <w:spacing w:after="0" w:line="200" w:lineRule="exact"/>
        <w:rPr>
          <w:sz w:val="20"/>
          <w:szCs w:val="20"/>
          <w:color w:val="auto"/>
        </w:rPr>
      </w:pPr>
    </w:p>
    <w:p>
      <w:pPr>
        <w:spacing w:after="0" w:line="2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To the Plan Participants and the Plan Administrator of The Lilly Employee 401(k) Plan and The Savings Plan for Lilly Affiliate Employees in Puerto Rico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Opinion on the Financial Statements</w:t>
      </w:r>
    </w:p>
    <w:p>
      <w:pPr>
        <w:spacing w:after="0" w:line="237"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21"/>
          <w:szCs w:val="21"/>
          <w:color w:val="auto"/>
        </w:rPr>
        <w:t>We have audited the accompanying statements of net assets available for benefits of The Lilly Employee 401(k) Plan and The Savings Plan for Lilly Affiliate Employees in Puerto Rico (the Plans) as of December 31, 2023 and 2022, and the related statements of changes in net assets available for benefits for the year ended December 31, 2023, and the related notes (collectively referred to as the “financial statements”). In our opinion, the financial statements present fairly, in all material respects, the net assets available for benefits of the Plans at December 31, 2023 and 2022, and the changes in their net assets available for benefits for the year ended December 31, 2023, in conformity with U.S. generally accepted accounting principles.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Basis for Opinion</w:t>
      </w:r>
    </w:p>
    <w:p>
      <w:pPr>
        <w:spacing w:after="0" w:line="23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1"/>
          <w:szCs w:val="21"/>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Plans in accordance with the U.S. federal securities laws and the applicable rules and regulations of the Securities and Exchange Commission and the PCAOB.</w:t>
      </w:r>
    </w:p>
    <w:p>
      <w:pPr>
        <w:spacing w:after="0" w:line="189" w:lineRule="exact"/>
        <w:rPr>
          <w:sz w:val="20"/>
          <w:szCs w:val="20"/>
          <w:color w:val="auto"/>
        </w:rPr>
      </w:pPr>
    </w:p>
    <w:p>
      <w:pPr>
        <w:ind w:right="180"/>
        <w:spacing w:after="0" w:line="234" w:lineRule="auto"/>
        <w:rPr>
          <w:sz w:val="20"/>
          <w:szCs w:val="20"/>
          <w:color w:val="auto"/>
        </w:rPr>
      </w:pPr>
      <w:r>
        <w:rPr>
          <w:rFonts w:ascii="Times New Roman" w:cs="Times New Roman" w:eastAsia="Times New Roman" w:hAnsi="Times New Roman"/>
          <w:sz w:val="22"/>
          <w:szCs w:val="22"/>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Plans are not required to have, nor were we engaged to perform, an audit of their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20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Supplemental Schedules Required by ERISA</w:t>
      </w:r>
    </w:p>
    <w:p>
      <w:pPr>
        <w:spacing w:after="0" w:line="224"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22"/>
          <w:szCs w:val="22"/>
          <w:color w:val="auto"/>
        </w:rPr>
        <w:t>The accompanying supplemental schedules of assets (held at end of year) as of December 31, 2023 (referred to as the “supplemental schedules”), have been subjected to audit procedures performed in conjunction with the audits of the Plans’ financial statements. The information in the supplemental schedules is the responsibility of the Plans’ management. Our audit procedures included determining whether the information reconciles to the financial statements or the underlying accounting and other records, as applicable, and performing procedures to test the completeness and accuracy of the information presented in the supplemental schedules. In forming our opinion on the information, we evaluated whether such information, including its form and content, is presented in conformity with the Department of Labor’s Rules and Regulations for Reporting and Disclosure under the Employee Retirement Income</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878" w:right="339" w:bottom="1440" w:gutter="0" w:footer="0" w:header="0"/>
        </w:sectPr>
      </w:pPr>
    </w:p>
    <w:bookmarkStart w:id="3" w:name="page4"/>
    <w:bookmarkEnd w:id="3"/>
    <w:p>
      <w:pPr>
        <w:spacing w:after="0" w:line="258" w:lineRule="auto"/>
        <w:rPr>
          <w:sz w:val="20"/>
          <w:szCs w:val="20"/>
          <w:color w:val="auto"/>
        </w:rPr>
      </w:pPr>
      <w:r>
        <w:rPr>
          <w:rFonts w:ascii="Times New Roman" w:cs="Times New Roman" w:eastAsia="Times New Roman" w:hAnsi="Times New Roman"/>
          <w:sz w:val="22"/>
          <w:szCs w:val="22"/>
          <w:color w:val="auto"/>
        </w:rPr>
        <w:t>Security Act of 1974. In our opinion, the information is fairly stated, in all material respects, in relation to the financial statements as a whole.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Ernst &amp; Young LLP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have served as the Plans’ auditor since at least 1990, but we are unable to determine the specific year.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Indianapolis, Indiana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24,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280"/>
          </w:cols>
          <w:pgMar w:left="320" w:top="882" w:right="12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2"/>
          <w:szCs w:val="22"/>
          <w:color w:val="auto"/>
        </w:rPr>
        <w:t>The Lilly Employee 401(k) Plan and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Savings Plan for Lilly Affiliate Employees in Puerto Rico</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Statements of Net Assets Available for Benefits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The Lilly Employee</w:t>
            </w:r>
          </w:p>
        </w:tc>
        <w:tc>
          <w:tcPr>
            <w:tcW w:w="480" w:type="dxa"/>
            <w:vAlign w:val="bottom"/>
          </w:tcPr>
          <w:p>
            <w:pPr>
              <w:spacing w:after="0"/>
              <w:rPr>
                <w:sz w:val="17"/>
                <w:szCs w:val="17"/>
                <w:color w:val="auto"/>
              </w:rPr>
            </w:pPr>
          </w:p>
        </w:tc>
        <w:tc>
          <w:tcPr>
            <w:tcW w:w="228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The Savings</w:t>
            </w:r>
          </w:p>
        </w:tc>
        <w:tc>
          <w:tcPr>
            <w:tcW w:w="0" w:type="dxa"/>
            <w:vAlign w:val="bottom"/>
          </w:tcPr>
          <w:p>
            <w:pPr>
              <w:spacing w:after="0"/>
              <w:rPr>
                <w:sz w:val="1"/>
                <w:szCs w:val="1"/>
                <w:color w:val="auto"/>
              </w:rPr>
            </w:pPr>
          </w:p>
        </w:tc>
      </w:tr>
      <w:tr>
        <w:trPr>
          <w:trHeight w:val="176"/>
        </w:trPr>
        <w:tc>
          <w:tcPr>
            <w:tcW w:w="5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4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2280" w:type="dxa"/>
            <w:vAlign w:val="bottom"/>
          </w:tcPr>
          <w:p>
            <w:pPr>
              <w:jc w:val="right"/>
              <w:ind w:right="790"/>
              <w:spacing w:after="0" w:line="176" w:lineRule="exact"/>
              <w:rPr>
                <w:sz w:val="20"/>
                <w:szCs w:val="20"/>
                <w:color w:val="auto"/>
              </w:rPr>
            </w:pPr>
            <w:r>
              <w:rPr>
                <w:rFonts w:ascii="Times New Roman" w:cs="Times New Roman" w:eastAsia="Times New Roman" w:hAnsi="Times New Roman"/>
                <w:sz w:val="18"/>
                <w:szCs w:val="18"/>
                <w:b w:val="1"/>
                <w:bCs w:val="1"/>
                <w:color w:val="auto"/>
              </w:rPr>
              <w:t>Plan for Lilly</w:t>
            </w:r>
          </w:p>
        </w:tc>
        <w:tc>
          <w:tcPr>
            <w:tcW w:w="0" w:type="dxa"/>
            <w:vAlign w:val="bottom"/>
          </w:tcPr>
          <w:p>
            <w:pPr>
              <w:spacing w:after="0"/>
              <w:rPr>
                <w:sz w:val="1"/>
                <w:szCs w:val="1"/>
                <w:color w:val="auto"/>
              </w:rPr>
            </w:pPr>
          </w:p>
        </w:tc>
      </w:tr>
      <w:tr>
        <w:trPr>
          <w:trHeight w:val="243"/>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21"/>
                <w:szCs w:val="21"/>
                <w:color w:val="auto"/>
              </w:rPr>
            </w:pPr>
          </w:p>
        </w:tc>
        <w:tc>
          <w:tcPr>
            <w:tcW w:w="24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401(k) Plan</w:t>
            </w: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Affiliate Employees in Puerto Rico</w:t>
            </w:r>
          </w:p>
        </w:tc>
        <w:tc>
          <w:tcPr>
            <w:tcW w:w="0" w:type="dxa"/>
            <w:vAlign w:val="bottom"/>
          </w:tcPr>
          <w:p>
            <w:pPr>
              <w:spacing w:after="0"/>
              <w:rPr>
                <w:sz w:val="1"/>
                <w:szCs w:val="1"/>
                <w:color w:val="auto"/>
              </w:rPr>
            </w:pPr>
          </w:p>
        </w:tc>
      </w:tr>
      <w:tr>
        <w:trPr>
          <w:trHeight w:val="205"/>
        </w:trPr>
        <w:tc>
          <w:tcPr>
            <w:tcW w:w="5060" w:type="dxa"/>
            <w:vAlign w:val="bottom"/>
            <w:vMerge w:val="continue"/>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0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Investments - Plan's interest in net assets of The Lilly Employee</w:t>
            </w:r>
          </w:p>
        </w:tc>
        <w:tc>
          <w:tcPr>
            <w:tcW w:w="2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Savings Plan Master Trust: (Notes 3 and 4)</w:t>
            </w: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336,555,962</w:t>
            </w:r>
          </w:p>
        </w:tc>
        <w:tc>
          <w:tcPr>
            <w:tcW w:w="44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5,070,185</w:t>
            </w:r>
          </w:p>
        </w:tc>
        <w:tc>
          <w:tcPr>
            <w:tcW w:w="0" w:type="dxa"/>
            <w:vAlign w:val="bottom"/>
          </w:tcPr>
          <w:p>
            <w:pPr>
              <w:spacing w:after="0"/>
              <w:rPr>
                <w:sz w:val="1"/>
                <w:szCs w:val="1"/>
                <w:color w:val="auto"/>
              </w:rPr>
            </w:pPr>
          </w:p>
        </w:tc>
      </w:tr>
      <w:tr>
        <w:trPr>
          <w:trHeight w:val="229"/>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Self-directed brokerage accounts</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293,536,365</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2,080,270</w:t>
            </w:r>
          </w:p>
        </w:tc>
        <w:tc>
          <w:tcPr>
            <w:tcW w:w="0" w:type="dxa"/>
            <w:vAlign w:val="bottom"/>
          </w:tcPr>
          <w:p>
            <w:pPr>
              <w:spacing w:after="0"/>
              <w:rPr>
                <w:sz w:val="1"/>
                <w:szCs w:val="1"/>
                <w:color w:val="auto"/>
              </w:rPr>
            </w:pPr>
          </w:p>
        </w:tc>
      </w:tr>
      <w:tr>
        <w:trPr>
          <w:trHeight w:val="229"/>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Eli Lilly and Company common stock</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2,666,987,306</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173,154,575</w:t>
            </w:r>
          </w:p>
        </w:tc>
        <w:tc>
          <w:tcPr>
            <w:tcW w:w="0" w:type="dxa"/>
            <w:vAlign w:val="bottom"/>
          </w:tcPr>
          <w:p>
            <w:pPr>
              <w:spacing w:after="0"/>
              <w:rPr>
                <w:sz w:val="1"/>
                <w:szCs w:val="1"/>
                <w:color w:val="auto"/>
              </w:rPr>
            </w:pPr>
          </w:p>
        </w:tc>
      </w:tr>
      <w:tr>
        <w:trPr>
          <w:trHeight w:val="230"/>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 common/collective trusts</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6,860,538,728</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208,645,433</w:t>
            </w:r>
          </w:p>
        </w:tc>
        <w:tc>
          <w:tcPr>
            <w:tcW w:w="0" w:type="dxa"/>
            <w:vAlign w:val="bottom"/>
          </w:tcPr>
          <w:p>
            <w:pPr>
              <w:spacing w:after="0"/>
              <w:rPr>
                <w:sz w:val="1"/>
                <w:szCs w:val="1"/>
                <w:color w:val="auto"/>
              </w:rPr>
            </w:pPr>
          </w:p>
        </w:tc>
      </w:tr>
      <w:tr>
        <w:trPr>
          <w:trHeight w:val="229"/>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Synthetic GICs, at contract value</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932,994,905</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50,131,737</w:t>
            </w:r>
          </w:p>
        </w:tc>
        <w:tc>
          <w:tcPr>
            <w:tcW w:w="0" w:type="dxa"/>
            <w:vAlign w:val="bottom"/>
          </w:tcPr>
          <w:p>
            <w:pPr>
              <w:spacing w:after="0"/>
              <w:rPr>
                <w:sz w:val="1"/>
                <w:szCs w:val="1"/>
                <w:color w:val="auto"/>
              </w:rPr>
            </w:pPr>
          </w:p>
        </w:tc>
      </w:tr>
      <w:tr>
        <w:trPr>
          <w:trHeight w:val="230"/>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income and pending trades - Sales</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3,340,013</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141,546</w:t>
            </w:r>
          </w:p>
        </w:tc>
        <w:tc>
          <w:tcPr>
            <w:tcW w:w="0" w:type="dxa"/>
            <w:vAlign w:val="bottom"/>
          </w:tcPr>
          <w:p>
            <w:pPr>
              <w:spacing w:after="0"/>
              <w:rPr>
                <w:sz w:val="1"/>
                <w:szCs w:val="1"/>
                <w:color w:val="auto"/>
              </w:rPr>
            </w:pPr>
          </w:p>
        </w:tc>
      </w:tr>
      <w:tr>
        <w:trPr>
          <w:trHeight w:val="234"/>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pending trades - Purchases</w:t>
            </w:r>
          </w:p>
        </w:tc>
        <w:tc>
          <w:tcPr>
            <w:tcW w:w="2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(4,926,436)</w:t>
            </w:r>
          </w:p>
        </w:tc>
        <w:tc>
          <w:tcPr>
            <w:tcW w:w="4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(115,913)</w:t>
            </w:r>
          </w:p>
        </w:tc>
        <w:tc>
          <w:tcPr>
            <w:tcW w:w="0" w:type="dxa"/>
            <w:vAlign w:val="bottom"/>
          </w:tcPr>
          <w:p>
            <w:pPr>
              <w:spacing w:after="0"/>
              <w:rPr>
                <w:sz w:val="1"/>
                <w:szCs w:val="1"/>
                <w:color w:val="auto"/>
              </w:rPr>
            </w:pPr>
          </w:p>
        </w:tc>
      </w:tr>
      <w:tr>
        <w:trPr>
          <w:trHeight w:val="371"/>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Plan's total interest in The Lilly Employee</w:t>
            </w: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Savings Plan Master Trust</w:t>
            </w:r>
          </w:p>
        </w:tc>
        <w:tc>
          <w:tcPr>
            <w:tcW w:w="24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11,089,026,843</w:t>
            </w: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439,107,833</w:t>
            </w:r>
          </w:p>
        </w:tc>
        <w:tc>
          <w:tcPr>
            <w:tcW w:w="0" w:type="dxa"/>
            <w:vAlign w:val="bottom"/>
          </w:tcPr>
          <w:p>
            <w:pPr>
              <w:spacing w:after="0"/>
              <w:rPr>
                <w:sz w:val="1"/>
                <w:szCs w:val="1"/>
                <w:color w:val="auto"/>
              </w:rPr>
            </w:pPr>
          </w:p>
        </w:tc>
      </w:tr>
      <w:tr>
        <w:trPr>
          <w:trHeight w:val="481"/>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Receivables:</w:t>
            </w: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Employer contribution</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18,106,166</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424,706</w:t>
            </w:r>
          </w:p>
        </w:tc>
        <w:tc>
          <w:tcPr>
            <w:tcW w:w="0" w:type="dxa"/>
            <w:vAlign w:val="bottom"/>
          </w:tcPr>
          <w:p>
            <w:pPr>
              <w:spacing w:after="0"/>
              <w:rPr>
                <w:sz w:val="1"/>
                <w:szCs w:val="1"/>
                <w:color w:val="auto"/>
              </w:rPr>
            </w:pPr>
          </w:p>
        </w:tc>
      </w:tr>
      <w:tr>
        <w:trPr>
          <w:trHeight w:val="234"/>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2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26,081,722</w:t>
            </w:r>
          </w:p>
        </w:tc>
        <w:tc>
          <w:tcPr>
            <w:tcW w:w="4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2,338,156</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Total Receivables</w:t>
            </w: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44,187,888</w:t>
            </w:r>
          </w:p>
        </w:tc>
        <w:tc>
          <w:tcPr>
            <w:tcW w:w="4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2,762,862</w:t>
            </w:r>
          </w:p>
        </w:tc>
        <w:tc>
          <w:tcPr>
            <w:tcW w:w="0" w:type="dxa"/>
            <w:vAlign w:val="bottom"/>
          </w:tcPr>
          <w:p>
            <w:pPr>
              <w:spacing w:after="0"/>
              <w:rPr>
                <w:sz w:val="1"/>
                <w:szCs w:val="1"/>
                <w:color w:val="auto"/>
              </w:rPr>
            </w:pPr>
          </w:p>
        </w:tc>
      </w:tr>
      <w:tr>
        <w:trPr>
          <w:trHeight w:val="48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11,133,214,731</w:t>
            </w:r>
          </w:p>
        </w:tc>
        <w:tc>
          <w:tcPr>
            <w:tcW w:w="440" w:type="dxa"/>
            <w:vAlign w:val="bottom"/>
          </w:tcPr>
          <w:p>
            <w:pPr>
              <w:spacing w:after="0"/>
              <w:rPr>
                <w:sz w:val="24"/>
                <w:szCs w:val="24"/>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441,870,695</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00"/>
          </w:cols>
          <w:pgMar w:left="340" w:top="922" w:right="105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22"/>
          <w:szCs w:val="22"/>
          <w:color w:val="auto"/>
        </w:rPr>
        <w:t>The Lilly Employee 401(k) Plan and</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The Savings Plan for Lilly Affiliate Employees in Puerto Rico</w:t>
      </w: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Statements of Net Assets Available for Benefits</w:t>
      </w: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The Lilly Employee</w:t>
            </w:r>
          </w:p>
        </w:tc>
        <w:tc>
          <w:tcPr>
            <w:tcW w:w="480" w:type="dxa"/>
            <w:vAlign w:val="bottom"/>
          </w:tcPr>
          <w:p>
            <w:pPr>
              <w:spacing w:after="0"/>
              <w:rPr>
                <w:sz w:val="17"/>
                <w:szCs w:val="17"/>
                <w:color w:val="auto"/>
              </w:rPr>
            </w:pPr>
          </w:p>
        </w:tc>
        <w:tc>
          <w:tcPr>
            <w:tcW w:w="230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The Savings</w:t>
            </w:r>
          </w:p>
        </w:tc>
        <w:tc>
          <w:tcPr>
            <w:tcW w:w="0" w:type="dxa"/>
            <w:vAlign w:val="bottom"/>
          </w:tcPr>
          <w:p>
            <w:pPr>
              <w:spacing w:after="0"/>
              <w:rPr>
                <w:sz w:val="1"/>
                <w:szCs w:val="1"/>
                <w:color w:val="auto"/>
              </w:rPr>
            </w:pPr>
          </w:p>
        </w:tc>
      </w:tr>
      <w:tr>
        <w:trPr>
          <w:trHeight w:val="175"/>
        </w:trPr>
        <w:tc>
          <w:tcPr>
            <w:tcW w:w="5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6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2300" w:type="dxa"/>
            <w:vAlign w:val="bottom"/>
          </w:tcPr>
          <w:p>
            <w:pPr>
              <w:jc w:val="right"/>
              <w:ind w:right="810"/>
              <w:spacing w:after="0" w:line="176" w:lineRule="exact"/>
              <w:rPr>
                <w:sz w:val="20"/>
                <w:szCs w:val="20"/>
                <w:color w:val="auto"/>
              </w:rPr>
            </w:pPr>
            <w:r>
              <w:rPr>
                <w:rFonts w:ascii="Times New Roman" w:cs="Times New Roman" w:eastAsia="Times New Roman" w:hAnsi="Times New Roman"/>
                <w:sz w:val="18"/>
                <w:szCs w:val="18"/>
                <w:b w:val="1"/>
                <w:bCs w:val="1"/>
                <w:color w:val="auto"/>
              </w:rPr>
              <w:t>Plan for Lilly</w:t>
            </w:r>
          </w:p>
        </w:tc>
        <w:tc>
          <w:tcPr>
            <w:tcW w:w="0" w:type="dxa"/>
            <w:vAlign w:val="bottom"/>
          </w:tcPr>
          <w:p>
            <w:pPr>
              <w:spacing w:after="0"/>
              <w:rPr>
                <w:sz w:val="1"/>
                <w:szCs w:val="1"/>
                <w:color w:val="auto"/>
              </w:rPr>
            </w:pPr>
          </w:p>
        </w:tc>
      </w:tr>
      <w:tr>
        <w:trPr>
          <w:trHeight w:val="243"/>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21"/>
                <w:szCs w:val="21"/>
                <w:color w:val="auto"/>
              </w:rPr>
            </w:pPr>
          </w:p>
        </w:tc>
        <w:tc>
          <w:tcPr>
            <w:tcW w:w="26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401(k) Plan</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Affiliate Employees in Puerto Rico</w:t>
            </w:r>
          </w:p>
        </w:tc>
        <w:tc>
          <w:tcPr>
            <w:tcW w:w="0" w:type="dxa"/>
            <w:vAlign w:val="bottom"/>
          </w:tcPr>
          <w:p>
            <w:pPr>
              <w:spacing w:after="0"/>
              <w:rPr>
                <w:sz w:val="1"/>
                <w:szCs w:val="1"/>
                <w:color w:val="auto"/>
              </w:rPr>
            </w:pPr>
          </w:p>
        </w:tc>
      </w:tr>
      <w:tr>
        <w:trPr>
          <w:trHeight w:val="205"/>
        </w:trPr>
        <w:tc>
          <w:tcPr>
            <w:tcW w:w="5060" w:type="dxa"/>
            <w:vAlign w:val="bottom"/>
            <w:vMerge w:val="continue"/>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0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Investments - Plan's interest in net assets of The Lilly Employee</w:t>
            </w:r>
          </w:p>
        </w:tc>
        <w:tc>
          <w:tcPr>
            <w:tcW w:w="2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Savings Plan Master Trust: (Notes 3 and 4)</w:t>
            </w: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298,728,521</w:t>
            </w:r>
          </w:p>
        </w:tc>
        <w:tc>
          <w:tcPr>
            <w:tcW w:w="66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4,068,071</w:t>
            </w:r>
          </w:p>
        </w:tc>
        <w:tc>
          <w:tcPr>
            <w:tcW w:w="0" w:type="dxa"/>
            <w:vAlign w:val="bottom"/>
          </w:tcPr>
          <w:p>
            <w:pPr>
              <w:spacing w:after="0"/>
              <w:rPr>
                <w:sz w:val="1"/>
                <w:szCs w:val="1"/>
                <w:color w:val="auto"/>
              </w:rPr>
            </w:pPr>
          </w:p>
        </w:tc>
      </w:tr>
      <w:tr>
        <w:trPr>
          <w:trHeight w:val="229"/>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Self-directed brokerage accounts</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242,771,036</w:t>
            </w: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1,503,771</w:t>
            </w:r>
          </w:p>
        </w:tc>
        <w:tc>
          <w:tcPr>
            <w:tcW w:w="0" w:type="dxa"/>
            <w:vAlign w:val="bottom"/>
          </w:tcPr>
          <w:p>
            <w:pPr>
              <w:spacing w:after="0"/>
              <w:rPr>
                <w:sz w:val="1"/>
                <w:szCs w:val="1"/>
                <w:color w:val="auto"/>
              </w:rPr>
            </w:pPr>
          </w:p>
        </w:tc>
      </w:tr>
      <w:tr>
        <w:trPr>
          <w:trHeight w:val="230"/>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Eli Lilly and Company common stock</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1,758,747,132</w:t>
            </w: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108,941,431</w:t>
            </w:r>
          </w:p>
        </w:tc>
        <w:tc>
          <w:tcPr>
            <w:tcW w:w="0" w:type="dxa"/>
            <w:vAlign w:val="bottom"/>
          </w:tcPr>
          <w:p>
            <w:pPr>
              <w:spacing w:after="0"/>
              <w:rPr>
                <w:sz w:val="1"/>
                <w:szCs w:val="1"/>
                <w:color w:val="auto"/>
              </w:rPr>
            </w:pPr>
          </w:p>
        </w:tc>
      </w:tr>
      <w:tr>
        <w:trPr>
          <w:trHeight w:val="229"/>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 common/collective trusts</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5,525,859,731</w:t>
            </w: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166,718,664</w:t>
            </w:r>
          </w:p>
        </w:tc>
        <w:tc>
          <w:tcPr>
            <w:tcW w:w="0" w:type="dxa"/>
            <w:vAlign w:val="bottom"/>
          </w:tcPr>
          <w:p>
            <w:pPr>
              <w:spacing w:after="0"/>
              <w:rPr>
                <w:sz w:val="1"/>
                <w:szCs w:val="1"/>
                <w:color w:val="auto"/>
              </w:rPr>
            </w:pPr>
          </w:p>
        </w:tc>
      </w:tr>
      <w:tr>
        <w:trPr>
          <w:trHeight w:val="229"/>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Synthetic GICs, at contract value</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1,012,590,902</w:t>
            </w: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52,177,045</w:t>
            </w:r>
          </w:p>
        </w:tc>
        <w:tc>
          <w:tcPr>
            <w:tcW w:w="0" w:type="dxa"/>
            <w:vAlign w:val="bottom"/>
          </w:tcPr>
          <w:p>
            <w:pPr>
              <w:spacing w:after="0"/>
              <w:rPr>
                <w:sz w:val="1"/>
                <w:szCs w:val="1"/>
                <w:color w:val="auto"/>
              </w:rPr>
            </w:pPr>
          </w:p>
        </w:tc>
      </w:tr>
      <w:tr>
        <w:trPr>
          <w:trHeight w:val="230"/>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income and pending trades - Sales</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1,146,291</w:t>
            </w: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20,240</w:t>
            </w:r>
          </w:p>
        </w:tc>
        <w:tc>
          <w:tcPr>
            <w:tcW w:w="0" w:type="dxa"/>
            <w:vAlign w:val="bottom"/>
          </w:tcPr>
          <w:p>
            <w:pPr>
              <w:spacing w:after="0"/>
              <w:rPr>
                <w:sz w:val="1"/>
                <w:szCs w:val="1"/>
                <w:color w:val="auto"/>
              </w:rPr>
            </w:pPr>
          </w:p>
        </w:tc>
      </w:tr>
      <w:tr>
        <w:trPr>
          <w:trHeight w:val="234"/>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pending trades - Purchases</w:t>
            </w:r>
          </w:p>
        </w:tc>
        <w:tc>
          <w:tcPr>
            <w:tcW w:w="2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(1,533,745)</w:t>
            </w:r>
          </w:p>
        </w:tc>
        <w:tc>
          <w:tcPr>
            <w:tcW w:w="6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0" w:type="dxa"/>
            <w:vAlign w:val="bottom"/>
          </w:tcPr>
          <w:p>
            <w:pPr>
              <w:spacing w:after="0"/>
              <w:rPr>
                <w:sz w:val="1"/>
                <w:szCs w:val="1"/>
                <w:color w:val="auto"/>
              </w:rPr>
            </w:pPr>
          </w:p>
        </w:tc>
      </w:tr>
      <w:tr>
        <w:trPr>
          <w:trHeight w:val="371"/>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Plan's total interest in The Lilly Employee</w:t>
            </w: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Savings Plan Master Trust</w:t>
            </w:r>
          </w:p>
        </w:tc>
        <w:tc>
          <w:tcPr>
            <w:tcW w:w="24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8,838,309,868</w:t>
            </w: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333,421,486</w:t>
            </w:r>
          </w:p>
        </w:tc>
        <w:tc>
          <w:tcPr>
            <w:tcW w:w="0" w:type="dxa"/>
            <w:vAlign w:val="bottom"/>
          </w:tcPr>
          <w:p>
            <w:pPr>
              <w:spacing w:after="0"/>
              <w:rPr>
                <w:sz w:val="1"/>
                <w:szCs w:val="1"/>
                <w:color w:val="auto"/>
              </w:rPr>
            </w:pPr>
          </w:p>
        </w:tc>
      </w:tr>
      <w:tr>
        <w:trPr>
          <w:trHeight w:val="481"/>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Receivables:</w:t>
            </w: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Employer contribution</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14,513,387</w:t>
            </w: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453,988</w:t>
            </w:r>
          </w:p>
        </w:tc>
        <w:tc>
          <w:tcPr>
            <w:tcW w:w="0" w:type="dxa"/>
            <w:vAlign w:val="bottom"/>
          </w:tcPr>
          <w:p>
            <w:pPr>
              <w:spacing w:after="0"/>
              <w:rPr>
                <w:sz w:val="1"/>
                <w:szCs w:val="1"/>
                <w:color w:val="auto"/>
              </w:rPr>
            </w:pPr>
          </w:p>
        </w:tc>
      </w:tr>
      <w:tr>
        <w:trPr>
          <w:trHeight w:val="234"/>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2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22,432,099</w:t>
            </w:r>
          </w:p>
        </w:tc>
        <w:tc>
          <w:tcPr>
            <w:tcW w:w="6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1,990,660</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Total Receivables</w:t>
            </w: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36,945,486</w:t>
            </w:r>
          </w:p>
        </w:tc>
        <w:tc>
          <w:tcPr>
            <w:tcW w:w="6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2,444,648</w:t>
            </w:r>
          </w:p>
        </w:tc>
        <w:tc>
          <w:tcPr>
            <w:tcW w:w="0" w:type="dxa"/>
            <w:vAlign w:val="bottom"/>
          </w:tcPr>
          <w:p>
            <w:pPr>
              <w:spacing w:after="0"/>
              <w:rPr>
                <w:sz w:val="1"/>
                <w:szCs w:val="1"/>
                <w:color w:val="auto"/>
              </w:rPr>
            </w:pPr>
          </w:p>
        </w:tc>
      </w:tr>
      <w:tr>
        <w:trPr>
          <w:trHeight w:val="48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8,875,255,354</w:t>
            </w:r>
          </w:p>
        </w:tc>
        <w:tc>
          <w:tcPr>
            <w:tcW w:w="660" w:type="dxa"/>
            <w:vAlign w:val="bottom"/>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335,866,134</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40"/>
          </w:cols>
          <w:pgMar w:left="580" w:top="922" w:right="57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color w:val="auto"/>
        </w:rPr>
        <w:t>The Lilly Employee 401(k) Plan and</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The Savings Plan for Lilly Affiliate Employees in Puerto Rico</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Statements of Changes in Net Assets Available for Benefits</w:t>
      </w:r>
    </w:p>
    <w:p>
      <w:pPr>
        <w:spacing w:after="0" w:line="200" w:lineRule="exact"/>
        <w:rPr>
          <w:sz w:val="20"/>
          <w:szCs w:val="20"/>
          <w:color w:val="auto"/>
        </w:rPr>
      </w:pPr>
    </w:p>
    <w:p>
      <w:pPr>
        <w:spacing w:after="0" w:line="371" w:lineRule="exact"/>
        <w:rPr>
          <w:sz w:val="20"/>
          <w:szCs w:val="20"/>
          <w:color w:val="auto"/>
        </w:rPr>
      </w:pPr>
    </w:p>
    <w:p>
      <w:pPr>
        <w:jc w:val="right"/>
        <w:ind w:right="979"/>
        <w:spacing w:after="0"/>
        <w:rPr>
          <w:sz w:val="20"/>
          <w:szCs w:val="20"/>
          <w:color w:val="auto"/>
        </w:rPr>
      </w:pPr>
      <w:r>
        <w:rPr>
          <w:rFonts w:ascii="Times New Roman" w:cs="Times New Roman" w:eastAsia="Times New Roman" w:hAnsi="Times New Roman"/>
          <w:sz w:val="20"/>
          <w:szCs w:val="20"/>
          <w:b w:val="1"/>
          <w:bCs w:val="1"/>
          <w:color w:val="auto"/>
        </w:rPr>
        <w:t>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25400</wp:posOffset>
            </wp:positionV>
            <wp:extent cx="29229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ectPr>
          <w:pgSz w:w="11900" w:h="16838" w:orient="portrait"/>
          <w:cols w:equalWidth="0" w:num="1">
            <w:col w:w="9019"/>
          </w:cols>
          <w:pgMar w:left="1440" w:top="12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b w:val="1"/>
          <w:bCs w:val="1"/>
          <w:color w:val="auto"/>
        </w:rPr>
        <w:t>The Lilly Employee</w:t>
      </w:r>
    </w:p>
    <w:p>
      <w:pPr>
        <w:spacing w:after="0" w:line="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13335</wp:posOffset>
            </wp:positionV>
            <wp:extent cx="10541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The Savings</w:t>
      </w:r>
    </w:p>
    <w:p>
      <w:pPr>
        <w:ind w:left="320"/>
        <w:spacing w:after="0" w:line="219" w:lineRule="auto"/>
        <w:rPr>
          <w:sz w:val="20"/>
          <w:szCs w:val="20"/>
          <w:color w:val="auto"/>
        </w:rPr>
      </w:pPr>
      <w:r>
        <w:rPr>
          <w:rFonts w:ascii="Times New Roman" w:cs="Times New Roman" w:eastAsia="Times New Roman" w:hAnsi="Times New Roman"/>
          <w:sz w:val="18"/>
          <w:szCs w:val="18"/>
          <w:b w:val="1"/>
          <w:bCs w:val="1"/>
          <w:color w:val="auto"/>
        </w:rPr>
        <w:t>Plan for Lilly</w:t>
      </w:r>
    </w:p>
    <w:p>
      <w:pPr>
        <w:jc w:val="center"/>
        <w:ind w:right="259"/>
        <w:spacing w:after="0" w:line="215" w:lineRule="auto"/>
        <w:rPr>
          <w:sz w:val="20"/>
          <w:szCs w:val="20"/>
          <w:color w:val="auto"/>
        </w:rPr>
      </w:pPr>
      <w:r>
        <w:rPr>
          <w:rFonts w:ascii="Times New Roman" w:cs="Times New Roman" w:eastAsia="Times New Roman" w:hAnsi="Times New Roman"/>
          <w:sz w:val="17"/>
          <w:szCs w:val="17"/>
          <w:b w:val="1"/>
          <w:bCs w:val="1"/>
          <w:color w:val="auto"/>
        </w:rPr>
        <w:t>Affiliate Employees in</w:t>
      </w:r>
    </w:p>
    <w:p>
      <w:pPr>
        <w:spacing w:after="0" w:line="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Puerto 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4445</wp:posOffset>
            </wp:positionV>
            <wp:extent cx="14147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40" w:space="720"/>
            <w:col w:w="1959"/>
          </w:cols>
          <w:pgMar w:left="1440" w:top="1246" w:right="1440" w:bottom="1440" w:gutter="0" w:footer="0" w:header="0"/>
          <w:type w:val="continuous"/>
        </w:sectPr>
      </w:pP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Additions:</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Contributions:</w:t>
      </w:r>
    </w:p>
    <w:p>
      <w:pPr>
        <w:spacing w:after="0" w:line="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Participants</w:t>
      </w:r>
    </w:p>
    <w:p>
      <w:pPr>
        <w:spacing w:after="0" w:line="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Employer</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Total Contributions</w:t>
      </w:r>
    </w:p>
    <w:p>
      <w:pPr>
        <w:spacing w:after="0" w:line="198" w:lineRule="exact"/>
        <w:rPr>
          <w:sz w:val="20"/>
          <w:szCs w:val="20"/>
          <w:color w:val="auto"/>
        </w:rPr>
      </w:pPr>
    </w:p>
    <w:p>
      <w:pPr>
        <w:ind w:left="160"/>
        <w:spacing w:after="0" w:line="263" w:lineRule="auto"/>
        <w:rPr>
          <w:sz w:val="20"/>
          <w:szCs w:val="20"/>
          <w:color w:val="auto"/>
        </w:rPr>
      </w:pPr>
      <w:r>
        <w:rPr>
          <w:rFonts w:ascii="Times New Roman" w:cs="Times New Roman" w:eastAsia="Times New Roman" w:hAnsi="Times New Roman"/>
          <w:sz w:val="17"/>
          <w:szCs w:val="17"/>
          <w:color w:val="auto"/>
        </w:rPr>
        <w:t>Interest in The Lilly Employee Savings Plan Master Trust investment income, net of administrative fees (Note 3)</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Additions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Deductions:</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Participant withdrawals</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Administrative expenses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Deductions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Increase Prior to Transfers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from Other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Increase</w:t>
      </w:r>
    </w:p>
    <w:p>
      <w:pPr>
        <w:spacing w:after="0" w:line="225" w:lineRule="exact"/>
        <w:rPr>
          <w:sz w:val="20"/>
          <w:szCs w:val="20"/>
          <w:color w:val="auto"/>
        </w:rPr>
      </w:pPr>
    </w:p>
    <w:p>
      <w:pPr>
        <w:ind w:right="540"/>
        <w:spacing w:after="0" w:line="344" w:lineRule="auto"/>
        <w:rPr>
          <w:sz w:val="20"/>
          <w:szCs w:val="20"/>
          <w:color w:val="auto"/>
        </w:rPr>
      </w:pPr>
      <w:r>
        <w:rPr>
          <w:rFonts w:ascii="Times New Roman" w:cs="Times New Roman" w:eastAsia="Times New Roman" w:hAnsi="Times New Roman"/>
          <w:sz w:val="18"/>
          <w:szCs w:val="18"/>
          <w:color w:val="auto"/>
        </w:rPr>
        <w:t>Net assets available for benefits at beginning of year Net assets available for benefits at end of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hanging="659"/>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329,010,595</w:t>
      </w:r>
    </w:p>
    <w:p>
      <w:pPr>
        <w:spacing w:after="0" w:line="6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152,833,770</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481,844,365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-256540</wp:posOffset>
            </wp:positionV>
            <wp:extent cx="10541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367" w:lineRule="exact"/>
        <w:rPr>
          <w:sz w:val="20"/>
          <w:szCs w:val="20"/>
          <w:color w:val="auto"/>
        </w:rPr>
      </w:pPr>
    </w:p>
    <w:p>
      <w:pPr>
        <w:jc w:val="right"/>
        <w:ind w:right="97"/>
        <w:spacing w:after="0"/>
        <w:rPr>
          <w:sz w:val="20"/>
          <w:szCs w:val="20"/>
          <w:color w:val="auto"/>
        </w:rPr>
      </w:pPr>
      <w:r>
        <w:rPr>
          <w:rFonts w:ascii="Times New Roman" w:cs="Times New Roman" w:eastAsia="Times New Roman" w:hAnsi="Times New Roman"/>
          <w:sz w:val="18"/>
          <w:szCs w:val="18"/>
          <w:color w:val="auto"/>
        </w:rPr>
        <w:t>2,308,794,486</w:t>
      </w:r>
    </w:p>
    <w:p>
      <w:pPr>
        <w:spacing w:after="0" w:line="63" w:lineRule="exact"/>
        <w:rPr>
          <w:sz w:val="20"/>
          <w:szCs w:val="20"/>
          <w:color w:val="auto"/>
        </w:rPr>
      </w:pPr>
    </w:p>
    <w:p>
      <w:pPr>
        <w:jc w:val="right"/>
        <w:ind w:right="97"/>
        <w:spacing w:after="0"/>
        <w:rPr>
          <w:sz w:val="20"/>
          <w:szCs w:val="20"/>
          <w:color w:val="auto"/>
        </w:rPr>
      </w:pPr>
      <w:r>
        <w:rPr>
          <w:rFonts w:ascii="Times New Roman" w:cs="Times New Roman" w:eastAsia="Times New Roman" w:hAnsi="Times New Roman"/>
          <w:sz w:val="18"/>
          <w:szCs w:val="18"/>
          <w:color w:val="auto"/>
        </w:rPr>
        <w:t>1,363,495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10541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4100"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2,792,002,346</w:t>
      </w:r>
    </w:p>
    <w:p>
      <w:pPr>
        <w:spacing w:after="0" w:line="200" w:lineRule="exact"/>
        <w:rPr>
          <w:sz w:val="20"/>
          <w:szCs w:val="20"/>
          <w:color w:val="auto"/>
        </w:rPr>
      </w:pPr>
    </w:p>
    <w:p>
      <w:pPr>
        <w:spacing w:after="0" w:line="295" w:lineRule="exact"/>
        <w:rPr>
          <w:sz w:val="20"/>
          <w:szCs w:val="20"/>
          <w:color w:val="auto"/>
        </w:rPr>
      </w:pPr>
    </w:p>
    <w:p>
      <w:pPr>
        <w:jc w:val="right"/>
        <w:ind w:right="97"/>
        <w:spacing w:after="0"/>
        <w:rPr>
          <w:sz w:val="20"/>
          <w:szCs w:val="20"/>
          <w:color w:val="auto"/>
        </w:rPr>
      </w:pPr>
      <w:r>
        <w:rPr>
          <w:rFonts w:ascii="Times New Roman" w:cs="Times New Roman" w:eastAsia="Times New Roman" w:hAnsi="Times New Roman"/>
          <w:sz w:val="18"/>
          <w:szCs w:val="18"/>
          <w:color w:val="auto"/>
        </w:rPr>
        <w:t>557,399,435</w:t>
      </w:r>
    </w:p>
    <w:p>
      <w:pPr>
        <w:spacing w:after="0" w:line="63" w:lineRule="exact"/>
        <w:rPr>
          <w:sz w:val="20"/>
          <w:szCs w:val="20"/>
          <w:color w:val="auto"/>
        </w:rPr>
      </w:pPr>
    </w:p>
    <w:p>
      <w:pPr>
        <w:jc w:val="right"/>
        <w:ind w:right="97"/>
        <w:spacing w:after="0"/>
        <w:rPr>
          <w:sz w:val="20"/>
          <w:szCs w:val="20"/>
          <w:color w:val="auto"/>
        </w:rPr>
      </w:pPr>
      <w:r>
        <w:rPr>
          <w:rFonts w:ascii="Times New Roman" w:cs="Times New Roman" w:eastAsia="Times New Roman" w:hAnsi="Times New Roman"/>
          <w:sz w:val="18"/>
          <w:szCs w:val="18"/>
          <w:color w:val="auto"/>
        </w:rPr>
        <w:t>1,992,126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10541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43" w:lineRule="exact"/>
        <w:rPr>
          <w:sz w:val="20"/>
          <w:szCs w:val="20"/>
          <w:color w:val="auto"/>
        </w:rPr>
      </w:pPr>
    </w:p>
    <w:p>
      <w:pPr>
        <w:jc w:val="right"/>
        <w:ind w:right="97"/>
        <w:spacing w:after="0"/>
        <w:rPr>
          <w:sz w:val="20"/>
          <w:szCs w:val="20"/>
          <w:color w:val="auto"/>
        </w:rPr>
      </w:pPr>
      <w:r>
        <w:rPr>
          <w:rFonts w:ascii="Times New Roman" w:cs="Times New Roman" w:eastAsia="Times New Roman" w:hAnsi="Times New Roman"/>
          <w:sz w:val="18"/>
          <w:szCs w:val="18"/>
          <w:color w:val="auto"/>
        </w:rPr>
        <w:t>559,391,561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10541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205" w:lineRule="exact"/>
        <w:rPr>
          <w:sz w:val="20"/>
          <w:szCs w:val="20"/>
          <w:color w:val="auto"/>
        </w:rPr>
      </w:pPr>
    </w:p>
    <w:p>
      <w:pPr>
        <w:jc w:val="right"/>
        <w:ind w:right="97"/>
        <w:spacing w:after="0"/>
        <w:rPr>
          <w:sz w:val="20"/>
          <w:szCs w:val="20"/>
          <w:color w:val="auto"/>
        </w:rPr>
      </w:pPr>
      <w:r>
        <w:rPr>
          <w:rFonts w:ascii="Times New Roman" w:cs="Times New Roman" w:eastAsia="Times New Roman" w:hAnsi="Times New Roman"/>
          <w:sz w:val="18"/>
          <w:szCs w:val="18"/>
          <w:color w:val="auto"/>
        </w:rPr>
        <w:t>2,232,610,785</w:t>
      </w:r>
    </w:p>
    <w:p>
      <w:pPr>
        <w:spacing w:after="0" w:line="225" w:lineRule="exact"/>
        <w:rPr>
          <w:sz w:val="20"/>
          <w:szCs w:val="20"/>
          <w:color w:val="auto"/>
        </w:rPr>
      </w:pPr>
    </w:p>
    <w:p>
      <w:pPr>
        <w:jc w:val="center"/>
        <w:ind w:left="-642"/>
        <w:spacing w:after="0"/>
        <w:rPr>
          <w:sz w:val="20"/>
          <w:szCs w:val="20"/>
          <w:color w:val="auto"/>
        </w:rPr>
      </w:pPr>
      <w:r>
        <w:rPr>
          <w:rFonts w:ascii="Times New Roman" w:cs="Times New Roman" w:eastAsia="Times New Roman" w:hAnsi="Times New Roman"/>
          <w:sz w:val="18"/>
          <w:szCs w:val="18"/>
          <w:color w:val="auto"/>
        </w:rPr>
        <w:t>25,348,592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10541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54100"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2,257,959,377</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8,875,255,354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10541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16" w:lineRule="exact"/>
        <w:rPr>
          <w:sz w:val="20"/>
          <w:szCs w:val="20"/>
          <w:color w:val="auto"/>
        </w:rPr>
      </w:pPr>
    </w:p>
    <w:p>
      <w:pPr>
        <w:ind w:left="440" w:hanging="439"/>
        <w:spacing w:after="0"/>
        <w:tabs>
          <w:tab w:leader="none" w:pos="4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11,133,214,731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24765</wp:posOffset>
            </wp:positionV>
            <wp:extent cx="10541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5410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50165</wp:posOffset>
            </wp:positionV>
            <wp:extent cx="10541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1403" w:right="79" w:hanging="1399"/>
        <w:spacing w:after="0" w:line="344" w:lineRule="auto"/>
        <w:tabs>
          <w:tab w:leader="none" w:pos="1382"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8,996,979 5,044,840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-55880</wp:posOffset>
            </wp:positionV>
            <wp:extent cx="14147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89"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8"/>
          <w:szCs w:val="18"/>
          <w:color w:val="auto"/>
        </w:rPr>
        <w:t>14,041,819</w:t>
      </w:r>
    </w:p>
    <w:p>
      <w:pPr>
        <w:spacing w:after="0" w:line="387"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8"/>
          <w:szCs w:val="18"/>
          <w:color w:val="auto"/>
        </w:rPr>
        <w:t>101,262,073</w:t>
      </w:r>
    </w:p>
    <w:p>
      <w:pPr>
        <w:spacing w:after="0" w:line="63"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8"/>
          <w:szCs w:val="18"/>
          <w:color w:val="auto"/>
        </w:rPr>
        <w:t>122,234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4147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5"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8"/>
          <w:szCs w:val="18"/>
          <w:color w:val="auto"/>
        </w:rPr>
        <w:t>115,426,126</w:t>
      </w:r>
    </w:p>
    <w:p>
      <w:pPr>
        <w:spacing w:after="0" w:line="200" w:lineRule="exact"/>
        <w:rPr>
          <w:sz w:val="20"/>
          <w:szCs w:val="20"/>
          <w:color w:val="auto"/>
        </w:rPr>
      </w:pPr>
    </w:p>
    <w:p>
      <w:pPr>
        <w:spacing w:after="0" w:line="295"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8"/>
          <w:szCs w:val="18"/>
          <w:color w:val="auto"/>
        </w:rPr>
        <w:t>9,193,811</w:t>
      </w:r>
    </w:p>
    <w:p>
      <w:pPr>
        <w:spacing w:after="0" w:line="63"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8"/>
          <w:szCs w:val="18"/>
          <w:color w:val="auto"/>
        </w:rPr>
        <w:t>227,754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4147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43"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8"/>
          <w:szCs w:val="18"/>
          <w:color w:val="auto"/>
        </w:rPr>
        <w:t>9,421,565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4147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205" w:lineRule="exact"/>
        <w:rPr>
          <w:sz w:val="20"/>
          <w:szCs w:val="20"/>
          <w:color w:val="auto"/>
        </w:rPr>
      </w:pPr>
    </w:p>
    <w:p>
      <w:pPr>
        <w:ind w:left="1223"/>
        <w:spacing w:after="0"/>
        <w:rPr>
          <w:sz w:val="20"/>
          <w:szCs w:val="20"/>
          <w:color w:val="auto"/>
        </w:rPr>
      </w:pPr>
      <w:r>
        <w:rPr>
          <w:rFonts w:ascii="Times New Roman" w:cs="Times New Roman" w:eastAsia="Times New Roman" w:hAnsi="Times New Roman"/>
          <w:sz w:val="18"/>
          <w:szCs w:val="18"/>
          <w:color w:val="auto"/>
        </w:rPr>
        <w:t>106,004,561</w:t>
      </w:r>
    </w:p>
    <w:p>
      <w:pPr>
        <w:spacing w:after="0" w:line="225" w:lineRule="exact"/>
        <w:rPr>
          <w:sz w:val="20"/>
          <w:szCs w:val="20"/>
          <w:color w:val="auto"/>
        </w:rPr>
      </w:pPr>
    </w:p>
    <w:p>
      <w:pPr>
        <w:ind w:left="1943"/>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4147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5" w:lineRule="exact"/>
        <w:rPr>
          <w:sz w:val="20"/>
          <w:szCs w:val="20"/>
          <w:color w:val="auto"/>
        </w:rPr>
      </w:pPr>
    </w:p>
    <w:p>
      <w:pPr>
        <w:ind w:left="1223"/>
        <w:spacing w:after="0"/>
        <w:rPr>
          <w:sz w:val="20"/>
          <w:szCs w:val="20"/>
          <w:color w:val="auto"/>
        </w:rPr>
      </w:pPr>
      <w:r>
        <w:rPr>
          <w:rFonts w:ascii="Times New Roman" w:cs="Times New Roman" w:eastAsia="Times New Roman" w:hAnsi="Times New Roman"/>
          <w:sz w:val="18"/>
          <w:szCs w:val="18"/>
          <w:color w:val="auto"/>
        </w:rPr>
        <w:t>106,004,561</w:t>
      </w:r>
    </w:p>
    <w:p>
      <w:pPr>
        <w:spacing w:after="0" w:line="225" w:lineRule="exact"/>
        <w:rPr>
          <w:sz w:val="20"/>
          <w:szCs w:val="20"/>
          <w:color w:val="auto"/>
        </w:rPr>
      </w:pPr>
    </w:p>
    <w:p>
      <w:pPr>
        <w:ind w:left="1223"/>
        <w:spacing w:after="0"/>
        <w:rPr>
          <w:sz w:val="20"/>
          <w:szCs w:val="20"/>
          <w:color w:val="auto"/>
        </w:rPr>
      </w:pPr>
      <w:r>
        <w:rPr>
          <w:rFonts w:ascii="Times New Roman" w:cs="Times New Roman" w:eastAsia="Times New Roman" w:hAnsi="Times New Roman"/>
          <w:sz w:val="18"/>
          <w:szCs w:val="18"/>
          <w:color w:val="auto"/>
        </w:rPr>
        <w:t>335,866,134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4147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16" w:lineRule="exact"/>
        <w:rPr>
          <w:sz w:val="20"/>
          <w:szCs w:val="20"/>
          <w:color w:val="auto"/>
        </w:rPr>
      </w:pPr>
    </w:p>
    <w:p>
      <w:pPr>
        <w:ind w:left="1223" w:hanging="1223"/>
        <w:spacing w:after="0"/>
        <w:tabs>
          <w:tab w:leader="none" w:pos="12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441,870,695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4147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1478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14147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343" w:lineRule="exact"/>
        <w:rPr>
          <w:sz w:val="20"/>
          <w:szCs w:val="20"/>
          <w:color w:val="auto"/>
        </w:rPr>
      </w:pPr>
    </w:p>
    <w:p>
      <w:pPr>
        <w:sectPr>
          <w:pgSz w:w="11900" w:h="16838" w:orient="portrait"/>
          <w:cols w:equalWidth="0" w:num="3">
            <w:col w:w="4320" w:space="120"/>
            <w:col w:w="1657" w:space="720"/>
            <w:col w:w="2202"/>
          </w:cols>
          <w:pgMar w:left="1440" w:top="1246" w:right="1440"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019"/>
          </w:cols>
          <w:pgMar w:left="1440" w:top="1246" w:right="1440"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The Savings Plan for Lilly Affiliate Employees in Puerto Rico</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December 31, 2023 and 2022</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1 - Description of the Plans</w:t>
      </w:r>
    </w:p>
    <w:p>
      <w:pPr>
        <w:spacing w:after="0" w:line="2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accompanying financial statements comprise the employee savings plans of Eli Lilly and Company (the Company) and certain of the Company’s U.S. and Puerto Rico affiliates that participate in The Lilly Employee Savings Plan Master Trust (the Master Trust).</w:t>
      </w: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Lilly Employee 401(k) Plan (the 401(k) Plan) was established for the benefit of eligible employees of Eli Lilly and Company and participating subsidiaries and affiliated companies. The Savings Plan for Lilly Affiliate Employees in Puerto Rico (the Puerto Rico Plan) was established for the benefit of resident eligible employees of, and certain employees within, the Commonwealth of Puerto Rico. The accompanying financial statements include the net assets and related activity of the 401(k) Plan and the Puerto Rico Plan.</w:t>
      </w:r>
    </w:p>
    <w:p>
      <w:pPr>
        <w:spacing w:after="0" w:line="2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following description of the 401(k) Plan and the Puerto Rico Plan (collectively, the Plans) provides only general information. Participants should refer to the applicable plan documents and the Plans’ summary plan descriptions for more complete information.</w:t>
      </w:r>
    </w:p>
    <w:p>
      <w:pPr>
        <w:spacing w:after="0" w:line="2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Northern Trust Company and Banco Popular de Puerto Rico are the trustees of the 401(k) Plan and the Puerto Rico Plan, respectively. Alight Solutions, LLC is the recordkeeper of the Plans. The Company is the plan sponsor for the 401(k) Plan, and Lilly del Caribe, Inc. is the plan sponsor for the Puerto Rico Plan. The Employee Benefits Committee of the Company is the plan administrator for the Plans.</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Full-time employees become eligible for participation in the Plans on the first day of employment. Seasonal, part-time, or other special-status employees must generally complete 1,000 hours of service within a 12-consecutive-month period to be eligible. The Plans allow for participant contributions from 1% to 50% of base compensation up to applicable regulatory limits. Participants have the option of enrolling in a program to increase their contribution rates automatically each year. Matching contributions by the Company are currently 100% of participant contributions up to the 6% participant contribution level, subject to applicable regulatory limits.</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Contributions</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Participants may designate that their contributions be invested in any of the investment options offered by the Plans. In addition, participants generally can buy and sell investments offered by the Plans, including the Eli Lilly and Company common stock fund (the Company Stock Fund), and transfer money from any of the investment options into and out of any of the other investment options. Company matching contributions are allocated based on a participant’s investment elections for their own contributions.</w:t>
      </w:r>
    </w:p>
    <w:p>
      <w:pPr>
        <w:sectPr>
          <w:pgSz w:w="11900" w:h="16838" w:orient="portrait"/>
          <w:cols w:equalWidth="0" w:num="1">
            <w:col w:w="11240"/>
          </w:cols>
          <w:pgMar w:left="320" w:top="1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184"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The Savings Plan for Lilly Affiliate Employees in Puerto Rico</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December 31, 2023 and 2022</w:t>
      </w:r>
    </w:p>
    <w:p>
      <w:pPr>
        <w:spacing w:after="0" w:line="200" w:lineRule="exact"/>
        <w:rPr>
          <w:sz w:val="20"/>
          <w:szCs w:val="20"/>
          <w:color w:val="auto"/>
        </w:rPr>
      </w:pPr>
    </w:p>
    <w:p>
      <w:pPr>
        <w:spacing w:after="0" w:line="3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Company Stock Fund invests in the Company's common stock. The total return of the Company Stock Fund will reflect dividend payments to shareholders, as well as capital appreciation or depreciation. Except with respect to certain small dividend amounts, participants also are allowed to take payment of the Company Stock Fund dividends in cash in lieu of having them reinvested in their participant accounts. The Company Stock Fund holds a small percent of assets in cash equivalents for liquidity purposes. Therefore, the Company Stock Fund may not reflect the exact performance of the underlying security over any given time period.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Vesting</w:t>
      </w:r>
    </w:p>
    <w:p>
      <w:pPr>
        <w:spacing w:after="0" w:line="26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All participants are vested immediately in their own contributions. Effective January 1, 2023, all active participants vest in 100% of the Company's matching contributions after completing one hour of creditable service.</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Participant Loans</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Participants may borrow from their accounts a minimum of $1,000 and a maximum of the least of (1) one-half of the amount of the participant’s vested account, (2) 90% of the portion of the participant’s account balance attributable to the participant’s pretax contributions and rollover account, and (3) $50,000 (all of which are reduced by any unpaid loan balance). The loans are collateralized by the participant’s vested account and bear interest at prime plus 1%. Should the participant terminate as an employee, the balance of the outstanding loan becomes due and payable.</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Payment of Benefits</w:t>
      </w:r>
    </w:p>
    <w:p>
      <w:pPr>
        <w:spacing w:after="0" w:line="26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21"/>
          <w:szCs w:val="21"/>
          <w:color w:val="auto"/>
        </w:rPr>
        <w:t>Participants may elect to receive distributions upon termination in the form of one or more lump-sum payments or various installment annuities. Participants may also be eligible to take voluntary, in-service withdrawals, including hardship withdrawals, non-hardship withdrawals, and age 59 ½ withdrawals. Mandatory distributions are made in accordance with the Plans' provisions.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Termination</w:t>
      </w:r>
    </w:p>
    <w:p>
      <w:pPr>
        <w:spacing w:after="0" w:line="2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Plans are subject to and are intended to comply with the provisions of the Employee Retirement Income Security Act of 1974 (ERISA), as amended, and applicable IRS and Puerto Rico Treasury requirements. The Company has the right to terminate the Plans subject to the provisions of ERISA and the Plans, as established in the applicable plan documents. In the event the Plans are terminated,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8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The Savings Plan for Lilly Affiliate Employees in Puerto Rico</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December 31, 2023 and 2022</w:t>
      </w:r>
    </w:p>
    <w:p>
      <w:pPr>
        <w:spacing w:after="0" w:line="200" w:lineRule="exact"/>
        <w:rPr>
          <w:sz w:val="20"/>
          <w:szCs w:val="20"/>
          <w:color w:val="auto"/>
        </w:rPr>
      </w:pPr>
    </w:p>
    <w:p>
      <w:pPr>
        <w:spacing w:after="0" w:line="3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participant’s account shall be nonforfeitable with respect to both the employee’s and the Company’s contributions, and the net assets are to be set aside for payment of withdrawals by participants.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Administrative Expenses</w:t>
      </w:r>
    </w:p>
    <w:p>
      <w:pPr>
        <w:spacing w:after="0" w:line="2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Plans' administrative expenses are paid for either by the Plans or by the Plans' sponsors. Administrative expenses that are paid directly by the Plans' sponsors are excluded from these financial statements. Participants are charged a percentage of their account balances to pay administrative expenses. Participants are assessed separate fees for certain transactions including, but not limited to, loans, maintaining a self-directed brokerage account, and/or processing of a qualified domestic relations order, as applicable.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2 - Significant Accounting Policies</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Investment Valuation and Income Recognition</w:t>
      </w: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Investments held by the Master Trust are stated at fair value, except for fully benefit-responsive synthetic guaranteed investment contracts (synthetic GICs), as noted below. Fair value is defined as the price that would be received to sell an asset or paid to transfer a liability in an orderly transaction between market participants at the measurement date (an exit price). See Note 4 for further discussion of fair value measurements.</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auto"/>
        </w:rPr>
        <w:t>The Master Trust invests in fully benefit-responsive synthetic GICs, which are stated at contract value. Contract value represents contributions made under each contract, plus earnings, less participant withdrawals and administrative expenses. Contract value is the relevant measure for fully benefit-responsive investment contracts because this is the amount received by participants if they were to initiate permitted transactions under the terms of the Plans.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Receivable from Participants</w:t>
      </w:r>
    </w:p>
    <w:p>
      <w:pPr>
        <w:spacing w:after="0" w:line="2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Notes receivable from participants represent participant loans that are recorded at their unpaid principal balances plus any accrued but unpaid interest. Interest income on notes receivable from participants is recorded when it is earned. No allowance for credit losses has been recorded as of December 31, 2023 and 2022. If a participant ceases to make loan repayments and the plan administrator deems the participant loan to be a distribution, the participant loan balance is reduced, and a benefit payment is recorded.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Use of Estimates and Basis of Accounting</w:t>
      </w:r>
    </w:p>
    <w:p>
      <w:pPr>
        <w:spacing w:after="0" w:line="2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preparation of financial statements in conformity with U.S. generally accepted accounting principles (U.S. GAAP) requires management to make estimates that affect the amounts reported in the financial statements and accompanying notes and supplemental schedules. Actual results could differ from these estimates. The accompanying financial statements have been prepared on the accrual basis of accounting.</w:t>
      </w:r>
    </w:p>
    <w:p>
      <w:pPr>
        <w:sectPr>
          <w:pgSz w:w="11900" w:h="16838" w:orient="portrait"/>
          <w:cols w:equalWidth="0" w:num="1">
            <w:col w:w="11240"/>
          </w:cols>
          <w:pgMar w:left="320" w:top="1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84"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The Savings Plan for Lilly Affiliate Employees in Puerto Rico</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December 31, 2023 and 2022</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3 - Master Trust</w:t>
      </w:r>
    </w:p>
    <w:p>
      <w:pPr>
        <w:spacing w:after="0" w:line="26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The Plans provide that both participant contributions and company matching contributions be held in a trust by an independent trustee for the benefit of participating employees. As of December 31, 2023 and 2022, The Northern Trust Company maintained the accounting of the aggregate value of assets associated with each Plan participating in the Master Trust. The Plans have specific interests in certain investments of the Master Trust based on account balances of the participants and their investment options. The Master Trust assets are allocated among the participating plans by assigning to each plan those transactions (primarily contributions, benefit payments, and plan-specific expenses) that can be specifically identified for such plan or participants in such plan and by allocating among all plans, in proportion to the fair value of the assets attributable to each participating plan, the income (loss), including net appreciation/depreciation in fair value of investments, and expenses resulting from the collective investment of the assets of the Master Trust.</w:t>
      </w:r>
    </w:p>
    <w:p>
      <w:pPr>
        <w:spacing w:after="0" w:line="2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Purchases and sales of securities are recorded on a trade-date basis. Interest income is recorded as earned. Dividends are recorded on the ex-dividend date. Net appreciation/depreciation includes gains and losses on investments bought and sold, as well as held during the year.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 investment income for the Master Trust for the year ended December 31, 2023 is as follows:</w:t>
      </w: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9160" w:type="dxa"/>
            <w:vAlign w:val="bottom"/>
          </w:tcPr>
          <w:p>
            <w:pPr>
              <w:spacing w:after="0"/>
              <w:rPr>
                <w:sz w:val="20"/>
                <w:szCs w:val="20"/>
                <w:color w:val="auto"/>
              </w:rPr>
            </w:pPr>
            <w:r>
              <w:rPr>
                <w:rFonts w:ascii="Times New Roman" w:cs="Times New Roman" w:eastAsia="Times New Roman" w:hAnsi="Times New Roman"/>
                <w:sz w:val="20"/>
                <w:szCs w:val="20"/>
                <w:color w:val="auto"/>
              </w:rPr>
              <w:t>Net realized and unrealized gains on investments</w:t>
            </w:r>
          </w:p>
        </w:tc>
        <w:tc>
          <w:tcPr>
            <w:tcW w:w="4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2,356,863,418</w:t>
            </w:r>
          </w:p>
        </w:tc>
      </w:tr>
      <w:tr>
        <w:trPr>
          <w:trHeight w:val="256"/>
        </w:trPr>
        <w:tc>
          <w:tcPr>
            <w:tcW w:w="916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 net of expenses</w:t>
            </w:r>
          </w:p>
        </w:tc>
        <w:tc>
          <w:tcPr>
            <w:tcW w:w="46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22,227,766</w:t>
            </w:r>
          </w:p>
        </w:tc>
      </w:tr>
      <w:tr>
        <w:trPr>
          <w:trHeight w:val="262"/>
        </w:trPr>
        <w:tc>
          <w:tcPr>
            <w:tcW w:w="9160" w:type="dxa"/>
            <w:vAlign w:val="bottom"/>
          </w:tcPr>
          <w:p>
            <w:pPr>
              <w:spacing w:after="0"/>
              <w:rPr>
                <w:sz w:val="20"/>
                <w:szCs w:val="20"/>
                <w:color w:val="auto"/>
              </w:rPr>
            </w:pPr>
            <w:r>
              <w:rPr>
                <w:rFonts w:ascii="Times New Roman" w:cs="Times New Roman" w:eastAsia="Times New Roman" w:hAnsi="Times New Roman"/>
                <w:sz w:val="20"/>
                <w:szCs w:val="20"/>
                <w:color w:val="auto"/>
              </w:rPr>
              <w:t>Dividend income</w:t>
            </w:r>
          </w:p>
        </w:tc>
        <w:tc>
          <w:tcPr>
            <w:tcW w:w="4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30,965,375</w:t>
            </w:r>
          </w:p>
        </w:tc>
      </w:tr>
      <w:tr>
        <w:trPr>
          <w:trHeight w:val="254"/>
        </w:trPr>
        <w:tc>
          <w:tcPr>
            <w:tcW w:w="91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Net investment income</w:t>
            </w:r>
          </w:p>
        </w:tc>
        <w:tc>
          <w:tcPr>
            <w:tcW w:w="4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2,410,056,559</w:t>
            </w:r>
          </w:p>
        </w:tc>
      </w:tr>
      <w:tr>
        <w:trPr>
          <w:trHeight w:val="20"/>
        </w:trPr>
        <w:tc>
          <w:tcPr>
            <w:tcW w:w="9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The interests in the net assets of the Master Trust of the 401(k) Plan and the Puerto Rico Plan are presented in the accompanying financial statements.</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Plans (through the Master Trust) hold synthetic GICs with third-party financial service institutions. The synthetic GICs are wrap contracts paired with an underlying investment portfolio of common/collective trust funds that invest in average-quality, short/intermediate-term, fixed-income securities. A synthetic GIC credits the holder’s account with a stated crediting rate for a specified period of time. Investment gains and losses are amortized over the expected duration through the calculation of the crediting rate applicable to the Plans on a prospective basis. Synthetic GICs provide for a variable crediting rate, which typically resets at least quarterly, and the issuers of the wrap contract provide a guarantee that future adjustments to the crediting rate cannot result in a crediting rate less than zero.</w:t>
      </w:r>
    </w:p>
    <w:p>
      <w:pPr>
        <w:spacing w:after="0" w:line="2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crediting rate is primarily based on the current yield-to-maturity of the covered investments, plus or minus amortization of the difference between the market value and contract value of the covered investments over the expected duration at the time of computation. The crediting rate is impacted by the</w:t>
      </w:r>
    </w:p>
    <w:p>
      <w:pPr>
        <w:sectPr>
          <w:pgSz w:w="11900" w:h="16838" w:orient="portrait"/>
          <w:cols w:equalWidth="0" w:num="1">
            <w:col w:w="11240"/>
          </w:cols>
          <w:pgMar w:left="320" w:top="1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84"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The Savings Plan for Lilly Affiliate Employees in Puerto Rico</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December 31, 2023 and 2022</w:t>
      </w:r>
    </w:p>
    <w:p>
      <w:pPr>
        <w:spacing w:after="0" w:line="200" w:lineRule="exact"/>
        <w:rPr>
          <w:sz w:val="20"/>
          <w:szCs w:val="20"/>
          <w:color w:val="auto"/>
        </w:rPr>
      </w:pPr>
    </w:p>
    <w:p>
      <w:pPr>
        <w:spacing w:after="0" w:line="3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change in the annual effective yield-to-maturity of the underlying securities but is also affected by the differential between the contract value and the market value of the covered investments.</w:t>
      </w:r>
    </w:p>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Generally, contract value withdrawals will be made pro rata based on the percentage of investments covered by each issuer. The terms of the wrap contracts generally provide for full contract value withdrawal only upon termination of the contract or total liquidation of the covered investments. Contract termination occurs whenever the contract value or market value of the covered investments reaches zero or upon certain events of default. If the contract terminates due to issuer default (other than a default occurring because of a decline in its rating), the issuer will generally be required to pay to the Plans the excess, if any, of contract value over market value on the date of termination. If the contract terminates when the market value equals zero, the issuer will pay the excess of contract value over market value to the Plans to the extent necessary for the Plans to satisfy outstanding contract value withdrawal requests. Contract termination also may occur by either party upon election and notice. However, such election by a contract issuer typically allows for a gradual asset risk wind-down generally over the portfolio’s duration and would maintain contract value on the Plans.</w:t>
      </w:r>
    </w:p>
    <w:p>
      <w:pPr>
        <w:spacing w:after="0" w:line="2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Certain events, including (1) certain amendments to the Plans' documents (including complete or partial plan termination or merger with another plan), (2) changes to the Plans’ prohibition on competing investment options or deletion of equity wash provisions, (3) bankruptcy of the Plans' sponsors or other Plans' sponsor events that cause a significant withdrawal from the Plans, and (4) the failure of the Master Trust to qualify for exemption from federal income taxes or any required prohibited transaction exemption under ERISA, limit the ability of the Plans to transact contract value withdrawals from the wrap contracts. The plan administrator believes that the occurrence of any such event which would limit the Plans’ ability to transact contract value withdrawals is not probable of occurring.</w:t>
      </w:r>
    </w:p>
    <w:p>
      <w:pPr>
        <w:spacing w:after="0" w:line="2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synthetic GICs generally impose conditions on both the Plans and the issuer. If an event of default, as defined, occurs and is not cured, and the Plans are unable to negotiate continuing coverage or obtain a replacement investment contract, the Plans may experience losses if the value of the Plans’ assets no longer covered by the contract is below contract value. The combination of the default of an issuer and an inability to obtain replacement coverage could render the Plans unable to achieve their objective of maintaining a stable contract value. The plan administrator does not believe the occurrence of any such event has occurred or is probable of occurring.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84"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The Savings Plan for Lilly Affiliate Employees in Puerto Rico</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December 31, 2023 and 2022</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4 - Fair Value Measurements</w:t>
      </w:r>
    </w:p>
    <w:p>
      <w:pPr>
        <w:spacing w:after="0" w:line="26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Accounting Standards Codification (ASC) 820 defines fair value, establishes a framework for measuring fair value, and expands disclosures about fair value measurements. Fair value is defined as the price that would be received to sell an asset or paid to transfer a liability in an orderly transaction between market participants at the measurement date (i.e., an exit price). ASC 820 includes a fair value hierarchy that prioritizes the inputs to valuation techniques used to measure fair value. The hierarchy gives the highest priority to unadjusted quoted prices in active markets for identical assets and liabilities (Level 1) and the lowest priority to unobservable inputs (Level 3). The three levels of the fair value hierarchy under ASC 820 are described below:</w:t>
      </w: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Level 1 - Inputs to the valuation methodology are unadjusted quoted prices for identical assets or liabilities in active markets.</w:t>
      </w:r>
    </w:p>
    <w:p>
      <w:pPr>
        <w:spacing w:after="0" w:line="2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Level 2 - Inputs to the valuation methodology include:</w:t>
      </w:r>
    </w:p>
    <w:p>
      <w:pPr>
        <w:spacing w:after="0" w:line="260"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Quoted prices for similar assets and liabilities in active markets</w:t>
      </w:r>
    </w:p>
    <w:p>
      <w:pPr>
        <w:spacing w:after="0" w:line="26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Quoted prices for identical or similar assets or liabilities in markets that are not active</w:t>
      </w:r>
    </w:p>
    <w:p>
      <w:pPr>
        <w:spacing w:after="0" w:line="260" w:lineRule="exact"/>
        <w:rPr>
          <w:rFonts w:ascii="Times New Roman" w:cs="Times New Roman" w:eastAsia="Times New Roman" w:hAnsi="Times New Roman"/>
          <w:sz w:val="22"/>
          <w:szCs w:val="22"/>
          <w:color w:val="auto"/>
        </w:rPr>
      </w:pPr>
    </w:p>
    <w:p>
      <w:pPr>
        <w:ind w:left="660" w:hanging="328"/>
        <w:spacing w:after="0" w:line="271" w:lineRule="auto"/>
        <w:tabs>
          <w:tab w:leader="none" w:pos="65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Inputs other than quoted prices that are for the assets or liabilities (e.g., interest rate and yield curve quotes at commonly quoted intervals)</w:t>
      </w:r>
    </w:p>
    <w:p>
      <w:pPr>
        <w:spacing w:after="0" w:line="19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Inputs that are derived principally from or corroborated by observable market data by correlation or other means</w:t>
      </w:r>
    </w:p>
    <w:p>
      <w:pPr>
        <w:spacing w:after="0" w:line="260" w:lineRule="exact"/>
        <w:rPr>
          <w:sz w:val="20"/>
          <w:szCs w:val="20"/>
          <w:color w:val="auto"/>
        </w:rPr>
      </w:pPr>
    </w:p>
    <w:p>
      <w:pPr>
        <w:ind w:left="340"/>
        <w:spacing w:after="0" w:line="271" w:lineRule="auto"/>
        <w:rPr>
          <w:sz w:val="20"/>
          <w:szCs w:val="20"/>
          <w:color w:val="auto"/>
        </w:rPr>
      </w:pPr>
      <w:r>
        <w:rPr>
          <w:rFonts w:ascii="Times New Roman" w:cs="Times New Roman" w:eastAsia="Times New Roman" w:hAnsi="Times New Roman"/>
          <w:sz w:val="22"/>
          <w:szCs w:val="22"/>
          <w:color w:val="auto"/>
        </w:rPr>
        <w:t>If the asset or liability has a specified (contractual) term, the Level 2 input must be observable for substantially the full term of the asset or liability.</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Level 3 - Inputs to the valuation methodology are unobservable and significant to the fair value measurement.</w:t>
      </w:r>
    </w:p>
    <w:p>
      <w:pPr>
        <w:spacing w:after="0" w:line="26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level in the fair value hierarchy within which the fair value measurement is classified is determined based upon the lowest level of input that is significant to the fair value measurement in its entirety.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is a description of the valuation techniques and inputs used for assets measured at fair value:</w:t>
      </w:r>
    </w:p>
    <w:p>
      <w:pPr>
        <w:spacing w:after="0" w:line="260" w:lineRule="exact"/>
        <w:rPr>
          <w:sz w:val="20"/>
          <w:szCs w:val="20"/>
          <w:color w:val="auto"/>
        </w:rPr>
      </w:pPr>
    </w:p>
    <w:p>
      <w:pPr>
        <w:ind w:left="660" w:hanging="328"/>
        <w:spacing w:after="0" w:line="27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Registered investment companies (mutual funds) - Valued at the net asset value (NAV) of shares held by the Master Trust at year end, as quoted in the active market, and are classified within Level 1 of the valuation hierarchy.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8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The Savings Plan for Lilly Affiliate Employees in Puerto Rico</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December 31, 2023 and 2022</w:t>
      </w:r>
    </w:p>
    <w:p>
      <w:pPr>
        <w:spacing w:after="0" w:line="200" w:lineRule="exact"/>
        <w:rPr>
          <w:sz w:val="20"/>
          <w:szCs w:val="20"/>
          <w:color w:val="auto"/>
        </w:rPr>
      </w:pPr>
    </w:p>
    <w:p>
      <w:pPr>
        <w:spacing w:after="0" w:line="359" w:lineRule="exact"/>
        <w:rPr>
          <w:sz w:val="20"/>
          <w:szCs w:val="20"/>
          <w:color w:val="auto"/>
        </w:rPr>
      </w:pPr>
    </w:p>
    <w:p>
      <w:pPr>
        <w:jc w:val="both"/>
        <w:ind w:left="660" w:hanging="328"/>
        <w:spacing w:after="0" w:line="257" w:lineRule="auto"/>
        <w:tabs>
          <w:tab w:leader="none" w:pos="65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Self-directed brokerage accounts (represents mutual funds and exchange-traded funds) - Valued at the NAV of shares held by the Master Trust at year end, as quoted in the active market, and are classified within Level 1 of the valuation hierarchy.</w:t>
      </w:r>
    </w:p>
    <w:p>
      <w:pPr>
        <w:spacing w:after="0" w:line="213" w:lineRule="exact"/>
        <w:rPr>
          <w:rFonts w:ascii="Times New Roman" w:cs="Times New Roman" w:eastAsia="Times New Roman" w:hAnsi="Times New Roman"/>
          <w:sz w:val="22"/>
          <w:szCs w:val="22"/>
          <w:color w:val="auto"/>
        </w:rPr>
      </w:pPr>
    </w:p>
    <w:p>
      <w:pPr>
        <w:ind w:left="660" w:hanging="328"/>
        <w:spacing w:after="0" w:line="271" w:lineRule="auto"/>
        <w:tabs>
          <w:tab w:leader="none" w:pos="65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Eli Lilly and Company common stock - Valued at the closing price reported on the New York Stock Exchange and are classified within Level 1 of the valuation hierarchy.</w:t>
      </w:r>
    </w:p>
    <w:p>
      <w:pPr>
        <w:spacing w:after="0" w:line="198" w:lineRule="exact"/>
        <w:rPr>
          <w:rFonts w:ascii="Times New Roman" w:cs="Times New Roman" w:eastAsia="Times New Roman" w:hAnsi="Times New Roman"/>
          <w:sz w:val="22"/>
          <w:szCs w:val="22"/>
          <w:color w:val="auto"/>
        </w:rPr>
      </w:pPr>
    </w:p>
    <w:p>
      <w:pPr>
        <w:jc w:val="both"/>
        <w:ind w:left="660" w:hanging="328"/>
        <w:spacing w:after="0" w:line="256" w:lineRule="auto"/>
        <w:tabs>
          <w:tab w:leader="none" w:pos="65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in common/collective trusts - Represents interests in pooled investment vehicles designed primarily for collective investment of employee benefit trusts. The fair value of the investments in this category has been estimated using the NAV per unit as a practical expedient provided by the fund managers. Redemption restrictions range from 1 to 30 days, and there were no unfunded commitments in this investment category.</w:t>
      </w:r>
    </w:p>
    <w:p>
      <w:pPr>
        <w:spacing w:after="0" w:line="2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valuation methodologies described above may produce a fair value calculation that may not be indicative of net realizable value or reflective of future fair values. Furthermore, while the Plans believe their valuation methods are appropriate and consistent with those of other market participants, the use of different methodologies or assumptions to determine the fair value of certain financial instruments could result in a different fair value measurement at the reporting date. There have been no changes in the methodologies used at December 31, 2023 and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sets forth the net assets of the Master Trust and the Master Trust's assets carried at fair value as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31, 2023, by level, within the fair value hierarchy:</w:t>
      </w:r>
    </w:p>
    <w:p>
      <w:pPr>
        <w:spacing w:after="0" w:line="266" w:lineRule="exact"/>
        <w:rPr>
          <w:sz w:val="20"/>
          <w:szCs w:val="20"/>
          <w:color w:val="auto"/>
        </w:rPr>
      </w:pPr>
    </w:p>
    <w:tbl>
      <w:tblPr>
        <w:tblLayout w:type="fixed"/>
        <w:tblInd w:w="600" w:type="dxa"/>
        <w:tblCellMar>
          <w:top w:w="0" w:type="dxa"/>
          <w:left w:w="0" w:type="dxa"/>
          <w:bottom w:w="0" w:type="dxa"/>
          <w:right w:w="0" w:type="dxa"/>
        </w:tblCellMar>
      </w:tblPr>
      <w:tr>
        <w:trPr>
          <w:trHeight w:val="190"/>
        </w:trPr>
        <w:tc>
          <w:tcPr>
            <w:tcW w:w="3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Master Trust</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7"/>
                <w:szCs w:val="17"/>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7"/>
                <w:szCs w:val="17"/>
                <w:color w:val="auto"/>
              </w:rPr>
            </w:pPr>
          </w:p>
        </w:tc>
        <w:tc>
          <w:tcPr>
            <w:tcW w:w="11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3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Investments at fair value:</w:t>
            </w: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32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Registered investment companies</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341,626,147</w:t>
            </w:r>
          </w:p>
        </w:tc>
        <w:tc>
          <w:tcPr>
            <w:tcW w:w="6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341,626,147</w:t>
            </w:r>
          </w:p>
        </w:tc>
        <w:tc>
          <w:tcPr>
            <w:tcW w:w="28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Self-directed brokerage accounts</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295,616,635</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295,616,635</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Eli Lilly and Company common stock</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2,840,141,881</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2,840,141,881</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2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3,477,384,663</w:t>
            </w:r>
          </w:p>
        </w:tc>
        <w:tc>
          <w:tcPr>
            <w:tcW w:w="2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3,477,384,663</w:t>
            </w:r>
          </w:p>
        </w:tc>
        <w:tc>
          <w:tcPr>
            <w:tcW w:w="2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Interest in common/collective trusts, measured at NAV</w:t>
            </w:r>
          </w:p>
        </w:tc>
        <w:tc>
          <w:tcPr>
            <w:tcW w:w="200" w:type="dxa"/>
            <w:vAlign w:val="bottom"/>
          </w:tcPr>
          <w:p>
            <w:pPr>
              <w:spacing w:after="0" w:line="20" w:lineRule="exact"/>
              <w:rPr>
                <w:sz w:val="1"/>
                <w:szCs w:val="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7,069,184,161</w:t>
            </w: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32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32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Total Master Trust investments</w:t>
            </w: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32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10,546,568,824</w:t>
            </w: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32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at fair value</w:t>
            </w:r>
          </w:p>
        </w:tc>
        <w:tc>
          <w:tcPr>
            <w:tcW w:w="2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Investments at contract value –</w:t>
            </w:r>
          </w:p>
        </w:tc>
        <w:tc>
          <w:tcPr>
            <w:tcW w:w="20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983,126,642</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Synthetic GICs</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2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Master Trust investments</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11,529,695,466</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8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The Savings Plan for Lilly Affiliate Employees in Puerto Rico</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December 31, 2023 and 2022</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sets forth the net assets of the Master Trust and the Master Trust's assets carried at fair value as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31, 2022, by level, within the fair value hierarchy</w:t>
      </w:r>
      <w:r>
        <w:rPr>
          <w:rFonts w:ascii="Times New Roman" w:cs="Times New Roman" w:eastAsia="Times New Roman" w:hAnsi="Times New Roman"/>
          <w:sz w:val="17"/>
          <w:szCs w:val="17"/>
          <w:color w:val="auto"/>
        </w:rPr>
        <w:t>:</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Master Trust</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7"/>
                <w:szCs w:val="17"/>
                <w:color w:val="auto"/>
              </w:rPr>
            </w:pPr>
          </w:p>
        </w:tc>
        <w:tc>
          <w:tcPr>
            <w:tcW w:w="11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3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Investments at fair value:</w:t>
            </w: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32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Registered investment companies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302,796,592</w:t>
            </w:r>
          </w:p>
        </w:tc>
        <w:tc>
          <w:tcPr>
            <w:tcW w:w="6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302,796,592</w:t>
            </w:r>
          </w:p>
        </w:tc>
        <w:tc>
          <w:tcPr>
            <w:tcW w:w="28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Self-directed brokerage accounts</w:t>
            </w:r>
          </w:p>
        </w:tc>
        <w:tc>
          <w:tcPr>
            <w:tcW w:w="18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244,274,807</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244,274,807</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Eli Lilly and Company common stock</w:t>
            </w:r>
          </w:p>
        </w:tc>
        <w:tc>
          <w:tcPr>
            <w:tcW w:w="18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1,867,688,563</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1,867,688,563</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2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2,414,759,962</w:t>
            </w:r>
          </w:p>
        </w:tc>
        <w:tc>
          <w:tcPr>
            <w:tcW w:w="26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2,414,759,962</w:t>
            </w:r>
          </w:p>
        </w:tc>
        <w:tc>
          <w:tcPr>
            <w:tcW w:w="2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3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Interest in common/collective trusts, measured at NAV</w:t>
            </w:r>
          </w:p>
        </w:tc>
        <w:tc>
          <w:tcPr>
            <w:tcW w:w="180" w:type="dxa"/>
            <w:vAlign w:val="bottom"/>
          </w:tcPr>
          <w:p>
            <w:pPr>
              <w:spacing w:after="0" w:line="20" w:lineRule="exact"/>
              <w:rPr>
                <w:sz w:val="1"/>
                <w:szCs w:val="1"/>
                <w:color w:val="auto"/>
              </w:rPr>
            </w:pPr>
          </w:p>
        </w:tc>
        <w:tc>
          <w:tcPr>
            <w:tcW w:w="12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5,692,578,395</w:t>
            </w: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32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32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Total Master Trust investments</w:t>
            </w: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32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8,107,338,357</w:t>
            </w: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32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at fair value</w:t>
            </w:r>
          </w:p>
        </w:tc>
        <w:tc>
          <w:tcPr>
            <w:tcW w:w="1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Investments at contract value –</w:t>
            </w:r>
          </w:p>
        </w:tc>
        <w:tc>
          <w:tcPr>
            <w:tcW w:w="180" w:type="dxa"/>
            <w:vAlign w:val="bottom"/>
          </w:tcPr>
          <w:p>
            <w:pPr>
              <w:spacing w:after="0"/>
              <w:rPr>
                <w:sz w:val="12"/>
                <w:szCs w:val="12"/>
                <w:color w:val="auto"/>
              </w:rPr>
            </w:pPr>
          </w:p>
        </w:tc>
        <w:tc>
          <w:tcPr>
            <w:tcW w:w="12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1,064,767,947</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Synthetic GICs</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2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Master Trust investments</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9,172,106,304</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5 - Income Tax Status</w:t>
      </w:r>
    </w:p>
    <w:p>
      <w:pPr>
        <w:spacing w:after="0" w:line="2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401(k) Plan has received a determination letter from the IRS dated June 13, 2017, confirming generally that the 401(k) Plan meets the qualification requirements under Section 401(a) of the Internal Revenue Code (the Code) and, therefore, the related trust is exempt from taxation. Subsequent to the effective date of the determination letter, the 401(k) Plan was amended. Once qualified, the 401(k) Plan is required to operate in conformity with the Code to maintain its qualification. The plan administrator believes that the 401(k) Plan is being operated in compliance with applicable requirements of the Code and, therefore, believes that the 401(k) Plan remains qualified and the related trust is tax exempt.</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Puerto Rico Plan received a determination letter from the Commonwealth of Puerto Rico’s Department of Treasury dated July 19, 2021, confirming generally that the Puerto Rico Plan meets the qualification requirements of Section 1081.01 of the Puerto Rico Internal Revenue Code of 2011 (the Puerto Rico Code). Subsequent to the effective date of the determination letter, the Puerto Rico Plan was amended. Once qualified, the Puerto Rico Plan is required to operate in conformity with the Puerto Rico Code to maintain its qualification. The plan administrator believes that the Puerto Rico Plan is being operated in compliance with applicable requirements of the Puerto Rico Code and, therefore, believes that the Puerto Rico Plan is qualified and the related trust is tax exempt.</w:t>
      </w: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Accounting principles generally accepted in the United States require plan management to evaluate tax positions taken by the Plans and recognize a tax liability if the Plans have taken an uncertain position that more likely than not would not be sustained upon examination by the IRS. Plan management has analyzed the tax positions taken by the Plans and has concluded that there are no uncertain positions taken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8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The Savings Plan for Lilly Affiliate Employees in Puerto Rico</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December 31, 2023 and 2022</w:t>
      </w:r>
    </w:p>
    <w:p>
      <w:pPr>
        <w:spacing w:after="0" w:line="200" w:lineRule="exact"/>
        <w:rPr>
          <w:sz w:val="20"/>
          <w:szCs w:val="20"/>
          <w:color w:val="auto"/>
        </w:rPr>
      </w:pPr>
    </w:p>
    <w:p>
      <w:pPr>
        <w:spacing w:after="0" w:line="3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expected to be taken. The Plans are subject to routine audits by taxing jurisdictions; however, there are currently no audits for any tax periods in progress.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6 - Risks and Uncertainties</w:t>
      </w:r>
    </w:p>
    <w:p>
      <w:pPr>
        <w:spacing w:after="0" w:line="2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Plans invest in various investment securities. Investment securities are exposed to various risks, such as interest rate, credit, and overall market volatility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7 - Transactions with Related Parties</w:t>
      </w:r>
    </w:p>
    <w:p>
      <w:pPr>
        <w:spacing w:after="0" w:line="2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Plans invest in the common stock of the Company. During 2023, the 401(k) Plan received approximately $21,404,000 in cash dividends from the Company on the common stock of the Company owned by the 401(k) Plan. During 2023, the Puerto Rico Plan received approximately $1,336,000 in cash dividends from the Company on the common stock of the Company owned by the Puerto Rico Plan. Certain plan assets are in investments managed by The Northern Trust Company. These transactions qualify as party-in interest transactions; however, they are exempt from the prohibited transaction rules under ERISA and applicable regulatory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8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The Savings Plan for Lilly Affiliate Employees in Puerto Rico</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December 31, 2023 and 2022</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8 - Reconciliation of the Financial Statements to Form 5500</w:t>
      </w:r>
    </w:p>
    <w:p>
      <w:pPr>
        <w:spacing w:after="0" w:line="26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following are reconciliations of net assets available for benefits as of December 31, 2023 and 2022, and the net increase in net assets available for benefits for the year ended December 31, 2023, with the corresponding amounts in the Form 5500:</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77"/>
        </w:trPr>
        <w:tc>
          <w:tcPr>
            <w:tcW w:w="65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13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40" w:type="dxa"/>
            <w:vAlign w:val="bottom"/>
            <w:gridSpan w:val="3"/>
          </w:tcPr>
          <w:p>
            <w:pPr>
              <w:ind w:left="80"/>
              <w:spacing w:after="0"/>
              <w:rPr>
                <w:sz w:val="20"/>
                <w:szCs w:val="20"/>
                <w:color w:val="auto"/>
              </w:rPr>
            </w:pPr>
            <w:r>
              <w:rPr>
                <w:rFonts w:ascii="Times New Roman" w:cs="Times New Roman" w:eastAsia="Times New Roman" w:hAnsi="Times New Roman"/>
                <w:sz w:val="20"/>
                <w:szCs w:val="20"/>
                <w:b w:val="1"/>
                <w:bCs w:val="1"/>
                <w:color w:val="auto"/>
              </w:rPr>
              <w:t>401(k) Plan</w:t>
            </w:r>
          </w:p>
        </w:tc>
        <w:tc>
          <w:tcPr>
            <w:tcW w:w="320" w:type="dxa"/>
            <w:vAlign w:val="bottom"/>
          </w:tcPr>
          <w:p>
            <w:pPr>
              <w:spacing w:after="0"/>
              <w:rPr>
                <w:sz w:val="22"/>
                <w:szCs w:val="22"/>
                <w:color w:val="auto"/>
              </w:rPr>
            </w:pPr>
          </w:p>
        </w:tc>
        <w:tc>
          <w:tcPr>
            <w:tcW w:w="1880" w:type="dxa"/>
            <w:vAlign w:val="bottom"/>
            <w:gridSpan w:val="2"/>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Puerto Rico Plan</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4"/>
        </w:trPr>
        <w:tc>
          <w:tcPr>
            <w:tcW w:w="65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Net assets available for benefits at year end, as reported in the</w:t>
            </w:r>
          </w:p>
        </w:tc>
        <w:tc>
          <w:tcPr>
            <w:tcW w:w="2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accompanying financial statements</w:t>
            </w:r>
          </w:p>
        </w:tc>
        <w:tc>
          <w:tcPr>
            <w:tcW w:w="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2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11,133,214,731</w:t>
            </w: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jc w:val="center"/>
              <w:ind w:right="121"/>
              <w:spacing w:after="0"/>
              <w:rPr>
                <w:sz w:val="20"/>
                <w:szCs w:val="20"/>
                <w:color w:val="auto"/>
              </w:rPr>
            </w:pPr>
            <w:r>
              <w:rPr>
                <w:rFonts w:ascii="Times New Roman" w:cs="Times New Roman" w:eastAsia="Times New Roman" w:hAnsi="Times New Roman"/>
                <w:sz w:val="20"/>
                <w:szCs w:val="20"/>
                <w:color w:val="auto"/>
                <w:w w:val="99"/>
              </w:rPr>
              <w:t>$</w:t>
            </w:r>
          </w:p>
        </w:tc>
        <w:tc>
          <w:tcPr>
            <w:tcW w:w="580" w:type="dxa"/>
            <w:vAlign w:val="bottom"/>
          </w:tcPr>
          <w:p>
            <w:pPr>
              <w:spacing w:after="0"/>
              <w:rPr>
                <w:sz w:val="22"/>
                <w:szCs w:val="22"/>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441,870,695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65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Distributions accrued on Form 5500 at year end</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(2,765,739)</w:t>
            </w: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(3,943)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5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Net assets available for benefits per Form 5500</w:t>
            </w:r>
          </w:p>
        </w:tc>
        <w:tc>
          <w:tcPr>
            <w:tcW w:w="2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11,130,448,992</w:t>
            </w: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20"/>
                <w:szCs w:val="20"/>
                <w:color w:val="auto"/>
                <w:w w:val="99"/>
              </w:rPr>
              <w:t>$</w:t>
            </w:r>
          </w:p>
        </w:tc>
        <w:tc>
          <w:tcPr>
            <w:tcW w:w="5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441,866,752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0"/>
        </w:trPr>
        <w:tc>
          <w:tcPr>
            <w:tcW w:w="65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rPr>
              <w:t>December 31, 2022</w:t>
            </w:r>
          </w:p>
        </w:tc>
        <w:tc>
          <w:tcPr>
            <w:tcW w:w="13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40" w:type="dxa"/>
            <w:vAlign w:val="bottom"/>
            <w:gridSpan w:val="3"/>
          </w:tcPr>
          <w:p>
            <w:pPr>
              <w:ind w:left="80"/>
              <w:spacing w:after="0"/>
              <w:rPr>
                <w:sz w:val="20"/>
                <w:szCs w:val="20"/>
                <w:color w:val="auto"/>
              </w:rPr>
            </w:pPr>
            <w:r>
              <w:rPr>
                <w:rFonts w:ascii="Times New Roman" w:cs="Times New Roman" w:eastAsia="Times New Roman" w:hAnsi="Times New Roman"/>
                <w:sz w:val="20"/>
                <w:szCs w:val="20"/>
                <w:b w:val="1"/>
                <w:bCs w:val="1"/>
                <w:color w:val="auto"/>
              </w:rPr>
              <w:t>401(k) Plan</w:t>
            </w:r>
          </w:p>
        </w:tc>
        <w:tc>
          <w:tcPr>
            <w:tcW w:w="320" w:type="dxa"/>
            <w:vAlign w:val="bottom"/>
          </w:tcPr>
          <w:p>
            <w:pPr>
              <w:spacing w:after="0"/>
              <w:rPr>
                <w:sz w:val="22"/>
                <w:szCs w:val="22"/>
                <w:color w:val="auto"/>
              </w:rPr>
            </w:pPr>
          </w:p>
        </w:tc>
        <w:tc>
          <w:tcPr>
            <w:tcW w:w="1880" w:type="dxa"/>
            <w:vAlign w:val="bottom"/>
            <w:gridSpan w:val="2"/>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Puerto Rico Plan</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4"/>
        </w:trPr>
        <w:tc>
          <w:tcPr>
            <w:tcW w:w="65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Net assets available for benefits at year end, as reported in the</w:t>
            </w:r>
          </w:p>
        </w:tc>
        <w:tc>
          <w:tcPr>
            <w:tcW w:w="2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accompanying financial statements</w:t>
            </w:r>
          </w:p>
        </w:tc>
        <w:tc>
          <w:tcPr>
            <w:tcW w:w="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2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8,875,255,354</w:t>
            </w: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jc w:val="center"/>
              <w:ind w:right="121"/>
              <w:spacing w:after="0"/>
              <w:rPr>
                <w:sz w:val="20"/>
                <w:szCs w:val="20"/>
                <w:color w:val="auto"/>
              </w:rPr>
            </w:pPr>
            <w:r>
              <w:rPr>
                <w:rFonts w:ascii="Times New Roman" w:cs="Times New Roman" w:eastAsia="Times New Roman" w:hAnsi="Times New Roman"/>
                <w:sz w:val="20"/>
                <w:szCs w:val="20"/>
                <w:color w:val="auto"/>
                <w:w w:val="99"/>
              </w:rPr>
              <w:t>$</w:t>
            </w:r>
          </w:p>
        </w:tc>
        <w:tc>
          <w:tcPr>
            <w:tcW w:w="580" w:type="dxa"/>
            <w:vAlign w:val="bottom"/>
          </w:tcPr>
          <w:p>
            <w:pPr>
              <w:spacing w:after="0"/>
              <w:rPr>
                <w:sz w:val="22"/>
                <w:szCs w:val="22"/>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335,866,134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65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Distributions accrued on Form 5500 at year end</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(2,190,315)</w:t>
            </w: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(116,992)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5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Net assets available for benefits per Form 5500</w:t>
            </w:r>
          </w:p>
        </w:tc>
        <w:tc>
          <w:tcPr>
            <w:tcW w:w="2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8,873,065,039</w:t>
            </w: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20"/>
                <w:szCs w:val="20"/>
                <w:color w:val="auto"/>
                <w:w w:val="99"/>
              </w:rPr>
              <w:t>$</w:t>
            </w:r>
          </w:p>
        </w:tc>
        <w:tc>
          <w:tcPr>
            <w:tcW w:w="5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335,749,142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8"/>
        </w:trPr>
        <w:tc>
          <w:tcPr>
            <w:tcW w:w="6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7"/>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7"/>
              </w:rPr>
              <w:t>Year Ended December 31, 2023</w:t>
            </w:r>
          </w:p>
        </w:tc>
        <w:tc>
          <w:tcPr>
            <w:tcW w:w="0" w:type="dxa"/>
            <w:vAlign w:val="bottom"/>
          </w:tcPr>
          <w:p>
            <w:pPr>
              <w:spacing w:after="0"/>
              <w:rPr>
                <w:sz w:val="1"/>
                <w:szCs w:val="1"/>
                <w:color w:val="auto"/>
              </w:rPr>
            </w:pPr>
          </w:p>
        </w:tc>
      </w:tr>
      <w:tr>
        <w:trPr>
          <w:trHeight w:val="264"/>
        </w:trPr>
        <w:tc>
          <w:tcPr>
            <w:tcW w:w="6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20"/>
                <w:szCs w:val="20"/>
                <w:b w:val="1"/>
                <w:bCs w:val="1"/>
                <w:color w:val="auto"/>
              </w:rPr>
              <w:t>401(k) Plan</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4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Puerto Rico Plan</w:t>
            </w:r>
          </w:p>
        </w:tc>
        <w:tc>
          <w:tcPr>
            <w:tcW w:w="0" w:type="dxa"/>
            <w:vAlign w:val="bottom"/>
          </w:tcPr>
          <w:p>
            <w:pPr>
              <w:spacing w:after="0"/>
              <w:rPr>
                <w:sz w:val="1"/>
                <w:szCs w:val="1"/>
                <w:color w:val="auto"/>
              </w:rPr>
            </w:pPr>
          </w:p>
        </w:tc>
      </w:tr>
      <w:tr>
        <w:trPr>
          <w:trHeight w:val="450"/>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Net increase in net assets available for benefits, as</w:t>
            </w: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2,257,959,377</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vMerge w:val="restart"/>
          </w:tcPr>
          <w:p>
            <w:pPr>
              <w:jc w:val="right"/>
              <w:ind w:right="361"/>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106,004,561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reported in the accompanying financial statements</w:t>
            </w:r>
          </w:p>
        </w:tc>
        <w:tc>
          <w:tcPr>
            <w:tcW w:w="460" w:type="dxa"/>
            <w:vAlign w:val="bottom"/>
            <w:gridSpan w:val="2"/>
            <w:vMerge w:val="continue"/>
          </w:tcPr>
          <w:p>
            <w:pPr>
              <w:spacing w:after="0"/>
              <w:rPr>
                <w:sz w:val="21"/>
                <w:szCs w:val="21"/>
                <w:color w:val="auto"/>
              </w:rPr>
            </w:pPr>
          </w:p>
        </w:tc>
        <w:tc>
          <w:tcPr>
            <w:tcW w:w="192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Distributions accrued on Form 5500 at December 31, 2023</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(2,765,739)</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(3,943)</w:t>
            </w:r>
          </w:p>
        </w:tc>
        <w:tc>
          <w:tcPr>
            <w:tcW w:w="0" w:type="dxa"/>
            <w:vAlign w:val="bottom"/>
          </w:tcPr>
          <w:p>
            <w:pPr>
              <w:spacing w:after="0"/>
              <w:rPr>
                <w:sz w:val="1"/>
                <w:szCs w:val="1"/>
                <w:color w:val="auto"/>
              </w:rPr>
            </w:pPr>
          </w:p>
        </w:tc>
      </w:tr>
      <w:tr>
        <w:trPr>
          <w:trHeight w:val="259"/>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Distributions accrued on Form 5500 at December 31, 2022</w:t>
            </w:r>
          </w:p>
        </w:tc>
        <w:tc>
          <w:tcPr>
            <w:tcW w:w="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2,190,315</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116,992</w:t>
            </w: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6560" w:type="dxa"/>
            <w:vAlign w:val="bottom"/>
          </w:tcPr>
          <w:p>
            <w:pPr>
              <w:spacing w:after="0" w:line="180" w:lineRule="exact"/>
              <w:rPr>
                <w:sz w:val="20"/>
                <w:szCs w:val="20"/>
                <w:color w:val="auto"/>
              </w:rPr>
            </w:pPr>
            <w:r>
              <w:rPr>
                <w:rFonts w:ascii="Times New Roman" w:cs="Times New Roman" w:eastAsia="Times New Roman" w:hAnsi="Times New Roman"/>
                <w:sz w:val="20"/>
                <w:szCs w:val="20"/>
                <w:color w:val="auto"/>
              </w:rPr>
              <w:t>Net increase in net assets available for benefits, as</w:t>
            </w: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2,257,383,953</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vMerge w:val="restart"/>
          </w:tcPr>
          <w:p>
            <w:pPr>
              <w:jc w:val="right"/>
              <w:ind w:right="361"/>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106,117,610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560" w:type="dxa"/>
            <w:vAlign w:val="bottom"/>
          </w:tcPr>
          <w:p>
            <w:pPr>
              <w:ind w:left="160"/>
              <w:spacing w:after="0" w:line="226" w:lineRule="exact"/>
              <w:rPr>
                <w:sz w:val="20"/>
                <w:szCs w:val="20"/>
                <w:color w:val="auto"/>
              </w:rPr>
            </w:pPr>
            <w:r>
              <w:rPr>
                <w:rFonts w:ascii="Times New Roman" w:cs="Times New Roman" w:eastAsia="Times New Roman" w:hAnsi="Times New Roman"/>
                <w:sz w:val="20"/>
                <w:szCs w:val="20"/>
                <w:color w:val="auto"/>
              </w:rPr>
              <w:t>reported on the Form 5500</w:t>
            </w:r>
          </w:p>
        </w:tc>
        <w:tc>
          <w:tcPr>
            <w:tcW w:w="460" w:type="dxa"/>
            <w:vAlign w:val="bottom"/>
            <w:gridSpan w:val="2"/>
            <w:vMerge w:val="continue"/>
          </w:tcPr>
          <w:p>
            <w:pPr>
              <w:spacing w:after="0"/>
              <w:rPr>
                <w:sz w:val="19"/>
                <w:szCs w:val="19"/>
                <w:color w:val="auto"/>
              </w:rPr>
            </w:pPr>
          </w:p>
        </w:tc>
        <w:tc>
          <w:tcPr>
            <w:tcW w:w="19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84" w:right="339" w:bottom="144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5"/>
          <w:szCs w:val="35"/>
          <w:color w:val="auto"/>
        </w:rPr>
        <w:t>Supplemental Schedules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9019"/>
          </w:cols>
          <w:pgMar w:left="1440" w:top="1440" w:right="1440" w:bottom="1440" w:gutter="0" w:footer="0" w:header="0"/>
          <w:type w:val="continuous"/>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25"/>
          <w:szCs w:val="25"/>
          <w:color w:val="auto"/>
        </w:rPr>
        <w:t>The Lilly Employee 401(k) Plan</w:t>
      </w: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color w:val="auto"/>
        </w:rPr>
        <w:t>EIN 35-0470950 Plan No. 002</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color w:val="auto"/>
        </w:rPr>
        <w:t>Schedule H, Line 4i – Schedule of Assets</w:t>
      </w:r>
    </w:p>
    <w:p>
      <w:pPr>
        <w:spacing w:after="0" w:line="1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color w:val="auto"/>
        </w:rPr>
        <w:t>(Held at End of Year)</w:t>
      </w: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440" w:type="dxa"/>
            <w:vAlign w:val="bottom"/>
          </w:tcPr>
          <w:p>
            <w:pPr>
              <w:spacing w:after="0"/>
              <w:rPr>
                <w:sz w:val="22"/>
                <w:szCs w:val="22"/>
                <w:color w:val="auto"/>
              </w:rPr>
            </w:pPr>
          </w:p>
        </w:tc>
        <w:tc>
          <w:tcPr>
            <w:tcW w:w="3080" w:type="dxa"/>
            <w:vAlign w:val="bottom"/>
          </w:tcPr>
          <w:p>
            <w:pPr>
              <w:jc w:val="center"/>
              <w:ind w:left="501"/>
              <w:spacing w:after="0"/>
              <w:rPr>
                <w:sz w:val="20"/>
                <w:szCs w:val="20"/>
                <w:color w:val="auto"/>
              </w:rPr>
            </w:pPr>
            <w:r>
              <w:rPr>
                <w:rFonts w:ascii="Times New Roman" w:cs="Times New Roman" w:eastAsia="Times New Roman" w:hAnsi="Times New Roman"/>
                <w:sz w:val="20"/>
                <w:szCs w:val="20"/>
                <w:b w:val="1"/>
                <w:bCs w:val="1"/>
                <w:color w:val="auto"/>
                <w:w w:val="99"/>
              </w:rPr>
              <w:t>Description of</w:t>
            </w:r>
          </w:p>
        </w:tc>
        <w:tc>
          <w:tcPr>
            <w:tcW w:w="72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57"/>
        </w:trPr>
        <w:tc>
          <w:tcPr>
            <w:tcW w:w="3440" w:type="dxa"/>
            <w:vAlign w:val="bottom"/>
          </w:tcPr>
          <w:p>
            <w:pPr>
              <w:spacing w:after="0"/>
              <w:rPr>
                <w:sz w:val="22"/>
                <w:szCs w:val="22"/>
                <w:color w:val="auto"/>
              </w:rPr>
            </w:pPr>
          </w:p>
        </w:tc>
        <w:tc>
          <w:tcPr>
            <w:tcW w:w="3080" w:type="dxa"/>
            <w:vAlign w:val="bottom"/>
          </w:tcPr>
          <w:p>
            <w:pPr>
              <w:jc w:val="center"/>
              <w:ind w:left="501"/>
              <w:spacing w:after="0"/>
              <w:rPr>
                <w:sz w:val="20"/>
                <w:szCs w:val="20"/>
                <w:color w:val="auto"/>
              </w:rPr>
            </w:pPr>
            <w:r>
              <w:rPr>
                <w:rFonts w:ascii="Times New Roman" w:cs="Times New Roman" w:eastAsia="Times New Roman" w:hAnsi="Times New Roman"/>
                <w:sz w:val="20"/>
                <w:szCs w:val="20"/>
                <w:b w:val="1"/>
                <w:bCs w:val="1"/>
                <w:color w:val="auto"/>
                <w:w w:val="99"/>
              </w:rPr>
              <w:t>Investment, including</w:t>
            </w:r>
          </w:p>
        </w:tc>
        <w:tc>
          <w:tcPr>
            <w:tcW w:w="72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57"/>
        </w:trPr>
        <w:tc>
          <w:tcPr>
            <w:tcW w:w="3440" w:type="dxa"/>
            <w:vAlign w:val="bottom"/>
          </w:tcPr>
          <w:p>
            <w:pPr>
              <w:spacing w:after="0"/>
              <w:rPr>
                <w:sz w:val="22"/>
                <w:szCs w:val="22"/>
                <w:color w:val="auto"/>
              </w:rPr>
            </w:pPr>
          </w:p>
        </w:tc>
        <w:tc>
          <w:tcPr>
            <w:tcW w:w="3080" w:type="dxa"/>
            <w:vAlign w:val="bottom"/>
          </w:tcPr>
          <w:p>
            <w:pPr>
              <w:jc w:val="center"/>
              <w:ind w:left="501"/>
              <w:spacing w:after="0"/>
              <w:rPr>
                <w:sz w:val="20"/>
                <w:szCs w:val="20"/>
                <w:color w:val="auto"/>
              </w:rPr>
            </w:pPr>
            <w:r>
              <w:rPr>
                <w:rFonts w:ascii="Times New Roman" w:cs="Times New Roman" w:eastAsia="Times New Roman" w:hAnsi="Times New Roman"/>
                <w:sz w:val="20"/>
                <w:szCs w:val="20"/>
                <w:b w:val="1"/>
                <w:bCs w:val="1"/>
                <w:color w:val="auto"/>
                <w:w w:val="98"/>
              </w:rPr>
              <w:t>Maturity Date, Rate of</w:t>
            </w:r>
          </w:p>
        </w:tc>
        <w:tc>
          <w:tcPr>
            <w:tcW w:w="72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57"/>
        </w:trPr>
        <w:tc>
          <w:tcPr>
            <w:tcW w:w="3440" w:type="dxa"/>
            <w:vAlign w:val="bottom"/>
          </w:tcPr>
          <w:p>
            <w:pPr>
              <w:jc w:val="center"/>
              <w:ind w:left="241"/>
              <w:spacing w:after="0"/>
              <w:rPr>
                <w:sz w:val="20"/>
                <w:szCs w:val="20"/>
                <w:color w:val="auto"/>
              </w:rPr>
            </w:pPr>
            <w:r>
              <w:rPr>
                <w:rFonts w:ascii="Times New Roman" w:cs="Times New Roman" w:eastAsia="Times New Roman" w:hAnsi="Times New Roman"/>
                <w:sz w:val="20"/>
                <w:szCs w:val="20"/>
                <w:b w:val="1"/>
                <w:bCs w:val="1"/>
                <w:color w:val="auto"/>
                <w:w w:val="97"/>
              </w:rPr>
              <w:t>Identity of Issuer, Borrower,</w:t>
            </w:r>
          </w:p>
        </w:tc>
        <w:tc>
          <w:tcPr>
            <w:tcW w:w="3080" w:type="dxa"/>
            <w:vAlign w:val="bottom"/>
          </w:tcPr>
          <w:p>
            <w:pPr>
              <w:jc w:val="center"/>
              <w:ind w:left="501"/>
              <w:spacing w:after="0"/>
              <w:rPr>
                <w:sz w:val="20"/>
                <w:szCs w:val="20"/>
                <w:color w:val="auto"/>
              </w:rPr>
            </w:pPr>
            <w:r>
              <w:rPr>
                <w:rFonts w:ascii="Times New Roman" w:cs="Times New Roman" w:eastAsia="Times New Roman" w:hAnsi="Times New Roman"/>
                <w:sz w:val="20"/>
                <w:szCs w:val="20"/>
                <w:b w:val="1"/>
                <w:bCs w:val="1"/>
                <w:color w:val="auto"/>
                <w:w w:val="96"/>
              </w:rPr>
              <w:t>Interest, Par, or</w:t>
            </w:r>
          </w:p>
        </w:tc>
        <w:tc>
          <w:tcPr>
            <w:tcW w:w="720" w:type="dxa"/>
            <w:vAlign w:val="bottom"/>
          </w:tcPr>
          <w:p>
            <w:pPr>
              <w:spacing w:after="0"/>
              <w:rPr>
                <w:sz w:val="22"/>
                <w:szCs w:val="22"/>
                <w:color w:val="auto"/>
              </w:rPr>
            </w:pPr>
          </w:p>
        </w:tc>
        <w:tc>
          <w:tcPr>
            <w:tcW w:w="1860" w:type="dxa"/>
            <w:vAlign w:val="bottom"/>
          </w:tcPr>
          <w:p>
            <w:pPr>
              <w:jc w:val="center"/>
              <w:ind w:right="361"/>
              <w:spacing w:after="0"/>
              <w:rPr>
                <w:sz w:val="20"/>
                <w:szCs w:val="20"/>
                <w:color w:val="auto"/>
              </w:rPr>
            </w:pPr>
            <w:r>
              <w:rPr>
                <w:rFonts w:ascii="Times New Roman" w:cs="Times New Roman" w:eastAsia="Times New Roman" w:hAnsi="Times New Roman"/>
                <w:sz w:val="20"/>
                <w:szCs w:val="20"/>
                <w:b w:val="1"/>
                <w:bCs w:val="1"/>
                <w:color w:val="auto"/>
                <w:w w:val="97"/>
              </w:rPr>
              <w:t>Current</w:t>
            </w:r>
          </w:p>
        </w:tc>
      </w:tr>
      <w:tr>
        <w:trPr>
          <w:trHeight w:val="266"/>
        </w:trPr>
        <w:tc>
          <w:tcPr>
            <w:tcW w:w="3440" w:type="dxa"/>
            <w:vAlign w:val="bottom"/>
            <w:tcBorders>
              <w:bottom w:val="single" w:sz="8" w:color="auto"/>
            </w:tcBorders>
          </w:tcPr>
          <w:p>
            <w:pPr>
              <w:jc w:val="center"/>
              <w:ind w:left="241"/>
              <w:spacing w:after="0"/>
              <w:rPr>
                <w:sz w:val="20"/>
                <w:szCs w:val="20"/>
                <w:color w:val="auto"/>
              </w:rPr>
            </w:pPr>
            <w:r>
              <w:rPr>
                <w:rFonts w:ascii="Times New Roman" w:cs="Times New Roman" w:eastAsia="Times New Roman" w:hAnsi="Times New Roman"/>
                <w:sz w:val="20"/>
                <w:szCs w:val="20"/>
                <w:b w:val="1"/>
                <w:bCs w:val="1"/>
                <w:color w:val="auto"/>
                <w:w w:val="97"/>
              </w:rPr>
              <w:t>Lessor, or Similar Party</w:t>
            </w:r>
          </w:p>
        </w:tc>
        <w:tc>
          <w:tcPr>
            <w:tcW w:w="3080" w:type="dxa"/>
            <w:vAlign w:val="bottom"/>
            <w:tcBorders>
              <w:bottom w:val="single" w:sz="8" w:color="auto"/>
            </w:tcBorders>
          </w:tcPr>
          <w:p>
            <w:pPr>
              <w:jc w:val="center"/>
              <w:ind w:left="501"/>
              <w:spacing w:after="0"/>
              <w:rPr>
                <w:sz w:val="20"/>
                <w:szCs w:val="20"/>
                <w:color w:val="auto"/>
              </w:rPr>
            </w:pPr>
            <w:r>
              <w:rPr>
                <w:rFonts w:ascii="Times New Roman" w:cs="Times New Roman" w:eastAsia="Times New Roman" w:hAnsi="Times New Roman"/>
                <w:sz w:val="20"/>
                <w:szCs w:val="20"/>
                <w:b w:val="1"/>
                <w:bCs w:val="1"/>
                <w:color w:val="auto"/>
                <w:w w:val="96"/>
              </w:rPr>
              <w:t>Maturity Value</w:t>
            </w:r>
          </w:p>
        </w:tc>
        <w:tc>
          <w:tcPr>
            <w:tcW w:w="72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center"/>
              <w:ind w:right="361"/>
              <w:spacing w:after="0"/>
              <w:rPr>
                <w:sz w:val="20"/>
                <w:szCs w:val="20"/>
                <w:color w:val="auto"/>
              </w:rPr>
            </w:pPr>
            <w:r>
              <w:rPr>
                <w:rFonts w:ascii="Times New Roman" w:cs="Times New Roman" w:eastAsia="Times New Roman" w:hAnsi="Times New Roman"/>
                <w:sz w:val="20"/>
                <w:szCs w:val="20"/>
                <w:b w:val="1"/>
                <w:bCs w:val="1"/>
                <w:color w:val="auto"/>
                <w:w w:val="95"/>
              </w:rPr>
              <w:t>Value</w:t>
            </w:r>
          </w:p>
        </w:tc>
      </w:tr>
      <w:tr>
        <w:trPr>
          <w:trHeight w:val="541"/>
        </w:trPr>
        <w:tc>
          <w:tcPr>
            <w:tcW w:w="3440" w:type="dxa"/>
            <w:vAlign w:val="bottom"/>
          </w:tcPr>
          <w:p>
            <w:pPr>
              <w:spacing w:after="0"/>
              <w:rPr>
                <w:sz w:val="20"/>
                <w:szCs w:val="20"/>
                <w:color w:val="auto"/>
              </w:rPr>
            </w:pPr>
            <w:r>
              <w:rPr>
                <w:rFonts w:ascii="Times New Roman" w:cs="Times New Roman" w:eastAsia="Times New Roman" w:hAnsi="Times New Roman"/>
                <w:sz w:val="20"/>
                <w:szCs w:val="20"/>
                <w:color w:val="auto"/>
              </w:rPr>
              <w:t>Loans to participants*</w:t>
            </w:r>
          </w:p>
        </w:tc>
        <w:tc>
          <w:tcPr>
            <w:tcW w:w="30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Interest rates ranging</w:t>
            </w:r>
          </w:p>
        </w:tc>
        <w:tc>
          <w:tcPr>
            <w:tcW w:w="72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26,081,722</w:t>
            </w:r>
          </w:p>
        </w:tc>
      </w:tr>
      <w:tr>
        <w:trPr>
          <w:trHeight w:val="258"/>
        </w:trPr>
        <w:tc>
          <w:tcPr>
            <w:tcW w:w="3440" w:type="dxa"/>
            <w:vAlign w:val="bottom"/>
          </w:tcPr>
          <w:p>
            <w:pPr>
              <w:spacing w:after="0"/>
              <w:rPr>
                <w:sz w:val="22"/>
                <w:szCs w:val="22"/>
                <w:color w:val="auto"/>
              </w:rPr>
            </w:pPr>
          </w:p>
        </w:tc>
        <w:tc>
          <w:tcPr>
            <w:tcW w:w="308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from 4.25% to 10.25%</w:t>
            </w:r>
          </w:p>
        </w:tc>
        <w:tc>
          <w:tcPr>
            <w:tcW w:w="72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513"/>
        </w:trPr>
        <w:tc>
          <w:tcPr>
            <w:tcW w:w="3440" w:type="dxa"/>
            <w:vAlign w:val="bottom"/>
          </w:tcPr>
          <w:p>
            <w:pPr>
              <w:spacing w:after="0"/>
              <w:rPr>
                <w:sz w:val="20"/>
                <w:szCs w:val="20"/>
                <w:color w:val="auto"/>
              </w:rPr>
            </w:pPr>
            <w:r>
              <w:rPr>
                <w:rFonts w:ascii="Times New Roman" w:cs="Times New Roman" w:eastAsia="Times New Roman" w:hAnsi="Times New Roman"/>
                <w:sz w:val="20"/>
                <w:szCs w:val="20"/>
                <w:color w:val="auto"/>
              </w:rPr>
              <w:t>*Parties in interest</w:t>
            </w:r>
          </w:p>
        </w:tc>
        <w:tc>
          <w:tcPr>
            <w:tcW w:w="3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9100"/>
          </w:cols>
          <w:pgMar w:left="1400" w:top="913" w:right="1399" w:bottom="1440" w:gutter="0" w:footer="0" w:header="0"/>
        </w:sectPr>
      </w:pPr>
    </w:p>
    <w:bookmarkStart w:id="19" w:name="page20"/>
    <w:bookmarkEnd w:id="19"/>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The Savings Plan for Lilly Affiliate Employees in Puerto Rico</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EIN 98-0167031 Plan No. 004</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Schedule H, Line 4i – Schedule of Assets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(Held at End of Year)</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460" w:type="dxa"/>
            <w:vAlign w:val="bottom"/>
          </w:tcPr>
          <w:p>
            <w:pPr>
              <w:spacing w:after="0"/>
              <w:rPr>
                <w:sz w:val="22"/>
                <w:szCs w:val="22"/>
                <w:color w:val="auto"/>
              </w:rPr>
            </w:pPr>
          </w:p>
        </w:tc>
        <w:tc>
          <w:tcPr>
            <w:tcW w:w="3080" w:type="dxa"/>
            <w:vAlign w:val="bottom"/>
          </w:tcPr>
          <w:p>
            <w:pPr>
              <w:jc w:val="center"/>
              <w:ind w:left="481"/>
              <w:spacing w:after="0"/>
              <w:rPr>
                <w:sz w:val="20"/>
                <w:szCs w:val="20"/>
                <w:color w:val="auto"/>
              </w:rPr>
            </w:pPr>
            <w:r>
              <w:rPr>
                <w:rFonts w:ascii="Times New Roman" w:cs="Times New Roman" w:eastAsia="Times New Roman" w:hAnsi="Times New Roman"/>
                <w:sz w:val="20"/>
                <w:szCs w:val="20"/>
                <w:b w:val="1"/>
                <w:bCs w:val="1"/>
                <w:color w:val="auto"/>
                <w:w w:val="97"/>
              </w:rPr>
              <w:t>Description of</w:t>
            </w:r>
          </w:p>
        </w:tc>
        <w:tc>
          <w:tcPr>
            <w:tcW w:w="72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57"/>
        </w:trPr>
        <w:tc>
          <w:tcPr>
            <w:tcW w:w="3460" w:type="dxa"/>
            <w:vAlign w:val="bottom"/>
          </w:tcPr>
          <w:p>
            <w:pPr>
              <w:spacing w:after="0"/>
              <w:rPr>
                <w:sz w:val="22"/>
                <w:szCs w:val="22"/>
                <w:color w:val="auto"/>
              </w:rPr>
            </w:pPr>
          </w:p>
        </w:tc>
        <w:tc>
          <w:tcPr>
            <w:tcW w:w="3080" w:type="dxa"/>
            <w:vAlign w:val="bottom"/>
          </w:tcPr>
          <w:p>
            <w:pPr>
              <w:jc w:val="center"/>
              <w:ind w:left="501"/>
              <w:spacing w:after="0"/>
              <w:rPr>
                <w:sz w:val="20"/>
                <w:szCs w:val="20"/>
                <w:color w:val="auto"/>
              </w:rPr>
            </w:pPr>
            <w:r>
              <w:rPr>
                <w:rFonts w:ascii="Times New Roman" w:cs="Times New Roman" w:eastAsia="Times New Roman" w:hAnsi="Times New Roman"/>
                <w:sz w:val="20"/>
                <w:szCs w:val="20"/>
                <w:b w:val="1"/>
                <w:bCs w:val="1"/>
                <w:color w:val="auto"/>
                <w:w w:val="99"/>
              </w:rPr>
              <w:t>Investment, including</w:t>
            </w:r>
          </w:p>
        </w:tc>
        <w:tc>
          <w:tcPr>
            <w:tcW w:w="72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57"/>
        </w:trPr>
        <w:tc>
          <w:tcPr>
            <w:tcW w:w="3460" w:type="dxa"/>
            <w:vAlign w:val="bottom"/>
          </w:tcPr>
          <w:p>
            <w:pPr>
              <w:spacing w:after="0"/>
              <w:rPr>
                <w:sz w:val="22"/>
                <w:szCs w:val="22"/>
                <w:color w:val="auto"/>
              </w:rPr>
            </w:pPr>
          </w:p>
        </w:tc>
        <w:tc>
          <w:tcPr>
            <w:tcW w:w="3080" w:type="dxa"/>
            <w:vAlign w:val="bottom"/>
          </w:tcPr>
          <w:p>
            <w:pPr>
              <w:jc w:val="center"/>
              <w:ind w:left="501"/>
              <w:spacing w:after="0"/>
              <w:rPr>
                <w:sz w:val="20"/>
                <w:szCs w:val="20"/>
                <w:color w:val="auto"/>
              </w:rPr>
            </w:pPr>
            <w:r>
              <w:rPr>
                <w:rFonts w:ascii="Times New Roman" w:cs="Times New Roman" w:eastAsia="Times New Roman" w:hAnsi="Times New Roman"/>
                <w:sz w:val="20"/>
                <w:szCs w:val="20"/>
                <w:b w:val="1"/>
                <w:bCs w:val="1"/>
                <w:color w:val="auto"/>
                <w:w w:val="98"/>
              </w:rPr>
              <w:t>Maturity Date, Rate of</w:t>
            </w:r>
          </w:p>
        </w:tc>
        <w:tc>
          <w:tcPr>
            <w:tcW w:w="72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56"/>
        </w:trPr>
        <w:tc>
          <w:tcPr>
            <w:tcW w:w="3460" w:type="dxa"/>
            <w:vAlign w:val="bottom"/>
          </w:tcPr>
          <w:p>
            <w:pPr>
              <w:jc w:val="center"/>
              <w:ind w:left="221"/>
              <w:spacing w:after="0"/>
              <w:rPr>
                <w:sz w:val="20"/>
                <w:szCs w:val="20"/>
                <w:color w:val="auto"/>
              </w:rPr>
            </w:pPr>
            <w:r>
              <w:rPr>
                <w:rFonts w:ascii="Times New Roman" w:cs="Times New Roman" w:eastAsia="Times New Roman" w:hAnsi="Times New Roman"/>
                <w:sz w:val="20"/>
                <w:szCs w:val="20"/>
                <w:b w:val="1"/>
                <w:bCs w:val="1"/>
                <w:color w:val="auto"/>
                <w:w w:val="97"/>
              </w:rPr>
              <w:t>Identity of Issuer, Borrower,</w:t>
            </w:r>
          </w:p>
        </w:tc>
        <w:tc>
          <w:tcPr>
            <w:tcW w:w="3080" w:type="dxa"/>
            <w:vAlign w:val="bottom"/>
          </w:tcPr>
          <w:p>
            <w:pPr>
              <w:jc w:val="center"/>
              <w:ind w:left="481"/>
              <w:spacing w:after="0"/>
              <w:rPr>
                <w:sz w:val="20"/>
                <w:szCs w:val="20"/>
                <w:color w:val="auto"/>
              </w:rPr>
            </w:pPr>
            <w:r>
              <w:rPr>
                <w:rFonts w:ascii="Times New Roman" w:cs="Times New Roman" w:eastAsia="Times New Roman" w:hAnsi="Times New Roman"/>
                <w:sz w:val="20"/>
                <w:szCs w:val="20"/>
                <w:b w:val="1"/>
                <w:bCs w:val="1"/>
                <w:color w:val="auto"/>
                <w:w w:val="98"/>
              </w:rPr>
              <w:t>Interest, Par, or</w:t>
            </w:r>
          </w:p>
        </w:tc>
        <w:tc>
          <w:tcPr>
            <w:tcW w:w="720" w:type="dxa"/>
            <w:vAlign w:val="bottom"/>
          </w:tcPr>
          <w:p>
            <w:pPr>
              <w:spacing w:after="0"/>
              <w:rPr>
                <w:sz w:val="22"/>
                <w:szCs w:val="22"/>
                <w:color w:val="auto"/>
              </w:rPr>
            </w:pPr>
          </w:p>
        </w:tc>
        <w:tc>
          <w:tcPr>
            <w:tcW w:w="1860" w:type="dxa"/>
            <w:vAlign w:val="bottom"/>
          </w:tcPr>
          <w:p>
            <w:pPr>
              <w:jc w:val="center"/>
              <w:ind w:right="361"/>
              <w:spacing w:after="0"/>
              <w:rPr>
                <w:sz w:val="20"/>
                <w:szCs w:val="20"/>
                <w:color w:val="auto"/>
              </w:rPr>
            </w:pPr>
            <w:r>
              <w:rPr>
                <w:rFonts w:ascii="Times New Roman" w:cs="Times New Roman" w:eastAsia="Times New Roman" w:hAnsi="Times New Roman"/>
                <w:sz w:val="20"/>
                <w:szCs w:val="20"/>
                <w:b w:val="1"/>
                <w:bCs w:val="1"/>
                <w:color w:val="auto"/>
                <w:w w:val="97"/>
              </w:rPr>
              <w:t>Current</w:t>
            </w:r>
          </w:p>
        </w:tc>
      </w:tr>
      <w:tr>
        <w:trPr>
          <w:trHeight w:val="266"/>
        </w:trPr>
        <w:tc>
          <w:tcPr>
            <w:tcW w:w="3460" w:type="dxa"/>
            <w:vAlign w:val="bottom"/>
            <w:tcBorders>
              <w:bottom w:val="single" w:sz="8" w:color="auto"/>
            </w:tcBorders>
          </w:tcPr>
          <w:p>
            <w:pPr>
              <w:jc w:val="center"/>
              <w:ind w:left="241"/>
              <w:spacing w:after="0"/>
              <w:rPr>
                <w:sz w:val="20"/>
                <w:szCs w:val="20"/>
                <w:color w:val="auto"/>
              </w:rPr>
            </w:pPr>
            <w:r>
              <w:rPr>
                <w:rFonts w:ascii="Times New Roman" w:cs="Times New Roman" w:eastAsia="Times New Roman" w:hAnsi="Times New Roman"/>
                <w:sz w:val="20"/>
                <w:szCs w:val="20"/>
                <w:b w:val="1"/>
                <w:bCs w:val="1"/>
                <w:color w:val="auto"/>
                <w:w w:val="98"/>
              </w:rPr>
              <w:t>Lessor, or Similar Party</w:t>
            </w:r>
          </w:p>
        </w:tc>
        <w:tc>
          <w:tcPr>
            <w:tcW w:w="3080" w:type="dxa"/>
            <w:vAlign w:val="bottom"/>
            <w:tcBorders>
              <w:bottom w:val="single" w:sz="8" w:color="auto"/>
            </w:tcBorders>
          </w:tcPr>
          <w:p>
            <w:pPr>
              <w:jc w:val="center"/>
              <w:ind w:left="481"/>
              <w:spacing w:after="0"/>
              <w:rPr>
                <w:sz w:val="20"/>
                <w:szCs w:val="20"/>
                <w:color w:val="auto"/>
              </w:rPr>
            </w:pPr>
            <w:r>
              <w:rPr>
                <w:rFonts w:ascii="Times New Roman" w:cs="Times New Roman" w:eastAsia="Times New Roman" w:hAnsi="Times New Roman"/>
                <w:sz w:val="20"/>
                <w:szCs w:val="20"/>
                <w:b w:val="1"/>
                <w:bCs w:val="1"/>
                <w:color w:val="auto"/>
                <w:w w:val="97"/>
              </w:rPr>
              <w:t>Maturity Value</w:t>
            </w:r>
          </w:p>
        </w:tc>
        <w:tc>
          <w:tcPr>
            <w:tcW w:w="72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center"/>
              <w:ind w:right="361"/>
              <w:spacing w:after="0"/>
              <w:rPr>
                <w:sz w:val="20"/>
                <w:szCs w:val="20"/>
                <w:color w:val="auto"/>
              </w:rPr>
            </w:pPr>
            <w:r>
              <w:rPr>
                <w:rFonts w:ascii="Times New Roman" w:cs="Times New Roman" w:eastAsia="Times New Roman" w:hAnsi="Times New Roman"/>
                <w:sz w:val="20"/>
                <w:szCs w:val="20"/>
                <w:b w:val="1"/>
                <w:bCs w:val="1"/>
                <w:color w:val="auto"/>
                <w:w w:val="95"/>
              </w:rPr>
              <w:t>Value</w:t>
            </w:r>
          </w:p>
        </w:tc>
      </w:tr>
      <w:tr>
        <w:trPr>
          <w:trHeight w:val="541"/>
        </w:trPr>
        <w:tc>
          <w:tcPr>
            <w:tcW w:w="34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Loans to participants*</w:t>
            </w:r>
          </w:p>
        </w:tc>
        <w:tc>
          <w:tcPr>
            <w:tcW w:w="30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Interest rates ranging</w:t>
            </w:r>
          </w:p>
        </w:tc>
        <w:tc>
          <w:tcPr>
            <w:tcW w:w="72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2,338,156</w:t>
            </w:r>
          </w:p>
        </w:tc>
      </w:tr>
      <w:tr>
        <w:trPr>
          <w:trHeight w:val="258"/>
        </w:trPr>
        <w:tc>
          <w:tcPr>
            <w:tcW w:w="3460" w:type="dxa"/>
            <w:vAlign w:val="bottom"/>
          </w:tcPr>
          <w:p>
            <w:pPr>
              <w:spacing w:after="0"/>
              <w:rPr>
                <w:sz w:val="22"/>
                <w:szCs w:val="22"/>
                <w:color w:val="auto"/>
              </w:rPr>
            </w:pPr>
          </w:p>
        </w:tc>
        <w:tc>
          <w:tcPr>
            <w:tcW w:w="308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from 4.25% to 9.50%</w:t>
            </w:r>
          </w:p>
        </w:tc>
        <w:tc>
          <w:tcPr>
            <w:tcW w:w="72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513"/>
        </w:trPr>
        <w:tc>
          <w:tcPr>
            <w:tcW w:w="34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*Parties in interest</w:t>
            </w:r>
          </w:p>
        </w:tc>
        <w:tc>
          <w:tcPr>
            <w:tcW w:w="3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120"/>
          </w:cols>
          <w:pgMar w:left="1380" w:top="1440"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9120"/>
          </w:cols>
          <w:pgMar w:left="1380" w:top="1440" w:right="1399" w:bottom="1440" w:gutter="0" w:footer="0" w:header="0"/>
          <w:type w:val="continuous"/>
        </w:sectPr>
      </w:pPr>
    </w:p>
    <w:bookmarkStart w:id="20" w:name="page21"/>
    <w:bookmarkEnd w:id="2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372" w:lineRule="exact"/>
        <w:rPr>
          <w:sz w:val="20"/>
          <w:szCs w:val="20"/>
          <w:color w:val="auto"/>
        </w:rPr>
      </w:pPr>
    </w:p>
    <w:p>
      <w:pPr>
        <w:spacing w:after="0" w:line="386" w:lineRule="auto"/>
        <w:rPr>
          <w:sz w:val="20"/>
          <w:szCs w:val="20"/>
          <w:color w:val="auto"/>
        </w:rPr>
      </w:pPr>
      <w:r>
        <w:rPr>
          <w:rFonts w:ascii="Times New Roman" w:cs="Times New Roman" w:eastAsia="Times New Roman" w:hAnsi="Times New Roman"/>
          <w:sz w:val="22"/>
          <w:szCs w:val="22"/>
          <w:color w:val="auto"/>
        </w:rPr>
        <w:t>The Plans. Pursuant to the requirements of the Securities Exchange Act of 1934, the trustees (or other persons who administer the Plans) have duly caused this annual report to be signed on its behalf by the undersigned hereunto duly authorized.</w:t>
      </w:r>
    </w:p>
    <w:p>
      <w:pPr>
        <w:spacing w:after="0" w:line="200" w:lineRule="exact"/>
        <w:rPr>
          <w:sz w:val="20"/>
          <w:szCs w:val="20"/>
          <w:color w:val="auto"/>
        </w:rPr>
      </w:pP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320" w:type="dxa"/>
            <w:vAlign w:val="bottom"/>
          </w:tcPr>
          <w:p>
            <w:pPr>
              <w:spacing w:after="0"/>
              <w:rPr>
                <w:sz w:val="24"/>
                <w:szCs w:val="24"/>
                <w:color w:val="auto"/>
              </w:rPr>
            </w:pPr>
          </w:p>
        </w:tc>
        <w:tc>
          <w:tcPr>
            <w:tcW w:w="6980" w:type="dxa"/>
            <w:vAlign w:val="bottom"/>
            <w:gridSpan w:val="3"/>
          </w:tcPr>
          <w:p>
            <w:pPr>
              <w:ind w:left="1580"/>
              <w:spacing w:after="0"/>
              <w:rPr>
                <w:sz w:val="20"/>
                <w:szCs w:val="20"/>
                <w:color w:val="auto"/>
              </w:rPr>
            </w:pPr>
            <w:r>
              <w:rPr>
                <w:rFonts w:ascii="Times New Roman" w:cs="Times New Roman" w:eastAsia="Times New Roman" w:hAnsi="Times New Roman"/>
                <w:sz w:val="22"/>
                <w:szCs w:val="22"/>
                <w:color w:val="auto"/>
              </w:rPr>
              <w:t>The Lilly Employee 401(k) Plan</w:t>
            </w:r>
          </w:p>
        </w:tc>
      </w:tr>
      <w:tr>
        <w:trPr>
          <w:trHeight w:val="542"/>
        </w:trPr>
        <w:tc>
          <w:tcPr>
            <w:tcW w:w="3320" w:type="dxa"/>
            <w:vAlign w:val="bottom"/>
          </w:tcPr>
          <w:p>
            <w:pPr>
              <w:spacing w:after="0"/>
              <w:rPr>
                <w:sz w:val="20"/>
                <w:szCs w:val="20"/>
                <w:color w:val="auto"/>
              </w:rPr>
            </w:pPr>
            <w:r>
              <w:rPr>
                <w:rFonts w:ascii="Times New Roman" w:cs="Times New Roman" w:eastAsia="Times New Roman" w:hAnsi="Times New Roman"/>
                <w:sz w:val="22"/>
                <w:szCs w:val="22"/>
                <w:color w:val="auto"/>
              </w:rPr>
              <w:t>Date: June 24, 2024</w:t>
            </w:r>
          </w:p>
        </w:tc>
        <w:tc>
          <w:tcPr>
            <w:tcW w:w="6980" w:type="dxa"/>
            <w:vAlign w:val="bottom"/>
            <w:gridSpan w:val="3"/>
          </w:tcPr>
          <w:p>
            <w:pPr>
              <w:ind w:left="1580"/>
              <w:spacing w:after="0"/>
              <w:rPr>
                <w:sz w:val="20"/>
                <w:szCs w:val="20"/>
                <w:color w:val="auto"/>
              </w:rPr>
            </w:pPr>
            <w:r>
              <w:rPr>
                <w:rFonts w:ascii="Times New Roman" w:cs="Times New Roman" w:eastAsia="Times New Roman" w:hAnsi="Times New Roman"/>
                <w:sz w:val="22"/>
                <w:szCs w:val="22"/>
                <w:color w:val="auto"/>
              </w:rPr>
              <w:t>By: /s/ Stacey M. Roberson</w:t>
            </w:r>
          </w:p>
        </w:tc>
      </w:tr>
      <w:tr>
        <w:trPr>
          <w:trHeight w:val="20"/>
        </w:trPr>
        <w:tc>
          <w:tcPr>
            <w:tcW w:w="3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90"/>
        </w:trPr>
        <w:tc>
          <w:tcPr>
            <w:tcW w:w="3320" w:type="dxa"/>
            <w:vAlign w:val="bottom"/>
          </w:tcPr>
          <w:p>
            <w:pPr>
              <w:spacing w:after="0"/>
              <w:rPr>
                <w:sz w:val="24"/>
                <w:szCs w:val="24"/>
                <w:color w:val="auto"/>
              </w:rPr>
            </w:pPr>
          </w:p>
        </w:tc>
        <w:tc>
          <w:tcPr>
            <w:tcW w:w="6980" w:type="dxa"/>
            <w:vAlign w:val="bottom"/>
            <w:gridSpan w:val="3"/>
          </w:tcPr>
          <w:p>
            <w:pPr>
              <w:ind w:left="1920"/>
              <w:spacing w:after="0"/>
              <w:rPr>
                <w:sz w:val="20"/>
                <w:szCs w:val="20"/>
                <w:color w:val="auto"/>
              </w:rPr>
            </w:pPr>
            <w:r>
              <w:rPr>
                <w:rFonts w:ascii="Times New Roman" w:cs="Times New Roman" w:eastAsia="Times New Roman" w:hAnsi="Times New Roman"/>
                <w:sz w:val="22"/>
                <w:szCs w:val="22"/>
                <w:color w:val="auto"/>
              </w:rPr>
              <w:t>Stacey M. Roberson</w:t>
            </w:r>
          </w:p>
        </w:tc>
      </w:tr>
      <w:tr>
        <w:trPr>
          <w:trHeight w:val="282"/>
        </w:trPr>
        <w:tc>
          <w:tcPr>
            <w:tcW w:w="3320" w:type="dxa"/>
            <w:vAlign w:val="bottom"/>
          </w:tcPr>
          <w:p>
            <w:pPr>
              <w:spacing w:after="0"/>
              <w:rPr>
                <w:sz w:val="24"/>
                <w:szCs w:val="24"/>
                <w:color w:val="auto"/>
              </w:rPr>
            </w:pPr>
          </w:p>
        </w:tc>
        <w:tc>
          <w:tcPr>
            <w:tcW w:w="6980" w:type="dxa"/>
            <w:vAlign w:val="bottom"/>
            <w:gridSpan w:val="3"/>
          </w:tcPr>
          <w:p>
            <w:pPr>
              <w:ind w:left="1920"/>
              <w:spacing w:after="0"/>
              <w:rPr>
                <w:sz w:val="20"/>
                <w:szCs w:val="20"/>
                <w:color w:val="auto"/>
              </w:rPr>
            </w:pPr>
            <w:r>
              <w:rPr>
                <w:rFonts w:ascii="Times New Roman" w:cs="Times New Roman" w:eastAsia="Times New Roman" w:hAnsi="Times New Roman"/>
                <w:sz w:val="22"/>
                <w:szCs w:val="22"/>
                <w:color w:val="auto"/>
              </w:rPr>
              <w:t>Employee Benefits Committee Member</w:t>
            </w:r>
          </w:p>
        </w:tc>
      </w:tr>
      <w:tr>
        <w:trPr>
          <w:trHeight w:val="715"/>
        </w:trPr>
        <w:tc>
          <w:tcPr>
            <w:tcW w:w="3320" w:type="dxa"/>
            <w:vAlign w:val="bottom"/>
          </w:tcPr>
          <w:p>
            <w:pPr>
              <w:spacing w:after="0"/>
              <w:rPr>
                <w:sz w:val="24"/>
                <w:szCs w:val="24"/>
                <w:color w:val="auto"/>
              </w:rPr>
            </w:pPr>
          </w:p>
        </w:tc>
        <w:tc>
          <w:tcPr>
            <w:tcW w:w="6980" w:type="dxa"/>
            <w:vAlign w:val="bottom"/>
            <w:gridSpan w:val="3"/>
          </w:tcPr>
          <w:p>
            <w:pPr>
              <w:ind w:left="1580"/>
              <w:spacing w:after="0"/>
              <w:rPr>
                <w:sz w:val="20"/>
                <w:szCs w:val="20"/>
                <w:color w:val="auto"/>
              </w:rPr>
            </w:pPr>
            <w:r>
              <w:rPr>
                <w:rFonts w:ascii="Times New Roman" w:cs="Times New Roman" w:eastAsia="Times New Roman" w:hAnsi="Times New Roman"/>
                <w:sz w:val="22"/>
                <w:szCs w:val="22"/>
                <w:color w:val="auto"/>
                <w:w w:val="97"/>
              </w:rPr>
              <w:t>The Savings Plan for Lilly Affiliate Employees in Puerto Rico</w:t>
            </w:r>
          </w:p>
        </w:tc>
      </w:tr>
      <w:tr>
        <w:trPr>
          <w:trHeight w:val="312"/>
        </w:trPr>
        <w:tc>
          <w:tcPr>
            <w:tcW w:w="3320" w:type="dxa"/>
            <w:vAlign w:val="bottom"/>
          </w:tcPr>
          <w:p>
            <w:pPr>
              <w:spacing w:after="0"/>
              <w:rPr>
                <w:sz w:val="20"/>
                <w:szCs w:val="20"/>
                <w:color w:val="auto"/>
              </w:rPr>
            </w:pPr>
            <w:r>
              <w:rPr>
                <w:rFonts w:ascii="Times New Roman" w:cs="Times New Roman" w:eastAsia="Times New Roman" w:hAnsi="Times New Roman"/>
                <w:sz w:val="22"/>
                <w:szCs w:val="22"/>
                <w:color w:val="auto"/>
              </w:rPr>
              <w:t>Date: June 24, 2024</w:t>
            </w:r>
          </w:p>
        </w:tc>
        <w:tc>
          <w:tcPr>
            <w:tcW w:w="6980" w:type="dxa"/>
            <w:vAlign w:val="bottom"/>
            <w:gridSpan w:val="3"/>
          </w:tcPr>
          <w:p>
            <w:pPr>
              <w:ind w:left="1580"/>
              <w:spacing w:after="0"/>
              <w:rPr>
                <w:sz w:val="20"/>
                <w:szCs w:val="20"/>
                <w:color w:val="auto"/>
              </w:rPr>
            </w:pPr>
            <w:r>
              <w:rPr>
                <w:rFonts w:ascii="Times New Roman" w:cs="Times New Roman" w:eastAsia="Times New Roman" w:hAnsi="Times New Roman"/>
                <w:sz w:val="22"/>
                <w:szCs w:val="22"/>
                <w:color w:val="auto"/>
              </w:rPr>
              <w:t>By: /s/ Stacey M. Roberson</w:t>
            </w:r>
          </w:p>
        </w:tc>
      </w:tr>
      <w:tr>
        <w:trPr>
          <w:trHeight w:val="20"/>
        </w:trPr>
        <w:tc>
          <w:tcPr>
            <w:tcW w:w="3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90"/>
        </w:trPr>
        <w:tc>
          <w:tcPr>
            <w:tcW w:w="3320" w:type="dxa"/>
            <w:vAlign w:val="bottom"/>
          </w:tcPr>
          <w:p>
            <w:pPr>
              <w:spacing w:after="0"/>
              <w:rPr>
                <w:sz w:val="24"/>
                <w:szCs w:val="24"/>
                <w:color w:val="auto"/>
              </w:rPr>
            </w:pPr>
          </w:p>
        </w:tc>
        <w:tc>
          <w:tcPr>
            <w:tcW w:w="6980" w:type="dxa"/>
            <w:vAlign w:val="bottom"/>
            <w:gridSpan w:val="3"/>
          </w:tcPr>
          <w:p>
            <w:pPr>
              <w:ind w:left="1920"/>
              <w:spacing w:after="0"/>
              <w:rPr>
                <w:sz w:val="20"/>
                <w:szCs w:val="20"/>
                <w:color w:val="auto"/>
              </w:rPr>
            </w:pPr>
            <w:r>
              <w:rPr>
                <w:rFonts w:ascii="Times New Roman" w:cs="Times New Roman" w:eastAsia="Times New Roman" w:hAnsi="Times New Roman"/>
                <w:sz w:val="22"/>
                <w:szCs w:val="22"/>
                <w:color w:val="auto"/>
              </w:rPr>
              <w:t>Stacey M. Roberson</w:t>
            </w:r>
          </w:p>
        </w:tc>
      </w:tr>
      <w:tr>
        <w:trPr>
          <w:trHeight w:val="282"/>
        </w:trPr>
        <w:tc>
          <w:tcPr>
            <w:tcW w:w="3320" w:type="dxa"/>
            <w:vAlign w:val="bottom"/>
          </w:tcPr>
          <w:p>
            <w:pPr>
              <w:spacing w:after="0"/>
              <w:rPr>
                <w:sz w:val="24"/>
                <w:szCs w:val="24"/>
                <w:color w:val="auto"/>
              </w:rPr>
            </w:pPr>
          </w:p>
        </w:tc>
        <w:tc>
          <w:tcPr>
            <w:tcW w:w="6980" w:type="dxa"/>
            <w:vAlign w:val="bottom"/>
            <w:gridSpan w:val="3"/>
          </w:tcPr>
          <w:p>
            <w:pPr>
              <w:ind w:left="1920"/>
              <w:spacing w:after="0"/>
              <w:rPr>
                <w:sz w:val="20"/>
                <w:szCs w:val="20"/>
                <w:color w:val="auto"/>
              </w:rPr>
            </w:pPr>
            <w:r>
              <w:rPr>
                <w:rFonts w:ascii="Times New Roman" w:cs="Times New Roman" w:eastAsia="Times New Roman" w:hAnsi="Times New Roman"/>
                <w:sz w:val="22"/>
                <w:szCs w:val="22"/>
                <w:color w:val="auto"/>
              </w:rPr>
              <w:t>Employee Benefits Committee Member</w:t>
            </w:r>
          </w:p>
        </w:tc>
      </w:tr>
      <w:tr>
        <w:trPr>
          <w:trHeight w:val="852"/>
        </w:trPr>
        <w:tc>
          <w:tcPr>
            <w:tcW w:w="3320" w:type="dxa"/>
            <w:vAlign w:val="bottom"/>
          </w:tcPr>
          <w:p>
            <w:pPr>
              <w:spacing w:after="0"/>
              <w:rPr>
                <w:sz w:val="24"/>
                <w:szCs w:val="24"/>
                <w:color w:val="auto"/>
              </w:rPr>
            </w:pPr>
          </w:p>
        </w:tc>
        <w:tc>
          <w:tcPr>
            <w:tcW w:w="396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21</w:t>
            </w:r>
          </w:p>
        </w:tc>
        <w:tc>
          <w:tcPr>
            <w:tcW w:w="3020" w:type="dxa"/>
            <w:vAlign w:val="bottom"/>
          </w:tcPr>
          <w:p>
            <w:pPr>
              <w:spacing w:after="0"/>
              <w:rPr>
                <w:sz w:val="24"/>
                <w:szCs w:val="24"/>
                <w:color w:val="auto"/>
              </w:rPr>
            </w:pPr>
          </w:p>
        </w:tc>
      </w:tr>
    </w:tbl>
    <w:p>
      <w:pPr>
        <w:sectPr>
          <w:pgSz w:w="11900" w:h="16838" w:orient="portrait"/>
          <w:cols w:equalWidth="0" w:num="1">
            <w:col w:w="11220"/>
          </w:cols>
          <w:pgMar w:left="320" w:top="945" w:right="359" w:bottom="1440" w:gutter="0" w:footer="0" w:header="0"/>
        </w:sectPr>
      </w:pPr>
    </w:p>
    <w:bookmarkStart w:id="21" w:name="page22"/>
    <w:bookmarkEnd w:id="21"/>
    <w:p>
      <w:pPr>
        <w:jc w:val="right"/>
        <w:ind w:right="3879"/>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w:t>
      </w:r>
    </w:p>
    <w:p>
      <w:pPr>
        <w:spacing w:after="0" w:line="1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u w:val="single" w:color="auto"/>
          <w:color w:val="auto"/>
        </w:rPr>
        <w:t>Number</w:t>
      </w:r>
      <w:r>
        <w:rPr>
          <w:sz w:val="20"/>
          <w:szCs w:val="20"/>
          <w:color w:val="auto"/>
        </w:rPr>
        <w:tab/>
      </w:r>
      <w:r>
        <w:rPr>
          <w:rFonts w:ascii="Times New Roman" w:cs="Times New Roman" w:eastAsia="Times New Roman" w:hAnsi="Times New Roman"/>
          <w:sz w:val="22"/>
          <w:szCs w:val="22"/>
          <w:u w:val="single" w:color="auto"/>
          <w:color w:val="auto"/>
        </w:rPr>
        <w:t>Description</w:t>
      </w:r>
    </w:p>
    <w:p>
      <w:pPr>
        <w:spacing w:after="0" w:line="372" w:lineRule="exact"/>
        <w:rPr>
          <w:sz w:val="20"/>
          <w:szCs w:val="20"/>
          <w:color w:val="auto"/>
        </w:rPr>
      </w:pPr>
    </w:p>
    <w:p>
      <w:pPr>
        <w:ind w:left="760" w:hanging="752"/>
        <w:spacing w:after="0"/>
        <w:tabs>
          <w:tab w:leader="none" w:pos="760" w:val="left"/>
        </w:tabs>
        <w:numPr>
          <w:ilvl w:val="0"/>
          <w:numId w:val="10"/>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18"/>
          <w:szCs w:val="18"/>
          <w:u w:val="single" w:color="auto"/>
          <w:color w:val="0000FF"/>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139"/>
          </w:cols>
          <w:pgMar w:left="320" w:top="945" w:right="1440"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20"/>
          <w:szCs w:val="20"/>
          <w:b w:val="1"/>
          <w:bCs w:val="1"/>
          <w:color w:val="auto"/>
        </w:rPr>
        <w:t>Exhibit 23</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37"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2"/>
          <w:szCs w:val="22"/>
          <w:color w:val="auto"/>
        </w:rPr>
        <w:t>We consent to the incorporation by reference in the Registration Statements (Form S-8 Nos. 333-172422 and 333-258801) pertaining to The Lilly Employee 401(k) Plan and The Savings Plan for Lilly Affiliate Employees in Puerto Rico of Eli Lilly and Company of our report dated June 24, 2024, with respect to the financial statements and schedules of The Lilly Employee 401(k) Plan and The Savings Plan for Lilly Affiliate Employees in Puerto Rico included in this Annual Report (Form 11-K) for the year ended December 31, 2023.</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Ernst &amp; Young LLP</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Indianapolis, Indiana</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24,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936"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20"/>
          <w:szCs w:val="20"/>
          <w:b w:val="1"/>
          <w:bCs w:val="1"/>
          <w:color w:val="auto"/>
        </w:rPr>
        <w:t>Exhibit 23</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37"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22"/>
          <w:szCs w:val="22"/>
          <w:color w:val="auto"/>
        </w:rPr>
        <w:t>We consent to the incorporation by reference in the Registration Statements (Form S-8 Nos. 333-172422 and 333-258801) pertaining to The Lilly Employee 401(k) Plan and The Savings Plan for Lilly Affiliate Employees in Puerto Rico of Eli Lilly and Company of our report dated June 24, 2024, with respect to the financial statements and schedules of The Lilly Employee 401(k) Plan and The Savings Plan for Lilly Affiliate Employees in Puerto Rico included in this Annual Report (Form 11-K) for the year ended December 31,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Ernst &amp; Young LLP</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Indianapolis, Indiana</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24, 2024</w:t>
      </w:r>
    </w:p>
    <w:sectPr>
      <w:pgSz w:w="11900" w:h="16838" w:orient="portrait"/>
      <w:cols w:equalWidth="0" w:num="1">
        <w:col w:w="11240"/>
      </w:cols>
      <w:pgMar w:left="320" w:top="14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2024-06-24T15:27:34Z</dcterms:created>
  <dcterms:modified xsi:type="dcterms:W3CDTF">2024-06-24T15:27:34Z</dcterms:modified>
</cp:coreProperties>
</file>