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180" w:right="17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138430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ARMO BIOSCIENCES,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BLUEGILL ACQUISITION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(Offeror)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 wholly-owned subsidiary of</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ELI LILLY AND COMPANY</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(Parent of Offeror)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04225U104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Daniel A. Neff</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Gordon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Wachtell, Lipton, Rosen &amp; Katz</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 West 52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Street</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403-1000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ectPr>
          <w:pgSz w:w="11900" w:h="16838" w:orient="portrait"/>
          <w:cols w:equalWidth="0" w:num="1">
            <w:col w:w="9019"/>
          </w:cols>
          <w:pgMar w:left="1440" w:top="368"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b w:val="1"/>
                <w:bCs w:val="1"/>
                <w:color w:val="auto"/>
              </w:rPr>
              <w:t>CALCULATION OF FILING FEE</w:t>
            </w:r>
          </w:p>
        </w:tc>
      </w:tr>
      <w:tr>
        <w:trPr>
          <w:trHeight w:val="122"/>
        </w:trPr>
        <w:tc>
          <w:tcPr>
            <w:tcW w:w="40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r>
      <w:tr>
        <w:trPr>
          <w:trHeight w:val="142"/>
        </w:trPr>
        <w:tc>
          <w:tcPr>
            <w:tcW w:w="4020" w:type="dxa"/>
            <w:vAlign w:val="bottom"/>
            <w:tcBorders>
              <w:left w:val="single" w:sz="8" w:color="auto"/>
              <w:bottom w:val="single" w:sz="8" w:color="auto"/>
            </w:tcBorders>
          </w:tcPr>
          <w:p>
            <w:pPr>
              <w:jc w:val="center"/>
              <w:ind w:left="183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178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0"/>
        </w:trPr>
        <w:tc>
          <w:tcPr>
            <w:tcW w:w="40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$1,653,750,000.00</w:t>
            </w:r>
          </w:p>
        </w:tc>
        <w:tc>
          <w:tcPr>
            <w:tcW w:w="178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jc w:val="right"/>
              <w:ind w:right="2259"/>
              <w:spacing w:after="0"/>
              <w:rPr>
                <w:sz w:val="20"/>
                <w:szCs w:val="20"/>
                <w:color w:val="auto"/>
              </w:rPr>
            </w:pPr>
            <w:r>
              <w:rPr>
                <w:rFonts w:ascii="Arial" w:cs="Arial" w:eastAsia="Arial" w:hAnsi="Arial"/>
                <w:sz w:val="18"/>
                <w:szCs w:val="18"/>
                <w:color w:val="auto"/>
              </w:rPr>
              <w:t>$205,891.88</w:t>
            </w:r>
          </w:p>
        </w:tc>
      </w:tr>
    </w:tbl>
    <w:p>
      <w:pPr>
        <w:spacing w:after="0" w:line="107" w:lineRule="exact"/>
        <w:rPr>
          <w:sz w:val="20"/>
          <w:szCs w:val="20"/>
          <w:color w:val="auto"/>
        </w:rPr>
      </w:pPr>
    </w:p>
    <w:p>
      <w:pPr>
        <w:jc w:val="both"/>
        <w:ind w:left="460" w:right="180" w:hanging="452"/>
        <w:spacing w:after="0" w:line="28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$0.0001 per share, of ARMO BioSciences, Inc. (“ARMO”), at a purchase price of $50.00 per share, net to the seller in cash, without interest and less any applicable tax withholding. As of 5:00 p.m., Eastern time, on May 18, 2018 (the most recent practicable date): (i)</w:t>
      </w:r>
    </w:p>
    <w:p>
      <w:pPr>
        <w:ind w:left="460" w:right="120"/>
        <w:spacing w:after="0" w:line="253" w:lineRule="auto"/>
        <w:rPr>
          <w:rFonts w:ascii="Arial" w:cs="Arial" w:eastAsia="Arial" w:hAnsi="Arial"/>
          <w:sz w:val="16"/>
          <w:szCs w:val="16"/>
          <w:color w:val="auto"/>
        </w:rPr>
      </w:pPr>
      <w:r>
        <w:rPr>
          <w:rFonts w:ascii="Arial" w:cs="Arial" w:eastAsia="Arial" w:hAnsi="Arial"/>
          <w:sz w:val="18"/>
          <w:szCs w:val="18"/>
          <w:color w:val="auto"/>
        </w:rPr>
        <w:t>30,405,109 shares of ARMO common stock were issued and outstanding, (ii) no shares of ARMO common stock were held by ARMO in its treasury, (iii) 2,657,030 shares of ARMO common stock were subject to outstanding ARMO stock options, (iv) 7,267 shares of ARMO common stock were subject to outstanding rights under ARMO’s employee stock purchase plan, and (v) 5,594 additional shares of ARMO common stock, which is an estimate of the maximum number of shares that were reserved for issuance pursuant to ARMO’s stock plans or employee stock purchase plan and may become outstanding prior to consummation of the Offer.</w:t>
      </w:r>
    </w:p>
    <w:p>
      <w:pPr>
        <w:spacing w:after="0" w:line="97" w:lineRule="exact"/>
        <w:rPr>
          <w:sz w:val="20"/>
          <w:szCs w:val="20"/>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2018, issued August 24, 2017, by multiplying the transaction value by 0.0001245.</w:t>
      </w:r>
    </w:p>
    <w:p>
      <w:pPr>
        <w:spacing w:after="0" w:line="76" w:lineRule="exact"/>
        <w:rPr>
          <w:sz w:val="20"/>
          <w:szCs w:val="20"/>
          <w:color w:val="auto"/>
        </w:rPr>
      </w:pPr>
    </w:p>
    <w:p>
      <w:pPr>
        <w:ind w:left="460" w:right="30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121" w:right="219" w:bottom="1440" w:gutter="0" w:footer="0" w:header="0"/>
        </w:sectPr>
      </w:pPr>
    </w:p>
    <w:p>
      <w:pPr>
        <w:spacing w:after="0" w:line="19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Amount Previously Paid: $205,891.88</w:t>
      </w:r>
    </w:p>
    <w:p>
      <w:pPr>
        <w:spacing w:after="0" w:line="25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Filing Party: Bluegill Acquisition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Filed: May 23, 2018</w:t>
      </w:r>
    </w:p>
    <w:p>
      <w:pPr>
        <w:spacing w:after="0" w:line="200" w:lineRule="exact"/>
        <w:rPr>
          <w:sz w:val="20"/>
          <w:szCs w:val="20"/>
          <w:color w:val="auto"/>
        </w:rPr>
      </w:pPr>
    </w:p>
    <w:p>
      <w:pPr>
        <w:sectPr>
          <w:pgSz w:w="11900" w:h="16838" w:orient="portrait"/>
          <w:cols w:equalWidth="0" w:num="2">
            <w:col w:w="5260" w:space="720"/>
            <w:col w:w="5460"/>
          </w:cols>
          <w:pgMar w:left="240" w:top="121" w:right="219" w:bottom="1440" w:gutter="0" w:footer="0" w:header="0"/>
          <w:type w:val="continuous"/>
        </w:sectPr>
      </w:pPr>
    </w:p>
    <w:p>
      <w:pPr>
        <w:spacing w:after="0" w:line="51" w:lineRule="exact"/>
        <w:rPr>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920" w:right="6600" w:hanging="7"/>
        <w:spacing w:after="0" w:line="224" w:lineRule="exact"/>
        <w:tabs>
          <w:tab w:leader="none" w:pos="148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920" w:right="648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31" w:lineRule="exact"/>
        <w:rPr>
          <w:sz w:val="20"/>
          <w:szCs w:val="20"/>
          <w:color w:val="auto"/>
        </w:rPr>
      </w:pPr>
    </w:p>
    <w:p>
      <w:pPr>
        <w:ind w:left="1480" w:hanging="567"/>
        <w:spacing w:after="0"/>
        <w:tabs>
          <w:tab w:leader="none" w:pos="14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480" w:hanging="567"/>
        <w:spacing w:after="0"/>
        <w:tabs>
          <w:tab w:leader="none" w:pos="14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amends and supplements the Tender Offer Statement on Schedule TO (together with any amendments and supplements hereto, this “Schedule TO”) filed with the Securities and Exchange Commission on May 23, 2018 by Bluegill Acquisition Corporation, a Delaware corporation (“Purchaser”) and wholly-owned subsidiary of Eli Lilly and Company, an Indiana corporation (“Lilly”). The Schedule TO relates to the offer by Purchaser to purchase all of the outstanding shares of common stock, par value, $0.0001 per share (the “Shares”), of ARMO BioSciences, Inc., a Delaware corporation (“ARMO”), at a purchase price of $50.00 per Share, net to the seller in cash, without interest and less any applicable tax withholding, on the terms and subject to the conditions set forth in the Offer to Purchase (the “Offer to Purchase”) and in the related Letter of Transmittal, copies of which are attached to the Schedule TO as Exhibits (a)(1)(A) and (a)(1)(B),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 Summary Term Sheet.</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The disclosure in the Offer to Purchase and Items 1 through 9 and Item 11 of the Schedule TO is hereby amended and supplemented by deleting the second and third sentences of the second paragraph, and the third paragraph, of </w:t>
      </w:r>
      <w:r>
        <w:rPr>
          <w:rFonts w:ascii="Arial" w:cs="Arial" w:eastAsia="Arial" w:hAnsi="Arial"/>
          <w:sz w:val="16"/>
          <w:szCs w:val="16"/>
          <w:i w:val="1"/>
          <w:iCs w:val="1"/>
          <w:color w:val="auto"/>
        </w:rPr>
        <w:t>Section 16 – “Certain Legal Matters; Regulatory Approvals”</w:t>
      </w:r>
      <w:r>
        <w:rPr>
          <w:rFonts w:ascii="Arial" w:cs="Arial" w:eastAsia="Arial" w:hAnsi="Arial"/>
          <w:sz w:val="16"/>
          <w:szCs w:val="16"/>
          <w:color w:val="auto"/>
        </w:rPr>
        <w:t xml:space="preserve"> of the Offer to Purchase under the subheading </w:t>
      </w:r>
      <w:r>
        <w:rPr>
          <w:rFonts w:ascii="Arial" w:cs="Arial" w:eastAsia="Arial" w:hAnsi="Arial"/>
          <w:sz w:val="16"/>
          <w:szCs w:val="16"/>
          <w:i w:val="1"/>
          <w:iCs w:val="1"/>
          <w:color w:val="auto"/>
        </w:rPr>
        <w:t>“Antitrust Compliance”</w:t>
      </w:r>
      <w:r>
        <w:rPr>
          <w:rFonts w:ascii="Arial" w:cs="Arial" w:eastAsia="Arial" w:hAnsi="Arial"/>
          <w:sz w:val="16"/>
          <w:szCs w:val="16"/>
          <w:color w:val="auto"/>
        </w:rPr>
        <w:t xml:space="preserve"> and under the further subheading </w:t>
      </w:r>
      <w:r>
        <w:rPr>
          <w:rFonts w:ascii="Arial" w:cs="Arial" w:eastAsia="Arial" w:hAnsi="Arial"/>
          <w:sz w:val="16"/>
          <w:szCs w:val="16"/>
          <w:i w:val="1"/>
          <w:iCs w:val="1"/>
          <w:color w:val="auto"/>
        </w:rPr>
        <w:t>“Foreign Approvals”</w:t>
      </w:r>
      <w:r>
        <w:rPr>
          <w:rFonts w:ascii="Arial" w:cs="Arial" w:eastAsia="Arial" w:hAnsi="Arial"/>
          <w:sz w:val="16"/>
          <w:szCs w:val="16"/>
          <w:color w:val="auto"/>
        </w:rPr>
        <w:t xml:space="preserve"> and replacing them with the following:</w:t>
      </w:r>
    </w:p>
    <w:p>
      <w:pPr>
        <w:spacing w:after="0" w:line="39"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“On June 15, 2018, each of the FCO and the FCA determined that it does not have jurisdiction over the Offer and the Merger and Lilly withdrew its filings with the FCO and the FCA. As a result, the Antitrust Condition has been satisfied in full.”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Bluegill Acquisition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Darren J. Carroll</w:t>
      </w:r>
    </w:p>
    <w:p>
      <w:pPr>
        <w:spacing w:after="0" w:line="9"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Joshua L. Smiley</w:t>
      </w:r>
    </w:p>
    <w:p>
      <w:pPr>
        <w:spacing w:after="0" w:line="9"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240" w:top="270" w:right="8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(a)(1)(A)</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Offer to Purchase, dated May 23, 2018.*</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(a)(1)(B)</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(a)(1)(C)</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(a)(1)(D)</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(a)(1)(E)</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Summary Advertisement, dated May 23, 2018.*</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(a)(5)(A)</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w w:val="91"/>
              </w:rPr>
              <w:t>Joint Press Release issued by Lilly and ARMO on May 10, 2018 (incorporated by reference to Exhibit 99.1 to the Schedule TO filed by</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Lilly on May 10, 2018).</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(b)</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(d)(1)</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w w:val="98"/>
              </w:rPr>
              <w:t>Agreement and Plan of Merger, dated May 9, 2018, among Eli Lilly and Company, Bluegill Acquisition Corporation and ARMO</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2"/>
          </w:tcPr>
          <w:p>
            <w:pPr>
              <w:ind w:left="80"/>
              <w:spacing w:after="0"/>
              <w:rPr>
                <w:sz w:val="20"/>
                <w:szCs w:val="20"/>
                <w:color w:val="auto"/>
              </w:rPr>
            </w:pPr>
            <w:r>
              <w:rPr>
                <w:rFonts w:ascii="Arial" w:cs="Arial" w:eastAsia="Arial" w:hAnsi="Arial"/>
                <w:sz w:val="18"/>
                <w:szCs w:val="18"/>
                <w:color w:val="auto"/>
                <w:w w:val="96"/>
              </w:rPr>
              <w:t>BioSciences, Inc. (incorporated by reference to Exhibit 2.1 to the Current Report on Form 8-K filed by ARMO on May 10, 2018).</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(d)(2)</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w w:val="95"/>
              </w:rPr>
              <w:t>Tender and Support Agreement by and among Eli Lilly and Company, Bluegill Acquisition Corporation and certain stockholders of</w:t>
            </w: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20" w:type="dxa"/>
            <w:vAlign w:val="bottom"/>
            <w:gridSpan w:val="2"/>
          </w:tcPr>
          <w:p>
            <w:pPr>
              <w:ind w:left="80"/>
              <w:spacing w:after="0"/>
              <w:rPr>
                <w:sz w:val="20"/>
                <w:szCs w:val="20"/>
                <w:color w:val="auto"/>
              </w:rPr>
            </w:pPr>
            <w:r>
              <w:rPr>
                <w:rFonts w:ascii="Arial" w:cs="Arial" w:eastAsia="Arial" w:hAnsi="Arial"/>
                <w:sz w:val="18"/>
                <w:szCs w:val="18"/>
                <w:color w:val="auto"/>
                <w:w w:val="95"/>
              </w:rPr>
              <w:t>ARMO BioSciences, Inc. (incorporated by reference to Exhibit 10.1 to the Current Report on Form 8-K filed by ARMO on May 10,</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2018).</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(d)(3)</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Non-Disclosure Agreement between ARMO and Lilly dated March 19, 2018.*</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(h)</w:t>
            </w:r>
          </w:p>
        </w:tc>
        <w:tc>
          <w:tcPr>
            <w:tcW w:w="992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38"/>
        </w:trPr>
        <w:tc>
          <w:tcPr>
            <w:tcW w:w="1500" w:type="dxa"/>
            <w:vAlign w:val="bottom"/>
            <w:gridSpan w:val="2"/>
          </w:tcPr>
          <w:p>
            <w:pPr>
              <w:spacing w:after="0"/>
              <w:rPr>
                <w:sz w:val="20"/>
                <w:szCs w:val="20"/>
                <w:color w:val="auto"/>
              </w:rPr>
            </w:pPr>
            <w:r>
              <w:rPr>
                <w:rFonts w:ascii="Arial" w:cs="Arial" w:eastAsia="Arial" w:hAnsi="Arial"/>
                <w:sz w:val="18"/>
                <w:szCs w:val="18"/>
                <w:color w:val="auto"/>
              </w:rPr>
              <w:t>*  Previously filed.</w:t>
            </w:r>
          </w:p>
        </w:tc>
        <w:tc>
          <w:tcPr>
            <w:tcW w:w="80" w:type="dxa"/>
            <w:vAlign w:val="bottom"/>
          </w:tcPr>
          <w:p>
            <w:pPr>
              <w:spacing w:after="0"/>
              <w:rPr>
                <w:sz w:val="24"/>
                <w:szCs w:val="24"/>
                <w:color w:val="auto"/>
              </w:rPr>
            </w:pPr>
          </w:p>
        </w:tc>
        <w:tc>
          <w:tcPr>
            <w:tcW w:w="984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920" w:type="dxa"/>
            <w:vAlign w:val="bottom"/>
            <w:gridSpan w:val="2"/>
          </w:tcPr>
          <w:p>
            <w:pPr>
              <w:ind w:left="4100"/>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2019-12-08T16:22:21Z</dcterms:created>
  <dcterms:modified xsi:type="dcterms:W3CDTF">2019-12-08T16:22:21Z</dcterms:modified>
</cp:coreProperties>
</file>