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153936.xml.htm"/>
      <w:bookmarkStart w:id="1" w:name="kswkform4_17701539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Hakim Anat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LILLY CORPORATE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ELI LILLY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LLY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6"/>
        <w:gridCol w:w="907"/>
        <w:gridCol w:w="780"/>
        <w:gridCol w:w="602"/>
        <w:gridCol w:w="333"/>
        <w:gridCol w:w="1138"/>
        <w:gridCol w:w="407"/>
        <w:gridCol w:w="982"/>
        <w:gridCol w:w="1322"/>
        <w:gridCol w:w="942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6,700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17,662.5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2,953.395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1,037.15</w:t>
            </w:r>
            <w:r>
              <w:rPr/>
              <w:t xml:space="preserve"> </w:t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14,709.105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15,700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Anat Hakim SLAT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18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16,875</w:t>
            </w:r>
          </w:p>
        </w:tc>
        <w:tc>
          <w:tcPr>
            <w:tcW w:w="9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 reported securities except to the extent of her pecuniary interest therein.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Eli Lilly and Company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Groff for Anat Hakim, pursuant to authorization on file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556" TargetMode="External"/><Relationship Id="rId5" Type="http://schemas.openxmlformats.org/officeDocument/2006/relationships/hyperlink" Target="http://www.sec.gov/cgi-bin/browse-edgar?action=getcompany&amp;CIK=00000594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3483</Characters>
  <CharactersWithSpaces>4043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