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333-285052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323215</wp:posOffset>
            </wp:positionV>
            <wp:extent cx="100330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$9,000,000,000 aggregate principal amount of Notes offered, consisting of:</w:t>
      </w:r>
    </w:p>
    <w:p>
      <w:pPr>
        <w:spacing w:after="0" w:line="2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Floating Rate Notes due 2028 (the “2028 Floating Rate Notes”)</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Floating Rate Notes due 2029 (the “2029 Floating Rate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4.150% Notes due 2029 (the “2029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4.375% Notes due 2031 (the “2031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4.650% Notes due 2033 (the “2033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4.850% Notes due 2036 (the “2036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5.600% Notes due 2056 (the “2056 Notes”)</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5.700% Notes due 2066 (the “2066 Notes”)</w:t>
      </w:r>
    </w:p>
    <w:p>
      <w:pPr>
        <w:spacing w:after="0" w:line="207" w:lineRule="exact"/>
        <w:rPr>
          <w:sz w:val="24"/>
          <w:szCs w:val="24"/>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(The 2028 Floating Rate Notes and the 2029 Floating Rate Notes are collectively referred to as the “Floating Rate Notes.” The 2029 Notes, the 2031 Notes, the 2033 Notes, the 2036 Notes, the 2056 Notes and the 2066 Notes are collectively referred to as the “Fixed Rate Notes.” The Fixed Rate Notes, together with the Floating Rate Notes, are collectively referred to as the “Notes”)</w:t>
      </w:r>
    </w:p>
    <w:p>
      <w:pPr>
        <w:spacing w:after="0" w:line="176"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pricing term sheet (the “Pricing Term Sheet”) supplements the prospectus supplement issued by Eli Lilly and Company on May 6, 2026 (the “Preliminary Prospectus Supplement”) and the accompanying prospectus dated February 19, 2025 (the “Prospectus”) and supersedes the information in the Preliminary Prospectus Supplement and Prospectus. Other information presented in the Preliminary Prospectus Supplement is deemed to have changed to the extent affected by the changes described herein. Otherwise, this Pricing Term Sheet is qualified in its entirety by reference to the Preliminary Prospectus Supplement and the Prospectus and should be read together with the Preliminary Prospectus Supplement, the Prospectus and the documents incorporated or deemed to be incorporated by reference therein before a decision is made to invest in the Notes.</w:t>
      </w:r>
    </w:p>
    <w:p>
      <w:pPr>
        <w:sectPr>
          <w:pgSz w:w="11900" w:h="16838" w:orient="portrait"/>
          <w:cols w:equalWidth="0" w:num="1">
            <w:col w:w="11020"/>
          </w:cols>
          <w:pgMar w:left="440" w:top="225" w:right="439" w:bottom="1440" w:gutter="0" w:footer="0" w:header="0"/>
        </w:sect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117" w:lineRule="exact"/>
        <w:rPr>
          <w:sz w:val="24"/>
          <w:szCs w:val="24"/>
          <w:color w:val="auto"/>
        </w:rPr>
      </w:pPr>
    </w:p>
    <w:p>
      <w:pPr>
        <w:sectPr>
          <w:pgSz w:w="11900" w:h="16838" w:orient="portrait"/>
          <w:cols w:equalWidth="0" w:num="2">
            <w:col w:w="3900" w:space="720"/>
            <w:col w:w="64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117" w:lineRule="exact"/>
        <w:rPr>
          <w:sz w:val="24"/>
          <w:szCs w:val="24"/>
          <w:color w:val="auto"/>
        </w:rPr>
      </w:pPr>
    </w:p>
    <w:p>
      <w:pPr>
        <w:sectPr>
          <w:pgSz w:w="11900" w:h="16838" w:orient="portrait"/>
          <w:cols w:equalWidth="0" w:num="2">
            <w:col w:w="3900" w:space="720"/>
            <w:col w:w="64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Aa3 (Positive) Moody’s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AA- (Positive) S&amp;P</w:t>
      </w:r>
    </w:p>
    <w:p>
      <w:pPr>
        <w:spacing w:after="0" w:line="112" w:lineRule="exact"/>
        <w:rPr>
          <w:sz w:val="24"/>
          <w:szCs w:val="24"/>
          <w:color w:val="auto"/>
        </w:rPr>
      </w:pPr>
    </w:p>
    <w:p>
      <w:pPr>
        <w:sectPr>
          <w:pgSz w:w="11900" w:h="16838" w:orient="portrait"/>
          <w:cols w:equalWidth="0" w:num="2">
            <w:col w:w="3900" w:space="720"/>
            <w:col w:w="64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20, 2026; T+10</w:t>
      </w:r>
    </w:p>
    <w:p>
      <w:pPr>
        <w:spacing w:after="0" w:line="117" w:lineRule="exact"/>
        <w:rPr>
          <w:sz w:val="24"/>
          <w:szCs w:val="24"/>
          <w:color w:val="auto"/>
        </w:rPr>
      </w:pPr>
    </w:p>
    <w:p>
      <w:pPr>
        <w:sectPr>
          <w:pgSz w:w="11900" w:h="16838" w:orient="portrait"/>
          <w:cols w:equalWidth="0" w:num="2">
            <w:col w:w="3900" w:space="720"/>
            <w:col w:w="64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Actual / 360 for the Floating Rate Notes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 / 360 for the Fixed Rate Notes</w:t>
      </w:r>
    </w:p>
    <w:p>
      <w:pPr>
        <w:spacing w:after="0" w:line="112" w:lineRule="exact"/>
        <w:rPr>
          <w:sz w:val="24"/>
          <w:szCs w:val="24"/>
          <w:color w:val="auto"/>
        </w:rPr>
      </w:pPr>
    </w:p>
    <w:p>
      <w:pPr>
        <w:sectPr>
          <w:pgSz w:w="11900" w:h="16838" w:orient="portrait"/>
          <w:cols w:equalWidth="0" w:num="2">
            <w:col w:w="3900" w:space="720"/>
            <w:col w:w="64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ectPr>
          <w:pgSz w:w="11900" w:h="16838" w:orient="portrait"/>
          <w:cols w:equalWidth="0" w:num="2">
            <w:col w:w="3900" w:space="720"/>
            <w:col w:w="6400"/>
          </w:cols>
          <w:pgMar w:left="44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Loop Capital Markets LLC</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Penserra Securities LLC</w:t>
            </w:r>
          </w:p>
        </w:tc>
      </w:tr>
      <w:tr>
        <w:trPr>
          <w:trHeight w:val="28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The 2028 Floating Rate Notes</w:t>
            </w:r>
          </w:p>
        </w:tc>
        <w:tc>
          <w:tcPr>
            <w:tcW w:w="8740" w:type="dxa"/>
            <w:vAlign w:val="bottom"/>
          </w:tcPr>
          <w:p>
            <w:pPr>
              <w:spacing w:after="0"/>
              <w:rPr>
                <w:sz w:val="24"/>
                <w:szCs w:val="24"/>
                <w:color w:val="auto"/>
              </w:rPr>
            </w:pPr>
          </w:p>
        </w:tc>
      </w:tr>
      <w:tr>
        <w:trPr>
          <w:trHeight w:val="34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Offered:</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$750,000,000</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May 20, 2028</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100.000% of principal amount, plus accrued interest, if any, from May 20, 2026</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Basis:</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Compounded SOFR</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w w:val="99"/>
              </w:rPr>
              <w:t>Spread to Compounded SOFR:</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+35 basis points</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February 20, May 20, August 20 and November 20 of each year, commencing</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August 20, 2026</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Reset Dates:</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Each Floating Rate Interest Payment Date</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Initial Interest Rate:</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initial interest rate will be Compounded SOFR determined on August 18, 2026,</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plus 35 basis points</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Determination Date:</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second U.S. Government Securities Business Day preceding each Floating Rate</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Interest Payment Date</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Interest Period:</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period from and including a Floating Rate Interest Payment Date to, but excluding,</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immediately succeeding Floating Rate Interest Payment Date (such succeeding</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Floating Rate Interest Payment Date, the “Latter Floating Rate Interest Payment Date”);</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provided that (i) the initial interest period for the 2028 Floating Rate Notes will be the</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period from and including the Settlement Date to, but excluding, the immediately</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succeeding Floating Rate Interest Payment Date for the 2028 Floating Rate Notes and</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(ii) the final interest period for the 2028 Floating Rate Notes will be the period from and</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including the Floating Rate Interest Payment Date immediately preceding the maturity</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date of the 2028 Floating Rate Notes to, but excluding, the maturity date of the 2028</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Floating Rate Notes</w:t>
            </w:r>
          </w:p>
        </w:tc>
      </w:tr>
      <w:tr>
        <w:trPr>
          <w:trHeight w:val="30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Observation Period:</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period from and including two U.S. Government Securities Business Days</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preceding the first date of such relevant Interest Period to but excluding two U.S.</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Government Securities Business Days preceding the Latter Floating Rate Interest</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Payment Date for such relevant Interest Period for the 2028 Floating Rate Notes;</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provided that the first Observation Period for the 2028 Floating Rate Notes shall be the</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9"/>
              </w:rPr>
              <w:t>period from and including two U.S. Government Securities Business Days preceding the</w:t>
            </w:r>
          </w:p>
        </w:tc>
      </w:tr>
      <w:tr>
        <w:trPr>
          <w:trHeight w:val="216"/>
        </w:trPr>
        <w:tc>
          <w:tcPr>
            <w:tcW w:w="2260" w:type="dxa"/>
            <w:vAlign w:val="bottom"/>
          </w:tcPr>
          <w:p>
            <w:pPr>
              <w:spacing w:after="0"/>
              <w:rPr>
                <w:sz w:val="18"/>
                <w:szCs w:val="18"/>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Settlement Date to, but excluding, the two U.S. Government Securities Business Days</w:t>
            </w:r>
          </w:p>
        </w:tc>
      </w:tr>
      <w:tr>
        <w:trPr>
          <w:trHeight w:val="234"/>
        </w:trPr>
        <w:tc>
          <w:tcPr>
            <w:tcW w:w="2260" w:type="dxa"/>
            <w:vAlign w:val="bottom"/>
          </w:tcPr>
          <w:p>
            <w:pPr>
              <w:spacing w:after="0"/>
              <w:rPr>
                <w:sz w:val="20"/>
                <w:szCs w:val="20"/>
                <w:color w:val="auto"/>
              </w:rPr>
            </w:pP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9"/>
              </w:rPr>
              <w:t>preceding the first Floating Rate Interest Payment Date for the 2028 Floating Rate Notes</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Provisions:</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The 2028 Floating Rate Notes will not be redeemable prior to their maturity</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Initially, Deutsche Bank Trust Company Americas</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532457 DH8 / US532457DH81</w:t>
            </w:r>
          </w:p>
        </w:tc>
      </w:tr>
      <w:tr>
        <w:trPr>
          <w:trHeight w:val="28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The 2029 Floating Rate Notes</w:t>
            </w:r>
          </w:p>
        </w:tc>
        <w:tc>
          <w:tcPr>
            <w:tcW w:w="8740" w:type="dxa"/>
            <w:vAlign w:val="bottom"/>
          </w:tcPr>
          <w:p>
            <w:pPr>
              <w:spacing w:after="0"/>
              <w:rPr>
                <w:sz w:val="24"/>
                <w:szCs w:val="24"/>
                <w:color w:val="auto"/>
              </w:rPr>
            </w:pPr>
          </w:p>
        </w:tc>
      </w:tr>
      <w:tr>
        <w:trPr>
          <w:trHeight w:val="34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Offered:</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$500,000,000</w:t>
            </w:r>
          </w:p>
        </w:tc>
      </w:tr>
      <w:tr>
        <w:trPr>
          <w:trHeight w:val="32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May 20, 2029</w:t>
            </w:r>
          </w:p>
        </w:tc>
      </w:tr>
    </w:tbl>
    <w:p>
      <w:pPr>
        <w:ind w:left="236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of principal amount, plus accrued interest, if any, from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-274955</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900" w:space="720"/>
            <w:col w:w="638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Interest Rate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Compounded SOFR</w:t>
      </w:r>
    </w:p>
    <w:p>
      <w:pPr>
        <w:spacing w:after="0" w:line="117"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Compounded 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+46 basis points</w:t>
      </w:r>
    </w:p>
    <w:p>
      <w:pPr>
        <w:spacing w:after="0" w:line="117"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February 20, May 20, August 20 and November 20 of each year, commencing August 20, 2026</w:t>
      </w:r>
    </w:p>
    <w:p>
      <w:pPr>
        <w:spacing w:after="0" w:line="5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Reset Dates:</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Times New Roman" w:cs="Times New Roman" w:eastAsia="Times New Roman" w:hAnsi="Times New Roman"/>
          <w:sz w:val="17"/>
          <w:szCs w:val="17"/>
          <w:color w:val="auto"/>
        </w:rPr>
        <w:t>Each Floating Rate Interest Payment Date</w:t>
      </w:r>
    </w:p>
    <w:p>
      <w:pPr>
        <w:spacing w:after="0" w:line="129"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Initial Interest Rate:</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initial interest rate will be Compounded SOFR determined on August 18, 2026, plus 46 basis points</w:t>
      </w:r>
    </w:p>
    <w:p>
      <w:pPr>
        <w:spacing w:after="0" w:line="5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Determination Date: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second U.S. Government Securities Business Day preceding each Floating Rate Interest Payment Date</w:t>
      </w:r>
    </w:p>
    <w:p>
      <w:pPr>
        <w:spacing w:after="0" w:line="5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Period:</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The period from and including a Floating Rate Interest Payment Date to, but excluding, the immediately succeeding Floating Rate Interest Payment Date (such succeeding Floating Rate Interest Payment Date, the “Latter Floating Rate Interest Payment Date”); provided that (i) the initial interest period for the 2029 Floating Rate Notes will be the period from and including the Settlement Date to, but excluding, the immediately succeeding Floating Rate Interest Payment Date for the 2029 Floating Rate Notes and (ii) the final interest period for the 2029 Floating Rate Notes will be the period from and including the Floating Rate Interest Payment Date immediately preceding the maturity date of the 2029 Floating Rate Notes to, but excluding, the maturity date of the 2029 Floating Rate Notes</w:t>
      </w:r>
    </w:p>
    <w:p>
      <w:pPr>
        <w:spacing w:after="0" w:line="86"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Observation Period:</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Times New Roman" w:cs="Times New Roman" w:eastAsia="Times New Roman" w:hAnsi="Times New Roman"/>
          <w:sz w:val="17"/>
          <w:szCs w:val="17"/>
          <w:color w:val="auto"/>
        </w:rPr>
        <w:t>The period from and including two U.S. Government Securities Business Days preceding the first date of such relevant Interest Period to but excluding two U.S. Government Securities Business Days preceding the Latter Floating Rate Interest Payment Date for such relevant Interest Period for the 2029 Floating Rate Notes; provided that the first Observation Period shall for the 2029 Floating Rate Notes be the period from and including two U.S. Government Securities Business Days preceding the Settlement Date to, but excluding, the two U.S. Government Securities Business Days preceding the first Floating Rate Interest Payment Date for the 2029 Floating Rate Notes</w:t>
      </w:r>
    </w:p>
    <w:p>
      <w:pPr>
        <w:spacing w:after="0" w:line="6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special mandatory redemption provision described below, the Issuer may not redeem the 2029 Floating Rate Notes at its option prior to maturity</w:t>
      </w:r>
    </w:p>
    <w:p>
      <w:pPr>
        <w:spacing w:after="0" w:line="5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Mandatory Redemption: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 (y) the Issuer notifies the trustee in writing that the Issuer will not pursue the consummation of the Centessa Acquisition, the Issuer will be required to redeem the 2029 Floating Rate Notes then outstanding at a redemption price equal to 101% of the principal amount of such 2029 Floating Rate Notes plus accrued and unpaid interest, if any, to, but excluding, the Centessa Special Mandatory Redemption Date</w:t>
      </w:r>
    </w:p>
    <w:p>
      <w:pPr>
        <w:spacing w:after="0" w:line="84"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Calculation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Initially, Deutsche Bank Trust Company Americas</w:t>
      </w:r>
    </w:p>
    <w:p>
      <w:pPr>
        <w:spacing w:after="0" w:line="129" w:lineRule="exact"/>
        <w:rPr>
          <w:sz w:val="20"/>
          <w:szCs w:val="20"/>
          <w:color w:val="auto"/>
        </w:rPr>
      </w:pPr>
    </w:p>
    <w:p>
      <w:pPr>
        <w:sectPr>
          <w:pgSz w:w="11900" w:h="16838" w:orient="portrait"/>
          <w:cols w:equalWidth="0" w:num="2">
            <w:col w:w="3900" w:space="720"/>
            <w:col w:w="638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532457 DJ4 / US532457DJ48</w:t>
      </w:r>
    </w:p>
    <w:p>
      <w:pPr>
        <w:sectPr>
          <w:pgSz w:w="11900" w:h="16838" w:orient="portrait"/>
          <w:cols w:equalWidth="0" w:num="2">
            <w:col w:w="3900" w:space="720"/>
            <w:col w:w="6380"/>
          </w:cols>
          <w:pgMar w:left="440" w:top="378"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2029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2031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-487680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99.941%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4.171%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3.875% due April 15, 2029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+ 28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99-30+ / 3.891%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right="320"/>
        <w:spacing w:after="0" w:line="375" w:lineRule="auto"/>
        <w:rPr>
          <w:sz w:val="20"/>
          <w:szCs w:val="20"/>
          <w:color w:val="auto"/>
        </w:rPr>
      </w:pPr>
      <w:r>
        <w:rPr>
          <w:rFonts w:ascii="Times New Roman" w:cs="Times New Roman" w:eastAsia="Times New Roman" w:hAnsi="Times New Roman"/>
          <w:sz w:val="18"/>
          <w:szCs w:val="18"/>
          <w:color w:val="auto"/>
        </w:rPr>
        <w:t>At any time prior to April 20, 2029 at a discount rate of Treasury plus 5 basis points On or after April 20, 2029 at 100%</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w:t>
      </w:r>
    </w:p>
    <w:p>
      <w:pPr>
        <w:spacing w:after="0" w:line="1" w:lineRule="exact"/>
        <w:rPr>
          <w:sz w:val="20"/>
          <w:szCs w:val="20"/>
          <w:color w:val="auto"/>
        </w:rPr>
      </w:pPr>
    </w:p>
    <w:p>
      <w:pPr>
        <w:ind w:right="160" w:firstLine="6"/>
        <w:spacing w:after="0" w:line="253"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notifies the trustee in writing that the Issuer will not pursue the consummation of the Centessa Acquisition, the Issuer will be required to redeem the 2029 Notes then outstanding at a redemption price equal to 101% of the principal amount of such 2029 Notes plus accrued and unpaid interest, if any, to, but excluding, the Centessa Special Mandatory Redemption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532457 DK1 / US532457DK11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4.375%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99.893%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4.399%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3.875% due April 30, 2031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+ 40 basis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3.999%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21" w:lineRule="exact"/>
        <w:rPr>
          <w:sz w:val="20"/>
          <w:szCs w:val="20"/>
          <w:color w:val="auto"/>
        </w:rPr>
      </w:pPr>
    </w:p>
    <w:p>
      <w:pPr>
        <w:ind w:right="220"/>
        <w:spacing w:after="0" w:line="407" w:lineRule="auto"/>
        <w:rPr>
          <w:sz w:val="20"/>
          <w:szCs w:val="20"/>
          <w:color w:val="auto"/>
        </w:rPr>
      </w:pPr>
      <w:r>
        <w:rPr>
          <w:rFonts w:ascii="Times New Roman" w:cs="Times New Roman" w:eastAsia="Times New Roman" w:hAnsi="Times New Roman"/>
          <w:sz w:val="18"/>
          <w:szCs w:val="18"/>
          <w:color w:val="auto"/>
        </w:rPr>
        <w:t>At any time prior to April 20, 2031 at a discount rate of Treasury plus 10 basis points On or after April 20, 2031 at 100%</w:t>
      </w:r>
    </w:p>
    <w:p>
      <w:pPr>
        <w:sectPr>
          <w:pgSz w:w="11900" w:h="16838" w:orient="portrait"/>
          <w:cols w:equalWidth="0" w:num="2">
            <w:col w:w="3900" w:space="720"/>
            <w:col w:w="6360"/>
          </w:cols>
          <w:pgMar w:left="440" w:top="374"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2033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2036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-504190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60" w:firstLine="6"/>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notifies the trustee in writing that the Issuer will not pursue the consummation of the Centessa Acquisition, the Issuer will be required to redeem the 2031 Notes then outstanding at a redemption price equal to 101% of the principal amount of such 2031 Notes plus accrued and unpaid interest, if any, to, but excluding, the Centessa Special Mandatory Redemption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532457 DL9 / US532457DL93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99.982%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4.125% due April 30, 2033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+ 48 basis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99-22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4.173%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21" w:lineRule="exact"/>
        <w:rPr>
          <w:sz w:val="20"/>
          <w:szCs w:val="20"/>
          <w:color w:val="auto"/>
        </w:rPr>
      </w:pPr>
    </w:p>
    <w:p>
      <w:pPr>
        <w:ind w:right="140"/>
        <w:spacing w:after="0" w:line="375" w:lineRule="auto"/>
        <w:rPr>
          <w:sz w:val="20"/>
          <w:szCs w:val="20"/>
          <w:color w:val="auto"/>
        </w:rPr>
      </w:pPr>
      <w:r>
        <w:rPr>
          <w:rFonts w:ascii="Times New Roman" w:cs="Times New Roman" w:eastAsia="Times New Roman" w:hAnsi="Times New Roman"/>
          <w:sz w:val="18"/>
          <w:szCs w:val="18"/>
          <w:color w:val="auto"/>
        </w:rPr>
        <w:t>At any time prior to March 20, 2033 at a discount rate of Treasury plus 10 basis points On or after March 20, 2033 at 100%</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w:t>
      </w:r>
    </w:p>
    <w:p>
      <w:pPr>
        <w:spacing w:after="0" w:line="1" w:lineRule="exact"/>
        <w:rPr>
          <w:sz w:val="20"/>
          <w:szCs w:val="20"/>
          <w:color w:val="auto"/>
        </w:rPr>
      </w:pPr>
    </w:p>
    <w:p>
      <w:pPr>
        <w:ind w:right="160" w:firstLine="6"/>
        <w:spacing w:after="0" w:line="25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notifies the trustee in writing that the Issuer will not pursue the consummation of the Centessa Acquisition, the Issuer will be required to redeem the 2033 Notes then outstanding at a redemption price equal to 101% of the principal amount of such 2033 Notes plus accrued and unpaid interest, if any, to, but excluding, the Centessa Special Mandatory Redemption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532457 DM7 / US532457DM76</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4.850%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99.640%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4.896%</w:t>
      </w:r>
    </w:p>
    <w:p>
      <w:pPr>
        <w:sectPr>
          <w:pgSz w:w="11900" w:h="16838" w:orient="portrait"/>
          <w:cols w:equalWidth="0" w:num="2">
            <w:col w:w="3900" w:space="720"/>
            <w:col w:w="636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2056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Make-whole call:</w:t>
      </w:r>
    </w:p>
    <w:p>
      <w:pPr>
        <w:spacing w:after="0" w:line="3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2066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Offered: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UST 4.125% due February 15,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-213360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+ 55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98-08 / 4.346%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any time prior to February 20, 2036 at a discount rate of Treasury plus 10 basis points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February 20, 2036 at 100%</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w:t>
      </w:r>
    </w:p>
    <w:p>
      <w:pPr>
        <w:spacing w:after="0" w:line="1" w:lineRule="exact"/>
        <w:rPr>
          <w:sz w:val="20"/>
          <w:szCs w:val="20"/>
          <w:color w:val="auto"/>
        </w:rPr>
      </w:pPr>
    </w:p>
    <w:p>
      <w:pPr>
        <w:ind w:right="160" w:firstLine="6"/>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notifies the trustee in writing that the Issuer will not pursue the consummation of the Centessa Acquisition, the Issuer will be required to redeem the 2036 Notes then outstanding at a redemption price equal to 101% of the principal amount of such 2036 Notes plus accrued and unpaid interest, if any, to, but excluding, the Centessa Special Mandatory Redemption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532457 DR6 / US532457DR63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2056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99.726%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4.625% due November 15, 2055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+ 68 basis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95-04+ / 4.939%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200" w:lineRule="exact"/>
        <w:rPr>
          <w:sz w:val="20"/>
          <w:szCs w:val="20"/>
          <w:color w:val="auto"/>
        </w:rPr>
      </w:pP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any time prior to November 20, 2055 at a discount rate of Treasury plus 12.5 basis points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November 20, 2055 at 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532457 DP0 / US532457DP08</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2066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99.391% of principal amount, plus accrued interest, if any, from May 20,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5.739%</w:t>
      </w:r>
    </w:p>
    <w:p>
      <w:pPr>
        <w:sectPr>
          <w:pgSz w:w="11900" w:h="16838" w:orient="portrait"/>
          <w:cols w:equalWidth="0" w:num="2">
            <w:col w:w="3900" w:space="720"/>
            <w:col w:w="6360"/>
          </w:cols>
          <w:pgMar w:left="440"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UST 4.625% due November 15,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-206375</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024" w:space="720"/>
            <w:col w:w="5240"/>
          </w:cols>
          <w:pgMar w:left="436" w:top="270" w:right="47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 + 80 basis points</w:t>
      </w:r>
    </w:p>
    <w:p>
      <w:pPr>
        <w:spacing w:after="0" w:line="129"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95-04+ / 4.939%</w:t>
      </w:r>
    </w:p>
    <w:p>
      <w:pPr>
        <w:spacing w:after="0" w:line="129"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May 20 and November 20 of each year, commencing November 20, 2026</w:t>
      </w:r>
    </w:p>
    <w:p>
      <w:pPr>
        <w:spacing w:after="0" w:line="54"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Redemption Provisions:</w:t>
      </w:r>
    </w:p>
    <w:p>
      <w:pPr>
        <w:sectPr>
          <w:pgSz w:w="11900" w:h="16838" w:orient="portrait"/>
          <w:cols w:equalWidth="0" w:num="1">
            <w:col w:w="10984"/>
          </w:cols>
          <w:pgMar w:left="436" w:top="270" w:right="479" w:bottom="1440" w:gutter="0" w:footer="0" w:header="0"/>
          <w:type w:val="continuous"/>
        </w:sectPr>
      </w:pPr>
    </w:p>
    <w:p>
      <w:pPr>
        <w:spacing w:after="0" w:line="11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any time prior to November 20, 2065 at a discount rate of Treasury plus 15 basis points</w:t>
      </w:r>
    </w:p>
    <w:p>
      <w:pPr>
        <w:spacing w:after="0" w:line="54"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or after November 20, 2065 at 100%</w:t>
      </w:r>
    </w:p>
    <w:p>
      <w:pPr>
        <w:spacing w:after="0" w:line="128"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532457 DQ8 / US532457DQ80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247650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4" w:space="720"/>
            <w:col w:w="5240"/>
          </w:cols>
          <w:pgMar w:left="436" w:top="270" w:right="4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pacing w:after="0" w:line="27" w:lineRule="exact"/>
        <w:rPr>
          <w:sz w:val="20"/>
          <w:szCs w:val="20"/>
          <w:color w:val="auto"/>
        </w:rPr>
      </w:pPr>
    </w:p>
    <w:p>
      <w:pPr>
        <w:jc w:val="both"/>
        <w:ind w:left="424" w:right="14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15c6-1 under the Securities Exchange Act of 1934, as amended, trades in the secondary market are required to settle in one business day, unless the parties to any such trade expressly agree otherwise. Accordingly, purchasers who wish to trade the Notes prior to delivery will be required, by virtue of the fact that the Notes initially will settle in T+10, to specify an alternative settlement cycle at the time of any such trade to prevent failed settlement and should consult their own advisors.</w:t>
      </w:r>
    </w:p>
    <w:p>
      <w:pPr>
        <w:spacing w:after="0" w:line="18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(No. 333-285052) (including a prospectus) with the Securities and Exchange Commission (the “SEC”) for the offering to which this communication relates. Before you invest, you should read the prospectus in that registration statement, the preliminary prospectus relating to this offering and the other documents the Issuer has filed with the SEC for more complete information about the Issuer and this offering. You may get these documents for free by visiting EDGAR on the SEC’s website at www.sec.gov. Alternatively, the Issuer, any underwriter or any dealer participating in the offering will arrange to send you the prospectus and the prospectus supplement if you request it by calling Morgan Stanley &amp; Co. LLC at +1-866-718-1649, Citigroup Global Markets Inc. at +1-800-831-9146, Deutsche Bank Securities Inc. at +1-800-503-4611 or Goldman Sachs &amp; Co. LLC at +1-866-471-2526.</w:t>
      </w:r>
    </w:p>
    <w:p>
      <w:pPr>
        <w:spacing w:after="0" w:line="185" w:lineRule="exact"/>
        <w:rPr>
          <w:sz w:val="20"/>
          <w:szCs w:val="20"/>
          <w:color w:val="auto"/>
        </w:rPr>
      </w:pPr>
    </w:p>
    <w:p>
      <w:pPr>
        <w:ind w:left="4" w:right="5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84"/>
      </w:cols>
      <w:pgMar w:left="436"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25"/>
    </w:lvl>
  </w:abstractNum>
  <w:abstractNum w:abstractNumId="1">
    <w:nsid w:val="625558EC"/>
    <w:multiLevelType w:val="hybridMultilevel"/>
    <w:lvl w:ilvl="0">
      <w:lvlJc w:val="left"/>
      <w:lvlText w:val="(%1)"/>
      <w:numFmt w:val="lowerLetter"/>
      <w:start w:val="25"/>
    </w:lvl>
  </w:abstractNum>
  <w:abstractNum w:abstractNumId="2">
    <w:nsid w:val="238E1F29"/>
    <w:multiLevelType w:val="hybridMultilevel"/>
    <w:lvl w:ilvl="0">
      <w:lvlJc w:val="left"/>
      <w:lvlText w:val="(%1)"/>
      <w:numFmt w:val="lowerLetter"/>
      <w:start w:val="25"/>
    </w:lvl>
  </w:abstractNum>
  <w:abstractNum w:abstractNumId="3">
    <w:nsid w:val="46E87CCD"/>
    <w:multiLevelType w:val="hybridMultilevel"/>
    <w:lvl w:ilvl="0">
      <w:lvlJc w:val="left"/>
      <w:lvlText w:val="(%1)"/>
      <w:numFmt w:val="lowerLetter"/>
      <w:start w:val="25"/>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2026-05-06T16:31:22Z</dcterms:created>
  <dcterms:modified xsi:type="dcterms:W3CDTF">2026-05-06T16:31:22Z</dcterms:modified>
</cp:coreProperties>
</file>