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28" w:lineRule="exact"/>
        <w:rPr>
          <w:sz w:val="24"/>
          <w:szCs w:val="24"/>
          <w:color w:val="auto"/>
        </w:rPr>
      </w:pPr>
    </w:p>
    <w:p>
      <w:pPr>
        <w:jc w:val="center"/>
        <w:ind w:left="180" w:right="179"/>
        <w:spacing w:after="0" w:line="246" w:lineRule="auto"/>
        <w:rPr>
          <w:sz w:val="20"/>
          <w:szCs w:val="20"/>
          <w:color w:val="auto"/>
        </w:rPr>
      </w:pPr>
      <w:r>
        <w:rPr>
          <w:rFonts w:ascii="Times New Roman" w:cs="Times New Roman" w:eastAsia="Times New Roman" w:hAnsi="Times New Roman"/>
          <w:sz w:val="22"/>
          <w:szCs w:val="22"/>
          <w:b w:val="1"/>
          <w:bCs w:val="1"/>
          <w:color w:val="auto"/>
        </w:rPr>
        <w:t>Tender Offer Statement under Section 14(d)(1) or 13(e)(1) of the Securities Exchange Act of 1934 (Amendment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134620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ARMO BIOSCIENCES,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150495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BLUEGILL ACQUISITION CORPORATION</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(Offeror)</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 wholly-owned subsidiary of</w:t>
      </w:r>
    </w:p>
    <w:p>
      <w:pPr>
        <w:spacing w:after="0" w:line="1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ELI LILLY AND COMPANY</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(Parent of Offeror)</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(Names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150495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04225U104</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142240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Michael J. Harrington, Esq.</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General Counsel</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Eli Lilly and Company</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Lilly Corporate Center</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Indianapolis, Indiana 46285</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Telephone: (317) 276-2000</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Daniel A. Neff</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Mark Gordon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Wachtell, Lipton, Rosen &amp; Katz</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51 West 52</w:t>
      </w:r>
      <w:r>
        <w:rPr>
          <w:rFonts w:ascii="Times New Roman" w:cs="Times New Roman" w:eastAsia="Times New Roman" w:hAnsi="Times New Roman"/>
          <w:sz w:val="15"/>
          <w:szCs w:val="15"/>
          <w:b w:val="1"/>
          <w:bCs w:val="1"/>
          <w:color w:val="auto"/>
        </w:rPr>
        <w:t>nd</w:t>
      </w:r>
      <w:r>
        <w:rPr>
          <w:rFonts w:ascii="Times New Roman" w:cs="Times New Roman" w:eastAsia="Times New Roman" w:hAnsi="Times New Roman"/>
          <w:sz w:val="18"/>
          <w:szCs w:val="18"/>
          <w:b w:val="1"/>
          <w:bCs w:val="1"/>
          <w:color w:val="auto"/>
        </w:rPr>
        <w:t xml:space="preserve"> Street</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New York, New York 10019</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(212) 403-1000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filing persons)</w:t>
      </w:r>
    </w:p>
    <w:p>
      <w:pPr>
        <w:sectPr>
          <w:pgSz w:w="11900" w:h="16838" w:orient="portrait"/>
          <w:cols w:equalWidth="0" w:num="1">
            <w:col w:w="9019"/>
          </w:cols>
          <w:pgMar w:left="1440" w:top="362" w:right="144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74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CALCULATION OF FILING FEE</w:t>
            </w:r>
          </w:p>
        </w:tc>
      </w:tr>
      <w:tr>
        <w:trPr>
          <w:trHeight w:val="122"/>
        </w:trPr>
        <w:tc>
          <w:tcPr>
            <w:tcW w:w="402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5640" w:type="dxa"/>
            <w:vAlign w:val="bottom"/>
            <w:tcBorders>
              <w:bottom w:val="single" w:sz="8" w:color="auto"/>
            </w:tcBorders>
          </w:tcPr>
          <w:p>
            <w:pPr>
              <w:spacing w:after="0"/>
              <w:rPr>
                <w:sz w:val="10"/>
                <w:szCs w:val="10"/>
                <w:color w:val="auto"/>
              </w:rPr>
            </w:pPr>
          </w:p>
        </w:tc>
      </w:tr>
      <w:tr>
        <w:trPr>
          <w:trHeight w:val="142"/>
        </w:trPr>
        <w:tc>
          <w:tcPr>
            <w:tcW w:w="4020" w:type="dxa"/>
            <w:vAlign w:val="bottom"/>
            <w:tcBorders>
              <w:left w:val="single" w:sz="8" w:color="auto"/>
              <w:bottom w:val="single" w:sz="8" w:color="auto"/>
            </w:tcBorders>
          </w:tcPr>
          <w:p>
            <w:pPr>
              <w:jc w:val="center"/>
              <w:ind w:left="1839"/>
              <w:spacing w:after="0" w:line="142" w:lineRule="exact"/>
              <w:rPr>
                <w:sz w:val="20"/>
                <w:szCs w:val="20"/>
                <w:color w:val="auto"/>
              </w:rPr>
            </w:pPr>
            <w:r>
              <w:rPr>
                <w:rFonts w:ascii="Times New Roman" w:cs="Times New Roman" w:eastAsia="Times New Roman" w:hAnsi="Times New Roman"/>
                <w:sz w:val="14"/>
                <w:szCs w:val="14"/>
                <w:b w:val="1"/>
                <w:bCs w:val="1"/>
                <w:color w:val="auto"/>
                <w:w w:val="99"/>
              </w:rPr>
              <w:t>Transaction Valuation*</w:t>
            </w:r>
          </w:p>
        </w:tc>
        <w:tc>
          <w:tcPr>
            <w:tcW w:w="1780" w:type="dxa"/>
            <w:vAlign w:val="bottom"/>
            <w:tcBorders>
              <w:bottom w:val="single" w:sz="8" w:color="auto"/>
              <w:right w:val="single" w:sz="8" w:color="auto"/>
            </w:tcBorders>
          </w:tcPr>
          <w:p>
            <w:pPr>
              <w:spacing w:after="0"/>
              <w:rPr>
                <w:sz w:val="12"/>
                <w:szCs w:val="12"/>
                <w:color w:val="auto"/>
              </w:rPr>
            </w:pPr>
          </w:p>
        </w:tc>
        <w:tc>
          <w:tcPr>
            <w:tcW w:w="56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 of Filing Fee**</w:t>
            </w:r>
          </w:p>
        </w:tc>
      </w:tr>
      <w:tr>
        <w:trPr>
          <w:trHeight w:val="210"/>
        </w:trPr>
        <w:tc>
          <w:tcPr>
            <w:tcW w:w="40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8"/>
                <w:szCs w:val="18"/>
                <w:color w:val="auto"/>
              </w:rPr>
              <w:t>$1,653,750,000.00</w:t>
            </w:r>
          </w:p>
        </w:tc>
        <w:tc>
          <w:tcPr>
            <w:tcW w:w="178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tcBorders>
          </w:tcPr>
          <w:p>
            <w:pPr>
              <w:jc w:val="right"/>
              <w:ind w:right="2259"/>
              <w:spacing w:after="0"/>
              <w:rPr>
                <w:sz w:val="20"/>
                <w:szCs w:val="20"/>
                <w:color w:val="auto"/>
              </w:rPr>
            </w:pPr>
            <w:r>
              <w:rPr>
                <w:rFonts w:ascii="Times New Roman" w:cs="Times New Roman" w:eastAsia="Times New Roman" w:hAnsi="Times New Roman"/>
                <w:sz w:val="18"/>
                <w:szCs w:val="18"/>
                <w:color w:val="auto"/>
              </w:rPr>
              <w:t>$205,891.88</w:t>
            </w:r>
          </w:p>
        </w:tc>
      </w:tr>
    </w:tbl>
    <w:p>
      <w:pPr>
        <w:spacing w:after="0" w:line="117" w:lineRule="exact"/>
        <w:rPr>
          <w:sz w:val="20"/>
          <w:szCs w:val="20"/>
          <w:color w:val="auto"/>
        </w:rPr>
      </w:pPr>
    </w:p>
    <w:p>
      <w:pPr>
        <w:jc w:val="both"/>
        <w:ind w:left="460" w:right="180" w:hanging="452"/>
        <w:spacing w:after="0" w:line="257"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purposes of calculating the filing fee. This calculation is based on the offer to purchase all of the issued and outstanding shares of common stock, par value $0.0001 per share, of ARMO BioSciences, Inc. (“ARMO”), at a purchase price of $50.00 per share, net to the seller in cash, without interest and less any applicable tax withholding. As of 5:00 p.m., Eastern time, on May 18, 2018 (the most recent practicable date): (i)</w:t>
      </w:r>
    </w:p>
    <w:p>
      <w:pPr>
        <w:spacing w:after="0" w:line="1" w:lineRule="exact"/>
        <w:rPr>
          <w:rFonts w:ascii="Times New Roman" w:cs="Times New Roman" w:eastAsia="Times New Roman" w:hAnsi="Times New Roman"/>
          <w:sz w:val="18"/>
          <w:szCs w:val="18"/>
          <w:color w:val="auto"/>
        </w:rPr>
      </w:pPr>
    </w:p>
    <w:p>
      <w:pPr>
        <w:ind w:left="460"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30,405,109 shares of ARMO common stock were issued and outstanding, (ii) no shares of ARMO common stock were held by ARMO in its treasury, (iii) 2,657,030 shares of ARMO common stock were subject to outstanding ARMO stock options, (iv) 7,267 shares of ARMO common stock were subject to outstanding rights under ARMO’s employee stock purchase plan, and (v) 5,594 additional shares of ARMO common stock, which is an estimate of the maximum number of shares that were reserved for issuance pursuant to ARMO’s stock plans or employee stock purchase plan and may become outstanding prior to consummation of the Offer.</w:t>
      </w:r>
    </w:p>
    <w:p>
      <w:pPr>
        <w:spacing w:after="0" w:line="93" w:lineRule="exact"/>
        <w:rPr>
          <w:sz w:val="20"/>
          <w:szCs w:val="20"/>
          <w:color w:val="auto"/>
        </w:rPr>
      </w:pPr>
    </w:p>
    <w:p>
      <w:pPr>
        <w:ind w:left="460" w:right="240" w:hanging="452"/>
        <w:spacing w:after="0" w:line="282"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fee was calculated in accordance with Rule 0-11 under the Securities Exchange Act of 1934, as amended, and Fee Rate Advisory No. 1 for Fiscal Year 2018, issued August 24, 2017, by multiplying the transaction value by 0.0001245.</w:t>
      </w:r>
    </w:p>
    <w:p>
      <w:pPr>
        <w:spacing w:after="0" w:line="67" w:lineRule="exact"/>
        <w:rPr>
          <w:sz w:val="20"/>
          <w:szCs w:val="20"/>
          <w:color w:val="auto"/>
        </w:rPr>
      </w:pPr>
    </w:p>
    <w:p>
      <w:pPr>
        <w:ind w:left="460" w:right="300" w:hanging="452"/>
        <w:spacing w:after="0" w:line="282" w:lineRule="auto"/>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40"/>
          </w:cols>
          <w:pgMar w:left="240" w:top="117" w:right="219" w:bottom="1440" w:gutter="0" w:footer="0" w:header="0"/>
        </w:sectPr>
      </w:pPr>
    </w:p>
    <w:p>
      <w:pPr>
        <w:spacing w:after="0" w:line="18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Amount Previously Paid: $205,891.88</w:t>
      </w:r>
    </w:p>
    <w:p>
      <w:pPr>
        <w:spacing w:after="0" w:line="2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Form or Registration No.: Schedule TO</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Filing Party: Bluegill Acquisition Corporation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Eli Lilly and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Filed: May 23, 2018</w:t>
      </w:r>
    </w:p>
    <w:p>
      <w:pPr>
        <w:spacing w:after="0" w:line="200" w:lineRule="exact"/>
        <w:rPr>
          <w:sz w:val="20"/>
          <w:szCs w:val="20"/>
          <w:color w:val="auto"/>
        </w:rPr>
      </w:pPr>
    </w:p>
    <w:p>
      <w:pPr>
        <w:sectPr>
          <w:pgSz w:w="11900" w:h="16838" w:orient="portrait"/>
          <w:cols w:equalWidth="0" w:num="2">
            <w:col w:w="5260" w:space="720"/>
            <w:col w:w="5460"/>
          </w:cols>
          <w:pgMar w:left="240" w:top="117" w:right="219" w:bottom="1440" w:gutter="0" w:footer="0" w:header="0"/>
          <w:type w:val="continuous"/>
        </w:sectPr>
      </w:pPr>
    </w:p>
    <w:p>
      <w:pPr>
        <w:spacing w:after="0" w:line="47" w:lineRule="exact"/>
        <w:rPr>
          <w:sz w:val="20"/>
          <w:szCs w:val="20"/>
          <w:color w:val="auto"/>
        </w:rPr>
      </w:pPr>
    </w:p>
    <w:p>
      <w:pPr>
        <w:ind w:left="460" w:hanging="452"/>
        <w:spacing w:after="0"/>
        <w:tabs>
          <w:tab w:leader="none" w:pos="46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131" w:lineRule="exact"/>
        <w:rPr>
          <w:sz w:val="20"/>
          <w:szCs w:val="20"/>
          <w:color w:val="auto"/>
        </w:rPr>
      </w:pPr>
    </w:p>
    <w:p>
      <w:pPr>
        <w:ind w:left="920" w:right="6600" w:hanging="7"/>
        <w:spacing w:after="0" w:line="226" w:lineRule="exact"/>
        <w:tabs>
          <w:tab w:leader="none" w:pos="1487"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tender offer subject to Rule 14d-1.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jc w:val="both"/>
        <w:ind w:left="920" w:right="6480"/>
        <w:spacing w:after="0" w:line="226"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Going-private transaction subject to Rule 13e-3.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Amendment to Schedule 13D under Rule 13d-2.</w:t>
      </w:r>
    </w:p>
    <w:p>
      <w:pPr>
        <w:spacing w:after="0" w:line="14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31" w:lineRule="exact"/>
        <w:rPr>
          <w:sz w:val="20"/>
          <w:szCs w:val="20"/>
          <w:color w:val="auto"/>
        </w:rPr>
      </w:pPr>
    </w:p>
    <w:p>
      <w:pPr>
        <w:ind w:left="1480" w:hanging="567"/>
        <w:spacing w:after="0"/>
        <w:tabs>
          <w:tab w:leader="none" w:pos="148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9" w:lineRule="exact"/>
        <w:rPr>
          <w:rFonts w:ascii="MS PGothic" w:cs="MS PGothic" w:eastAsia="MS PGothic" w:hAnsi="MS PGothic"/>
          <w:sz w:val="18"/>
          <w:szCs w:val="18"/>
          <w:color w:val="auto"/>
        </w:rPr>
      </w:pPr>
    </w:p>
    <w:p>
      <w:pPr>
        <w:ind w:left="1480" w:hanging="567"/>
        <w:spacing w:after="0"/>
        <w:tabs>
          <w:tab w:leader="none" w:pos="148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type w:val="continuous"/>
        </w:sectPr>
      </w:pPr>
    </w:p>
    <w:bookmarkStart w:id="2" w:name="page3"/>
    <w:bookmarkEnd w:id="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3 amends and supplements the Tender Offer Statement on Schedule TO (together with any amendments and supplements hereto, the “Schedule TO”) filed with the Securities and Exchange Commission on May 23, 2018 by Bluegill Acquisition Corporation, a Delaware corporation (“Purchaser”) and wholly-owned subsidiary of Eli Lilly and Company, an Indiana corporation (“Lilly”). The Schedule TO relates to the offer by Purchaser to purchase all of the outstanding shares of common stock, par value, $0.0001 per share (the “Shares”), of ARMO BioSciences, Inc., a Delaware corporation (“ARMO”), at a purchase price of $50.00 per Share, net to the seller in cash, without interest and less any applicable tax withholding, on the terms and subject to the conditions set forth in the Offer to Purchase (the “Offer to Purchase”) and in the related Letter of Transmittal, copies of which are attached to the Schedule TO as Exhibits (a)(1)(A) and (a)(1)(B),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Items 1 through 9 and Item 11.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in the Offer to Purchase and Items 1 through 9 and Item 11 of the Schedule TO is hereby amended and supplemented as follows:</w:t>
      </w:r>
    </w:p>
    <w:p>
      <w:pPr>
        <w:spacing w:after="0" w:line="117" w:lineRule="exact"/>
        <w:rPr>
          <w:sz w:val="20"/>
          <w:szCs w:val="20"/>
          <w:color w:val="auto"/>
        </w:rPr>
      </w:pPr>
    </w:p>
    <w:p>
      <w:pPr>
        <w:jc w:val="both"/>
        <w:ind w:left="460" w:right="220"/>
        <w:spacing w:after="0" w:line="258" w:lineRule="auto"/>
        <w:rPr>
          <w:sz w:val="20"/>
          <w:szCs w:val="20"/>
          <w:color w:val="auto"/>
        </w:rPr>
      </w:pPr>
      <w:r>
        <w:rPr>
          <w:rFonts w:ascii="Times New Roman" w:cs="Times New Roman" w:eastAsia="Times New Roman" w:hAnsi="Times New Roman"/>
          <w:sz w:val="18"/>
          <w:szCs w:val="18"/>
          <w:color w:val="auto"/>
        </w:rPr>
        <w:t>“The Offer and related withdrawal rights expired as scheduled at one minute past 11:59 p.m., Eastern time, on June 21, 2018 (such date and time, the “Expiration Time”), and was not extended. The Depositary has advised that, as of the Expiration Time, 27,542,054 Shares had been validly tendered and not properly withdrawn pursuant to the Offer, representing approximately 90.6% of the aggregate number of then issued and outstanding Shares. Accordingly, the Minimum Tender Condition has been satisfied. Purchaser has accepted for payment, and will promptly pay for, all Shares that were validly tendered, and not properly withdrawn, pursuant to the Offer.</w:t>
      </w:r>
    </w:p>
    <w:p>
      <w:pPr>
        <w:spacing w:after="0" w:line="76" w:lineRule="exact"/>
        <w:rPr>
          <w:sz w:val="20"/>
          <w:szCs w:val="20"/>
          <w:color w:val="auto"/>
        </w:rPr>
      </w:pPr>
    </w:p>
    <w:p>
      <w:pPr>
        <w:ind w:left="460" w:right="180"/>
        <w:spacing w:after="0" w:line="266" w:lineRule="auto"/>
        <w:rPr>
          <w:sz w:val="20"/>
          <w:szCs w:val="20"/>
          <w:color w:val="auto"/>
        </w:rPr>
      </w:pPr>
      <w:r>
        <w:rPr>
          <w:rFonts w:ascii="Times New Roman" w:cs="Times New Roman" w:eastAsia="Times New Roman" w:hAnsi="Times New Roman"/>
          <w:sz w:val="18"/>
          <w:szCs w:val="18"/>
          <w:color w:val="auto"/>
        </w:rPr>
        <w:t>Following consummation of the Offer, on June 22, 2018, Lilly completed its acquisition of ARMO pursuant to the terms of the Merger Agreement through the merger of Purchaser with and into ARMO, without a meeting of stockholders of ARMO in accordance with Section 251(h) of the DGCL, with ARMO surviving as a wholly-owned subsidiary of Lilly.</w:t>
      </w:r>
    </w:p>
    <w:p>
      <w:pPr>
        <w:spacing w:after="0" w:line="68" w:lineRule="exact"/>
        <w:rPr>
          <w:sz w:val="20"/>
          <w:szCs w:val="20"/>
          <w:color w:val="auto"/>
        </w:rPr>
      </w:pPr>
    </w:p>
    <w:p>
      <w:pPr>
        <w:ind w:left="460" w:right="480"/>
        <w:spacing w:after="0" w:line="282" w:lineRule="auto"/>
        <w:rPr>
          <w:sz w:val="20"/>
          <w:szCs w:val="20"/>
          <w:color w:val="auto"/>
        </w:rPr>
      </w:pPr>
      <w:r>
        <w:rPr>
          <w:rFonts w:ascii="Times New Roman" w:cs="Times New Roman" w:eastAsia="Times New Roman" w:hAnsi="Times New Roman"/>
          <w:sz w:val="18"/>
          <w:szCs w:val="18"/>
          <w:color w:val="auto"/>
        </w:rPr>
        <w:t>Following the Merger, all Shares ceased trading prior to the opening of trading on Nasdaq on June 22, 2018 and will be delisted from Nasdaq and deregistered under the Exchange Act.</w:t>
      </w:r>
    </w:p>
    <w:p>
      <w:pPr>
        <w:spacing w:after="0" w:line="54" w:lineRule="exact"/>
        <w:rPr>
          <w:sz w:val="20"/>
          <w:szCs w:val="20"/>
          <w:color w:val="auto"/>
        </w:rPr>
      </w:pPr>
    </w:p>
    <w:p>
      <w:pPr>
        <w:ind w:left="460" w:right="120"/>
        <w:spacing w:after="0" w:line="282" w:lineRule="auto"/>
        <w:rPr>
          <w:sz w:val="20"/>
          <w:szCs w:val="20"/>
          <w:color w:val="auto"/>
        </w:rPr>
      </w:pPr>
      <w:r>
        <w:rPr>
          <w:rFonts w:ascii="Times New Roman" w:cs="Times New Roman" w:eastAsia="Times New Roman" w:hAnsi="Times New Roman"/>
          <w:sz w:val="18"/>
          <w:szCs w:val="18"/>
          <w:color w:val="auto"/>
        </w:rPr>
        <w:t>A copy of the press release issued by Lilly on June 22, 2018 announcing the expiration and results of the Offer and the consummation of the Merger is attached hereto as Exhibit (a)(5)(B).”</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12.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12 of the Schedule TO is hereby amended and supplemented as follows: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(a)(5)(B) Press Release issued by Lilly on June 22, 2018.</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0" w:right="239" w:bottom="1440" w:gutter="0" w:footer="0" w:header="0"/>
        </w:sectPr>
      </w:pPr>
    </w:p>
    <w:bookmarkStart w:id="3" w:name="page4"/>
    <w:bookmarkEnd w:id="3"/>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knowledge and belief of the undersigned, each of the undersigned certifies that the information set forth in this statement is true, complete and correct.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22, 2018</w:t>
      </w:r>
    </w:p>
    <w:p>
      <w:pPr>
        <w:spacing w:after="0" w:line="24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Bluegill Acquisition Corporation</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Darren J.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17145</wp:posOffset>
            </wp:positionV>
            <wp:extent cx="26930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4"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Name: Darren J. Carroll</w:t>
      </w:r>
    </w:p>
    <w:p>
      <w:pPr>
        <w:spacing w:after="0" w:line="9" w:lineRule="exact"/>
        <w:rPr>
          <w:sz w:val="20"/>
          <w:szCs w:val="20"/>
          <w:color w:val="auto"/>
        </w:rPr>
      </w:pPr>
    </w:p>
    <w:p>
      <w:pPr>
        <w:ind w:left="718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Eli Lilly and Company</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Joshua L.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17145</wp:posOffset>
            </wp:positionV>
            <wp:extent cx="26930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4"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Name: Joshua L. Smiley</w:t>
      </w:r>
    </w:p>
    <w:p>
      <w:pPr>
        <w:spacing w:after="0" w:line="9" w:lineRule="exact"/>
        <w:rPr>
          <w:sz w:val="20"/>
          <w:szCs w:val="20"/>
          <w:color w:val="auto"/>
        </w:rPr>
      </w:pPr>
    </w:p>
    <w:p>
      <w:pPr>
        <w:ind w:left="718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Senior Vice President and</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3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20"/>
          </w:cols>
          <w:pgMar w:left="240" w:top="266" w:right="8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4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9840" w:type="dxa"/>
            <w:vAlign w:val="bottom"/>
            <w:tcBorders>
              <w:bottom w:val="single" w:sz="8" w:color="auto"/>
            </w:tcBorders>
          </w:tcPr>
          <w:p>
            <w:pPr>
              <w:ind w:left="45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4"/>
        </w:trPr>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(a)(1)(A)</w:t>
            </w:r>
          </w:p>
        </w:tc>
        <w:tc>
          <w:tcPr>
            <w:tcW w:w="9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Offer to Purchase, dated May 23, 2018.*</w:t>
            </w:r>
          </w:p>
        </w:tc>
      </w:tr>
      <w:tr>
        <w:trPr>
          <w:trHeight w:val="324"/>
        </w:trPr>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(a)(1)(B)</w:t>
            </w:r>
          </w:p>
        </w:tc>
        <w:tc>
          <w:tcPr>
            <w:tcW w:w="9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Letter of Transmittal (including Guidelines for Certification of Taxpayer Identification Number on IRS Form W-9).*</w:t>
            </w:r>
          </w:p>
        </w:tc>
      </w:tr>
      <w:tr>
        <w:trPr>
          <w:trHeight w:val="324"/>
        </w:trPr>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(a)(1)(C)</w:t>
            </w:r>
          </w:p>
        </w:tc>
        <w:tc>
          <w:tcPr>
            <w:tcW w:w="9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Letter to Brokers, Dealers, Commercial Banks, Trust Companies and Other Nominees.*</w:t>
            </w:r>
          </w:p>
        </w:tc>
      </w:tr>
      <w:tr>
        <w:trPr>
          <w:trHeight w:val="324"/>
        </w:trPr>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(a)(1)(D)</w:t>
            </w:r>
          </w:p>
        </w:tc>
        <w:tc>
          <w:tcPr>
            <w:tcW w:w="9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Letter to Clients for use by Brokers, Dealers, Commercial Banks, Trust Companies and Other Nominees.*</w:t>
            </w:r>
          </w:p>
        </w:tc>
      </w:tr>
      <w:tr>
        <w:trPr>
          <w:trHeight w:val="324"/>
        </w:trPr>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(a)(1)(E)</w:t>
            </w:r>
          </w:p>
        </w:tc>
        <w:tc>
          <w:tcPr>
            <w:tcW w:w="9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Summary Advertisement, dated May 23, 2018.*</w:t>
            </w:r>
          </w:p>
        </w:tc>
      </w:tr>
      <w:tr>
        <w:trPr>
          <w:trHeight w:val="306"/>
        </w:trPr>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(a)(5)(A)</w:t>
            </w:r>
          </w:p>
        </w:tc>
        <w:tc>
          <w:tcPr>
            <w:tcW w:w="9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Joint Press Release issued by Lilly and ARMO on May 10, 2018 (incorporated by reference to Exhibit 99.1 to the Schedule TO filed by</w:t>
            </w:r>
          </w:p>
        </w:tc>
      </w:tr>
      <w:tr>
        <w:trPr>
          <w:trHeight w:val="234"/>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Lilly on May 10, 2018).</w:t>
            </w:r>
          </w:p>
        </w:tc>
      </w:tr>
      <w:tr>
        <w:trPr>
          <w:trHeight w:val="324"/>
        </w:trPr>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(a)(5)(B)</w:t>
            </w:r>
          </w:p>
        </w:tc>
        <w:tc>
          <w:tcPr>
            <w:tcW w:w="9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Press Release issued by Lilly on June 22, 2018.</w:t>
            </w:r>
          </w:p>
        </w:tc>
      </w:tr>
      <w:tr>
        <w:trPr>
          <w:trHeight w:val="324"/>
        </w:trPr>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w:t>
            </w:r>
          </w:p>
        </w:tc>
        <w:tc>
          <w:tcPr>
            <w:tcW w:w="9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06"/>
        </w:trPr>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(d)(1)</w:t>
            </w:r>
          </w:p>
        </w:tc>
        <w:tc>
          <w:tcPr>
            <w:tcW w:w="9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Agreement and Plan of Merger, dated May 9, 2018, among Eli Lilly and Company, Bluegill Acquisition Corporation and ARMO</w:t>
            </w:r>
          </w:p>
        </w:tc>
      </w:tr>
      <w:tr>
        <w:trPr>
          <w:trHeight w:val="234"/>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BioSciences, Inc. (incorporated by reference to Exhibit 2.1 to the Current Report on Form 8-K filed by ARMO on May 10, 2018).</w:t>
            </w:r>
          </w:p>
        </w:tc>
      </w:tr>
      <w:tr>
        <w:trPr>
          <w:trHeight w:val="306"/>
        </w:trPr>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(d)(2)</w:t>
            </w:r>
          </w:p>
        </w:tc>
        <w:tc>
          <w:tcPr>
            <w:tcW w:w="9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Tender and Support Agreement by and among Eli Lilly and Company, Bluegill Acquisition Corporation and certain stockholders of</w:t>
            </w: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ARMO BioSciences, Inc. (incorporated by reference to Exhibit 10.1 to the Current Report on Form 8-K filed by ARMO on May 10,</w:t>
            </w:r>
          </w:p>
        </w:tc>
      </w:tr>
      <w:tr>
        <w:trPr>
          <w:trHeight w:val="234"/>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2018).</w:t>
            </w:r>
          </w:p>
        </w:tc>
      </w:tr>
      <w:tr>
        <w:trPr>
          <w:trHeight w:val="324"/>
        </w:trPr>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(d)(3)</w:t>
            </w:r>
          </w:p>
        </w:tc>
        <w:tc>
          <w:tcPr>
            <w:tcW w:w="9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Non-Disclosure Agreement between ARMO and Lilly dated March 19, 2018.*</w:t>
            </w:r>
          </w:p>
        </w:tc>
      </w:tr>
      <w:tr>
        <w:trPr>
          <w:trHeight w:val="324"/>
        </w:trPr>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w:t>
            </w:r>
          </w:p>
        </w:tc>
        <w:tc>
          <w:tcPr>
            <w:tcW w:w="9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24"/>
        </w:trPr>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w:t>
            </w:r>
          </w:p>
        </w:tc>
        <w:tc>
          <w:tcPr>
            <w:tcW w:w="9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135"/>
        </w:trPr>
        <w:tc>
          <w:tcPr>
            <w:tcW w:w="7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40" w:type="dxa"/>
            <w:vAlign w:val="bottom"/>
          </w:tcPr>
          <w:p>
            <w:pPr>
              <w:spacing w:after="0"/>
              <w:rPr>
                <w:sz w:val="11"/>
                <w:szCs w:val="11"/>
                <w:color w:val="auto"/>
              </w:rPr>
            </w:pPr>
          </w:p>
        </w:tc>
      </w:tr>
      <w:tr>
        <w:trPr>
          <w:trHeight w:val="250"/>
        </w:trPr>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Previously filed.</w:t>
            </w:r>
          </w:p>
        </w:tc>
        <w:tc>
          <w:tcPr>
            <w:tcW w:w="120" w:type="dxa"/>
            <w:vAlign w:val="bottom"/>
          </w:tcPr>
          <w:p>
            <w:pPr>
              <w:spacing w:after="0"/>
              <w:rPr>
                <w:sz w:val="21"/>
                <w:szCs w:val="21"/>
                <w:color w:val="auto"/>
              </w:rPr>
            </w:pPr>
          </w:p>
        </w:tc>
        <w:tc>
          <w:tcPr>
            <w:tcW w:w="9840" w:type="dxa"/>
            <w:vAlign w:val="bottom"/>
          </w:tcPr>
          <w:p>
            <w:pPr>
              <w:spacing w:after="0"/>
              <w:rPr>
                <w:sz w:val="21"/>
                <w:szCs w:val="21"/>
                <w:color w:val="auto"/>
              </w:rPr>
            </w:pPr>
          </w:p>
        </w:tc>
      </w:tr>
      <w:tr>
        <w:trPr>
          <w:trHeight w:val="365"/>
        </w:trPr>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60" w:type="dxa"/>
            <w:vAlign w:val="bottom"/>
            <w:gridSpan w:val="2"/>
          </w:tcPr>
          <w:p>
            <w:pPr>
              <w:ind w:left="4140"/>
              <w:spacing w:after="0"/>
              <w:rPr>
                <w:sz w:val="20"/>
                <w:szCs w:val="20"/>
                <w:color w:val="auto"/>
              </w:rPr>
            </w:pPr>
            <w:r>
              <w:rPr>
                <w:rFonts w:ascii="Times New Roman" w:cs="Times New Roman" w:eastAsia="Times New Roman" w:hAnsi="Times New Roman"/>
                <w:sz w:val="18"/>
                <w:szCs w:val="18"/>
                <w:color w:val="auto"/>
              </w:rPr>
              <w:t>-4-</w:t>
            </w:r>
          </w:p>
        </w:tc>
      </w:tr>
    </w:tbl>
    <w:p>
      <w:pPr>
        <w:ind w:left="4140"/>
        <w:spacing w:after="0"/>
        <w:rPr>
          <w:sz w:val="20"/>
          <w:szCs w:val="20"/>
          <w:color w:val="auto"/>
        </w:rPr>
        <w:sectPr>
          <w:pgSz w:w="11900" w:h="16838" w:orient="portrait"/>
          <w:cols w:equalWidth="0" w:num="1">
            <w:col w:w="11420"/>
          </w:cols>
          <w:pgMar w:left="240" w:top="26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(a)(5)(B)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174625</wp:posOffset>
            </wp:positionV>
            <wp:extent cx="1029335" cy="565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933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9000" w:val="left"/>
        </w:tabs>
        <w:rPr>
          <w:sz w:val="20"/>
          <w:szCs w:val="20"/>
          <w:color w:val="auto"/>
        </w:rPr>
      </w:pPr>
      <w:r>
        <w:rPr>
          <w:rFonts w:ascii="Times New Roman" w:cs="Times New Roman" w:eastAsia="Times New Roman" w:hAnsi="Times New Roman"/>
          <w:sz w:val="36"/>
          <w:szCs w:val="36"/>
          <w:color w:val="auto"/>
          <w:vertAlign w:val="subscript"/>
        </w:rPr>
        <w:t>June 22, 2018</w:t>
      </w:r>
      <w:r>
        <w:rPr>
          <w:sz w:val="20"/>
          <w:szCs w:val="20"/>
          <w:color w:val="auto"/>
        </w:rPr>
        <w:tab/>
      </w:r>
      <w:r>
        <w:rPr>
          <w:rFonts w:ascii="Times New Roman" w:cs="Times New Roman" w:eastAsia="Times New Roman" w:hAnsi="Times New Roman"/>
          <w:sz w:val="14"/>
          <w:szCs w:val="14"/>
          <w:color w:val="auto"/>
        </w:rPr>
        <w:t>Eli Lilly and Company</w:t>
      </w:r>
    </w:p>
    <w:p>
      <w:pPr>
        <w:spacing w:after="0" w:line="92"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4"/>
          <w:szCs w:val="14"/>
          <w:color w:val="auto"/>
        </w:rPr>
        <w:t>Lilly Corporate Center</w:t>
      </w:r>
    </w:p>
    <w:p>
      <w:pPr>
        <w:ind w:left="9020"/>
        <w:spacing w:after="0" w:line="226" w:lineRule="auto"/>
        <w:rPr>
          <w:sz w:val="20"/>
          <w:szCs w:val="20"/>
          <w:color w:val="auto"/>
        </w:rPr>
      </w:pPr>
      <w:r>
        <w:rPr>
          <w:rFonts w:ascii="Times New Roman" w:cs="Times New Roman" w:eastAsia="Times New Roman" w:hAnsi="Times New Roman"/>
          <w:sz w:val="14"/>
          <w:szCs w:val="14"/>
          <w:color w:val="auto"/>
        </w:rPr>
        <w:t>Indianapolis, Indiana 46285</w:t>
      </w:r>
    </w:p>
    <w:p>
      <w:pPr>
        <w:ind w:left="9020"/>
        <w:spacing w:after="0" w:line="222" w:lineRule="auto"/>
        <w:rPr>
          <w:sz w:val="20"/>
          <w:szCs w:val="20"/>
          <w:color w:val="auto"/>
        </w:rPr>
      </w:pPr>
      <w:r>
        <w:rPr>
          <w:rFonts w:ascii="Times New Roman" w:cs="Times New Roman" w:eastAsia="Times New Roman" w:hAnsi="Times New Roman"/>
          <w:sz w:val="14"/>
          <w:szCs w:val="14"/>
          <w:color w:val="auto"/>
        </w:rPr>
        <w:t>U.S.A.</w:t>
      </w:r>
    </w:p>
    <w:p>
      <w:pPr>
        <w:ind w:left="9020"/>
        <w:spacing w:after="0" w:line="221" w:lineRule="auto"/>
        <w:rPr>
          <w:sz w:val="20"/>
          <w:szCs w:val="20"/>
          <w:color w:val="auto"/>
        </w:rPr>
      </w:pPr>
      <w:r>
        <w:rPr>
          <w:rFonts w:ascii="Times New Roman" w:cs="Times New Roman" w:eastAsia="Times New Roman" w:hAnsi="Times New Roman"/>
          <w:sz w:val="14"/>
          <w:szCs w:val="14"/>
          <w:color w:val="auto"/>
        </w:rPr>
        <w:t>+1.317.276.2000</w:t>
      </w:r>
    </w:p>
    <w:p>
      <w:pPr>
        <w:ind w:left="9020"/>
        <w:spacing w:after="0"/>
        <w:rPr>
          <w:sz w:val="20"/>
          <w:szCs w:val="20"/>
          <w:color w:val="auto"/>
        </w:rPr>
      </w:pPr>
      <w:r>
        <w:rPr>
          <w:rFonts w:ascii="Times New Roman" w:cs="Times New Roman" w:eastAsia="Times New Roman" w:hAnsi="Times New Roman"/>
          <w:sz w:val="14"/>
          <w:szCs w:val="14"/>
          <w:color w:val="auto"/>
        </w:rPr>
        <w:t>www.lilly.com</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Lilly Completes Acquisition of ARMO BioSciences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 – Eli Lilly and Company (NYSE:LLY) today announced the successful completion of its acquisition of ARMO BioSciences,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(NASDAQ:ARMO).</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Lilly’s tender offer for all outstanding shares of common stock of ARMO, at a price of $50.00 per share in cash, expired as scheduled on Thursday, June 21, 2018. As of the expiration of the tender offer, 27,542,054 shares of ARMO common stock were validly tendered and not properly withdrawn, representing approximately 90.6 percent of the shares of ARMO common stock outstanding, and have been accepted for payment under the terms of the tender offer. Following completion of the tender offer, Lilly completed the acquisition of ARMO through the previously-planned second-step merger.</w:t>
      </w:r>
    </w:p>
    <w:p>
      <w:pPr>
        <w:spacing w:after="0" w:line="180"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“We are pleased to announce the completion of our acquisition of ARMO BioSciences, which adds a promising clinical immunotherapy asset, pegilodecakin, to Lilly’s oncology portfolio,” said Sue Mahony, Ph.D., Lilly senior vice president and president of Lilly Oncology. “Lilly will continue to pursue medicines that use the body’s immune system in new ways to treat cancer and that have the potential to make a meaningful difference to patients with cancer.”</w:t>
      </w:r>
    </w:p>
    <w:p>
      <w:pPr>
        <w:spacing w:after="0" w:line="15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This impact of the transaction will be reflected in Lilly’s reported results and financial guidance according to Generally Accepted Accounting Principles (GAAP). There is no expected change to Lilly’s 2018 non-GAAP earnings per share guidance as a result of this transaction.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Offer and the Merger</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tender offer for all of the outstanding shares of common stock of ARMO at a price of $50.00 per share, net to the seller in cash, without interest and less any required tax withholding (the “Offer”), expired as scheduled at one minute past 11:59 p.m., Eastern time, on Thursday, June 21, 2018. Computershare Trust Company, N.A., the depositary and paying agent for the Offer, has advised Lilly that 27,542,054 shares of ARMO common stock were validly tendered and not properly withdrawn in the Offer, representing approximately 90.6 percent of the shares of ARMO common stock outstanding. All of the conditions to the Offer have been satisfied and on June 22, 2018, Lilly and its wholly-owned subsidiary, Bluegill Acquisition Corporation, accepted for payment, and will promptly pay for, all shares validly tendered and not properly withdrawn in the Offer.</w:t>
      </w:r>
    </w:p>
    <w:p>
      <w:pPr>
        <w:sectPr>
          <w:pgSz w:w="11900" w:h="16838" w:orient="portrait"/>
          <w:cols w:equalWidth="0" w:num="1">
            <w:col w:w="11420"/>
          </w:cols>
          <w:pgMar w:left="240" w:top="117" w:right="239" w:bottom="1440" w:gutter="0" w:footer="0" w:header="0"/>
        </w:sectPr>
      </w:pPr>
    </w:p>
    <w:bookmarkStart w:id="6" w:name="page7"/>
    <w:bookmarkEnd w:id="6"/>
    <w:p>
      <w:pPr>
        <w:ind w:right="1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Following completion of the Offer, Lilly completed the acquisition of ARMO through the merger of Bluegill Acquisition Corporation with and into ARMO, without a vote of ARMO’s stockholders pursuant to Section 251(h) of the General Corporation Law of the State of Delaware, with ARMO surviving the merger as a wholly-owned subsidiary of Lilly. In connection with the merger, each share of common stock of ARMO not validly tendered into the Offer (other than (1) shares owned by ARMO immediately prior to the effective time of the merger, (2) shares owned by Lilly or Bluegill Acquisition Corporation at the commencement of the Offer and owned by Lilly or Purchaser immediately prior to the effective time of the merger or (3) shares held by any stockholder that was entitled to and has properly demanded statutory appraisal of its shares) has been converted into the right to receive the same $50.00 per share in cash, without interest and less applicable tax withholding, as will be paid for all shares that were validly tendered and not properly withdrawn in the Offer. ARMO’s common stock will be delisted from the NASDAQ Stock Market.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Eli Lilly and Company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Lilly is a global healthcare leader that unites caring with discovery to make life better for people around the world. We were founded more than a century ago by a man committed to creating high-quality medicines that meet real needs, and today we remain true to that mission in all our work. Across the globe, Lilly employees work to discover and bring life-changing medicines to those who need them, improve the understanding and management of disease, and give back to communities through philanthropy and volunteerism. To learn more about Lilly, please visit us at www.lilly.com and www.lilly.com/newsroom/social-channels. C-LLY</w:t>
      </w:r>
    </w:p>
    <w:p>
      <w:pPr>
        <w:sectPr>
          <w:pgSz w:w="11900" w:h="16838" w:orient="portrait"/>
          <w:cols w:equalWidth="0" w:num="1">
            <w:col w:w="11400"/>
          </w:cols>
          <w:pgMar w:left="240" w:top="270" w:right="25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Refer to: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Taylor; mark.taylor@lilly.com; (317) 276-5795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Kevin Hern; hern_kevin_r@lilly.com; (317) 277-1838 (Investors)</w:t>
      </w:r>
    </w:p>
    <w:p>
      <w:pPr>
        <w:spacing w:after="0" w:line="200" w:lineRule="exact"/>
        <w:rPr>
          <w:sz w:val="20"/>
          <w:szCs w:val="20"/>
          <w:color w:val="auto"/>
        </w:rPr>
      </w:pPr>
    </w:p>
    <w:p>
      <w:pPr>
        <w:sectPr>
          <w:pgSz w:w="11900" w:h="16838" w:orient="portrait"/>
          <w:cols w:equalWidth="0" w:num="2">
            <w:col w:w="1680" w:space="720"/>
            <w:col w:w="9000"/>
          </w:cols>
          <w:pgMar w:left="240" w:top="270" w:right="259" w:bottom="1440" w:gutter="0" w:footer="0" w:header="0"/>
          <w:type w:val="continuous"/>
        </w:sectPr>
      </w:pPr>
    </w:p>
    <w:p>
      <w:pPr>
        <w:spacing w:after="0" w:line="38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about the benefits of Lilly’s acquisition of ARMO BioSciences. It reflects Lilly’s current beliefs; however, as with any such undertaking, there are substantial risks and uncertainties in implementing the transaction and in drug development. Among other things, there can be no guarantee that Lilly will realize the expected benefits of the transaction, that pegilodecakin or any other products will be approved on the anticipated timeline or at all, or that pegilodecakin or any other products be commercially successful. For further discussion of these and other risks and uncertainties, see Lilly’s most recent Form 10-K and Form 10-Q filings with the United States Securities and Exchange Commission. Except as required by law, Lilly undertakes no duty to update forward-looking statements to reflect events after the date of this release.</w:t>
      </w:r>
    </w:p>
    <w:sectPr>
      <w:pgSz w:w="11900" w:h="16838" w:orient="portrait"/>
      <w:cols w:equalWidth="0" w:num="1">
        <w:col w:w="11400"/>
      </w:cols>
      <w:pgMar w:left="240" w:top="270"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2019-12-08T15:28:23Z</dcterms:created>
  <dcterms:modified xsi:type="dcterms:W3CDTF">2019-12-08T15:28:23Z</dcterms:modified>
</cp:coreProperties>
</file>