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001-06351</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1900" w:type="dxa"/>
        <w:tblCellMar>
          <w:top w:w="0" w:type="dxa"/>
          <w:left w:w="0" w:type="dxa"/>
          <w:bottom w:w="0" w:type="dxa"/>
          <w:right w:w="0" w:type="dxa"/>
        </w:tblCellMar>
      </w:tblPr>
      <w:tr>
        <w:trPr>
          <w:trHeight w:val="190"/>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Indiana</w:t>
            </w:r>
          </w:p>
        </w:tc>
        <w:tc>
          <w:tcPr>
            <w:tcW w:w="3000" w:type="dxa"/>
            <w:vAlign w:val="bottom"/>
          </w:tcPr>
          <w:p>
            <w:pPr>
              <w:ind w:left="1900"/>
              <w:spacing w:after="0"/>
              <w:rPr>
                <w:sz w:val="20"/>
                <w:szCs w:val="20"/>
                <w:color w:val="auto"/>
              </w:rPr>
            </w:pPr>
            <w:r>
              <w:rPr>
                <w:rFonts w:ascii="Arial" w:cs="Arial" w:eastAsia="Arial" w:hAnsi="Arial"/>
                <w:sz w:val="14"/>
                <w:szCs w:val="14"/>
                <w:color w:val="auto"/>
              </w:rPr>
              <w:t>35-0470950</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(State or other jurisdiction of</w:t>
            </w:r>
          </w:p>
        </w:tc>
        <w:tc>
          <w:tcPr>
            <w:tcW w:w="3000" w:type="dxa"/>
            <w:vAlign w:val="bottom"/>
          </w:tcPr>
          <w:p>
            <w:pPr>
              <w:ind w:left="1920"/>
              <w:spacing w:after="0"/>
              <w:rPr>
                <w:sz w:val="20"/>
                <w:szCs w:val="20"/>
                <w:color w:val="auto"/>
              </w:rPr>
            </w:pPr>
            <w:r>
              <w:rPr>
                <w:rFonts w:ascii="Arial" w:cs="Arial" w:eastAsia="Arial" w:hAnsi="Arial"/>
                <w:sz w:val="14"/>
                <w:szCs w:val="14"/>
                <w:color w:val="auto"/>
              </w:rPr>
              <w:t>(I.R.S. Employer</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incorporation or organization)</w:t>
            </w:r>
          </w:p>
        </w:tc>
        <w:tc>
          <w:tcPr>
            <w:tcW w:w="3000" w:type="dxa"/>
            <w:vAlign w:val="bottom"/>
          </w:tcPr>
          <w:p>
            <w:pPr>
              <w:ind w:left="1880"/>
              <w:spacing w:after="0"/>
              <w:rPr>
                <w:sz w:val="20"/>
                <w:szCs w:val="20"/>
                <w:color w:val="auto"/>
              </w:rPr>
            </w:pPr>
            <w:r>
              <w:rPr>
                <w:rFonts w:ascii="Arial" w:cs="Arial" w:eastAsia="Arial" w:hAnsi="Arial"/>
                <w:sz w:val="14"/>
                <w:szCs w:val="14"/>
                <w:color w:val="auto"/>
              </w:rPr>
              <w:t>Identification No.)</w:t>
            </w:r>
          </w:p>
        </w:tc>
      </w:tr>
    </w:tbl>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Lilly Corporate Center, Indianapolis, Indiana 46285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120" w:type="dxa"/>
            <w:vAlign w:val="bottom"/>
            <w:gridSpan w:val="3"/>
          </w:tcPr>
          <w:p>
            <w:pPr>
              <w:ind w:left="1060"/>
              <w:spacing w:after="0"/>
              <w:rPr>
                <w:sz w:val="20"/>
                <w:szCs w:val="20"/>
                <w:color w:val="auto"/>
              </w:rPr>
            </w:pPr>
            <w:r>
              <w:rPr>
                <w:rFonts w:ascii="Arial" w:cs="Arial" w:eastAsia="Arial" w:hAnsi="Arial"/>
                <w:sz w:val="14"/>
                <w:szCs w:val="14"/>
                <w:b w:val="1"/>
                <w:bCs w:val="1"/>
                <w:color w:val="auto"/>
              </w:rPr>
              <w:t>Trading Symbol(s)</w:t>
            </w:r>
          </w:p>
        </w:tc>
        <w:tc>
          <w:tcPr>
            <w:tcW w:w="3980" w:type="dxa"/>
            <w:vAlign w:val="bottom"/>
            <w:gridSpan w:val="2"/>
          </w:tcPr>
          <w:p>
            <w:pPr>
              <w:ind w:lef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15"/>
        </w:trPr>
        <w:tc>
          <w:tcPr>
            <w:tcW w:w="30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LLY25</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LLY30</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0.500% Notes due 2033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2043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LLY49A</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1.125% Notes due 2051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LLY51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1.375% Notes due 2061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LLY61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bl>
    <w:p>
      <w:pPr>
        <w:spacing w:after="0" w:line="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Exchange Act: </w:t>
      </w:r>
      <w:r>
        <w:rPr>
          <w:rFonts w:ascii="Arial" w:cs="Arial" w:eastAsia="Arial" w:hAnsi="Arial"/>
          <w:sz w:val="14"/>
          <w:szCs w:val="14"/>
          <w:color w:val="auto"/>
        </w:rPr>
        <w:t>None</w:t>
      </w:r>
    </w:p>
    <w:p>
      <w:pPr>
        <w:spacing w:after="0" w:line="39" w:lineRule="exact"/>
        <w:rPr>
          <w:sz w:val="24"/>
          <w:szCs w:val="24"/>
          <w:color w:val="auto"/>
        </w:rPr>
      </w:pPr>
    </w:p>
    <w:p>
      <w:pPr>
        <w:ind w:right="3680"/>
        <w:spacing w:after="0" w:line="20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5" w:lineRule="exact"/>
        <w:rPr>
          <w:sz w:val="24"/>
          <w:szCs w:val="24"/>
          <w:color w:val="auto"/>
        </w:rPr>
      </w:pPr>
    </w:p>
    <w:p>
      <w:pPr>
        <w:ind w:right="80"/>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ind w:right="40"/>
        <w:spacing w:after="0" w:line="26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ind w:right="100"/>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80" w:type="dxa"/>
        <w:tblCellMar>
          <w:top w:w="0" w:type="dxa"/>
          <w:left w:w="0" w:type="dxa"/>
          <w:bottom w:w="0" w:type="dxa"/>
          <w:right w:w="0" w:type="dxa"/>
        </w:tblCellMar>
      </w:tblPr>
      <w:tr>
        <w:trPr>
          <w:trHeight w:val="175"/>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w w:val="94"/>
              </w:rPr>
              <w:t xml:space="preserve">Large accelerated filer </w:t>
            </w:r>
            <w:r>
              <w:rPr>
                <w:rFonts w:ascii="MS PGothic" w:cs="MS PGothic" w:eastAsia="MS PGothic" w:hAnsi="MS PGothic"/>
                <w:sz w:val="13"/>
                <w:szCs w:val="13"/>
                <w:color w:val="auto"/>
                <w:w w:val="94"/>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Smaller reporting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4940" w:type="dxa"/>
            <w:vAlign w:val="bottom"/>
          </w:tcPr>
          <w:p>
            <w:pPr>
              <w:spacing w:after="0"/>
              <w:rPr>
                <w:sz w:val="17"/>
                <w:szCs w:val="17"/>
                <w:color w:val="auto"/>
              </w:rPr>
            </w:pP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Emerging growth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65" w:lineRule="exact"/>
        <w:rPr>
          <w:sz w:val="24"/>
          <w:szCs w:val="24"/>
          <w:color w:val="auto"/>
        </w:rPr>
      </w:pPr>
    </w:p>
    <w:p>
      <w:pPr>
        <w:ind w:right="360"/>
        <w:spacing w:after="0" w:line="17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6" w:lineRule="exact"/>
        <w:rPr>
          <w:sz w:val="24"/>
          <w:szCs w:val="24"/>
          <w:color w:val="auto"/>
        </w:rPr>
      </w:pPr>
    </w:p>
    <w:p>
      <w:pPr>
        <w:ind w:right="340"/>
        <w:spacing w:after="0" w:line="16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5" w:lineRule="exact"/>
        <w:rPr>
          <w:sz w:val="24"/>
          <w:szCs w:val="24"/>
          <w:color w:val="auto"/>
        </w:rPr>
      </w:pPr>
    </w:p>
    <w:p>
      <w:pPr>
        <w:ind w:right="580"/>
        <w:spacing w:after="0" w:line="16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8" w:lineRule="exact"/>
        <w:rPr>
          <w:sz w:val="24"/>
          <w:szCs w:val="24"/>
          <w:color w:val="auto"/>
        </w:rPr>
      </w:pPr>
    </w:p>
    <w:p>
      <w:pPr>
        <w:ind w:right="140"/>
        <w:spacing w:after="0" w:line="164"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ind w:right="240"/>
        <w:spacing w:after="0" w:line="264" w:lineRule="auto"/>
        <w:rPr>
          <w:sz w:val="20"/>
          <w:szCs w:val="20"/>
          <w:color w:val="auto"/>
        </w:rPr>
      </w:pPr>
      <w:r>
        <w:rPr>
          <w:rFonts w:ascii="Arial" w:cs="Arial" w:eastAsia="Arial" w:hAnsi="Arial"/>
          <w:sz w:val="13"/>
          <w:szCs w:val="13"/>
          <w:color w:val="auto"/>
        </w:rPr>
        <w:t>Aggregate market value of the common equity held by non-affiliates computed by reference to the price at which the common equity was last sold as of the last business day of the Registrant's most recently completed second fiscal quarter: approximately $274,342,000,000.</w:t>
      </w:r>
    </w:p>
    <w:p>
      <w:pPr>
        <w:spacing w:after="0" w:line="36" w:lineRule="exact"/>
        <w:rPr>
          <w:sz w:val="24"/>
          <w:szCs w:val="24"/>
          <w:color w:val="auto"/>
        </w:rPr>
      </w:pPr>
    </w:p>
    <w:p>
      <w:pPr>
        <w:spacing w:after="0"/>
        <w:rPr>
          <w:sz w:val="20"/>
          <w:szCs w:val="20"/>
          <w:color w:val="auto"/>
        </w:rPr>
      </w:pPr>
      <w:r>
        <w:rPr>
          <w:rFonts w:ascii="Arial" w:cs="Arial" w:eastAsia="Arial" w:hAnsi="Arial"/>
          <w:sz w:val="13"/>
          <w:szCs w:val="13"/>
          <w:color w:val="auto"/>
        </w:rPr>
        <w:t>Number of shares of common stock outstanding as of February 17, 2023: 950,296,118</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Proxy Statement for the 2023 Annual Meeting of Shareholders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2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Eli Lilly and Company</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8"/>
              </w:rPr>
              <w:t>Form 10-K</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540" w:type="dxa"/>
            <w:vAlign w:val="bottom"/>
            <w:gridSpan w:val="12"/>
          </w:tcPr>
          <w:p>
            <w:pPr>
              <w:jc w:val="center"/>
              <w:ind w:right="2420"/>
              <w:spacing w:after="0"/>
              <w:rPr>
                <w:sz w:val="20"/>
                <w:szCs w:val="20"/>
                <w:color w:val="auto"/>
              </w:rPr>
            </w:pPr>
            <w:r>
              <w:rPr>
                <w:rFonts w:ascii="Arial" w:cs="Arial" w:eastAsia="Arial" w:hAnsi="Arial"/>
                <w:sz w:val="18"/>
                <w:szCs w:val="18"/>
                <w:b w:val="1"/>
                <w:bCs w:val="1"/>
                <w:color w:val="auto"/>
                <w:w w:val="99"/>
              </w:rPr>
              <w:t>For the Year Ended December 31, 2022</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80" w:type="dxa"/>
            <w:vAlign w:val="bottom"/>
            <w:gridSpan w:val="10"/>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 w:type="dxa"/>
            <w:vAlign w:val="bottom"/>
          </w:tcPr>
          <w:p>
            <w:pPr>
              <w:spacing w:after="0"/>
              <w:rPr>
                <w:sz w:val="24"/>
                <w:szCs w:val="24"/>
                <w:color w:val="auto"/>
              </w:rPr>
            </w:pPr>
          </w:p>
        </w:tc>
        <w:tc>
          <w:tcPr>
            <w:tcW w:w="1260" w:type="dxa"/>
            <w:vAlign w:val="bottom"/>
            <w:gridSpan w:val="6"/>
            <w:vMerge w:val="restart"/>
          </w:tcPr>
          <w:p>
            <w:pPr>
              <w:spacing w:after="0"/>
              <w:rPr>
                <w:sz w:val="20"/>
                <w:szCs w:val="20"/>
                <w:color w:val="auto"/>
              </w:rPr>
            </w:pPr>
            <w:r>
              <w:rPr>
                <w:rFonts w:ascii="Arial" w:cs="Arial" w:eastAsia="Arial" w:hAnsi="Arial"/>
                <w:sz w:val="18"/>
                <w:szCs w:val="18"/>
                <w:color w:val="0000FF"/>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9"/>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1.</w:t>
            </w:r>
          </w:p>
        </w:tc>
        <w:tc>
          <w:tcPr>
            <w:tcW w:w="700" w:type="dxa"/>
            <w:vAlign w:val="bottom"/>
            <w:gridSpan w:val="2"/>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0000FF"/>
                <w:w w:val="98"/>
              </w:rPr>
              <w:t>Business</w:t>
            </w:r>
          </w:p>
        </w:tc>
        <w:tc>
          <w:tcPr>
            <w:tcW w:w="8060" w:type="dxa"/>
            <w:vAlign w:val="bottom"/>
            <w:gridSpan w:val="21"/>
          </w:tcPr>
          <w:p>
            <w:pPr>
              <w:spacing w:after="0"/>
              <w:rPr>
                <w:sz w:val="24"/>
                <w:szCs w:val="24"/>
                <w:color w:val="auto"/>
              </w:rPr>
            </w:pPr>
          </w:p>
        </w:tc>
        <w:tc>
          <w:tcPr>
            <w:tcW w:w="720" w:type="dxa"/>
            <w:vAlign w:val="bottom"/>
            <w:gridSpan w:val="6"/>
          </w:tcPr>
          <w:p>
            <w:pPr>
              <w:jc w:val="center"/>
              <w:ind w:left="450"/>
              <w:spacing w:after="0"/>
              <w:rPr>
                <w:sz w:val="20"/>
                <w:szCs w:val="20"/>
                <w:color w:val="auto"/>
              </w:rPr>
            </w:pPr>
            <w:r>
              <w:rPr>
                <w:rFonts w:ascii="Arial" w:cs="Arial" w:eastAsia="Arial" w:hAnsi="Arial"/>
                <w:sz w:val="18"/>
                <w:szCs w:val="18"/>
                <w:color w:val="0000FF"/>
                <w:w w:val="99"/>
              </w:rPr>
              <w:t>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1A.</w:t>
            </w:r>
          </w:p>
        </w:tc>
        <w:tc>
          <w:tcPr>
            <w:tcW w:w="620" w:type="dxa"/>
            <w:vAlign w:val="bottom"/>
          </w:tcPr>
          <w:p>
            <w:pPr>
              <w:spacing w:after="0"/>
              <w:rPr>
                <w:sz w:val="18"/>
                <w:szCs w:val="18"/>
                <w:color w:val="auto"/>
              </w:rPr>
            </w:pPr>
          </w:p>
        </w:tc>
        <w:tc>
          <w:tcPr>
            <w:tcW w:w="880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24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1B.</w:t>
            </w:r>
          </w:p>
        </w:tc>
        <w:tc>
          <w:tcPr>
            <w:tcW w:w="620" w:type="dxa"/>
            <w:vAlign w:val="bottom"/>
          </w:tcPr>
          <w:p>
            <w:pPr>
              <w:spacing w:after="0"/>
              <w:rPr>
                <w:sz w:val="18"/>
                <w:szCs w:val="18"/>
                <w:color w:val="auto"/>
              </w:rPr>
            </w:pPr>
          </w:p>
        </w:tc>
        <w:tc>
          <w:tcPr>
            <w:tcW w:w="880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rPr>
              <w:t>Item 2.</w:t>
            </w:r>
          </w:p>
        </w:tc>
        <w:tc>
          <w:tcPr>
            <w:tcW w:w="62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0000FF"/>
              </w:rPr>
              <w:t>Properties</w:t>
            </w:r>
          </w:p>
        </w:tc>
        <w:tc>
          <w:tcPr>
            <w:tcW w:w="6540" w:type="dxa"/>
            <w:vAlign w:val="bottom"/>
            <w:gridSpan w:val="12"/>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3.</w:t>
            </w:r>
          </w:p>
        </w:tc>
        <w:tc>
          <w:tcPr>
            <w:tcW w:w="620" w:type="dxa"/>
            <w:vAlign w:val="bottom"/>
          </w:tcPr>
          <w:p>
            <w:pPr>
              <w:spacing w:after="0"/>
              <w:rPr>
                <w:sz w:val="18"/>
                <w:szCs w:val="18"/>
                <w:color w:val="auto"/>
              </w:rPr>
            </w:pP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7300" w:type="dxa"/>
            <w:vAlign w:val="bottom"/>
            <w:gridSpan w:val="16"/>
          </w:tcPr>
          <w:p>
            <w:pPr>
              <w:spacing w:after="0"/>
              <w:rPr>
                <w:sz w:val="18"/>
                <w:szCs w:val="18"/>
                <w:color w:val="auto"/>
              </w:rPr>
            </w:pP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880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5"/>
              </w:rPr>
              <w:t>Part II</w:t>
            </w:r>
          </w:p>
        </w:tc>
        <w:tc>
          <w:tcPr>
            <w:tcW w:w="80" w:type="dxa"/>
            <w:vAlign w:val="bottom"/>
            <w:tcBorders>
              <w:top w:val="single" w:sz="8" w:color="0000FF"/>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8800" w:type="dxa"/>
            <w:vAlign w:val="bottom"/>
            <w:gridSpan w:val="22"/>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 Equity</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8"/>
              </w:rPr>
              <w:t>Securities</w:t>
            </w:r>
          </w:p>
        </w:tc>
        <w:tc>
          <w:tcPr>
            <w:tcW w:w="7560" w:type="dxa"/>
            <w:vAlign w:val="bottom"/>
            <w:tcBorders>
              <w:top w:val="single" w:sz="8" w:color="0000FF"/>
            </w:tcBorders>
            <w:gridSpan w:val="19"/>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6.</w:t>
            </w:r>
          </w:p>
        </w:tc>
        <w:tc>
          <w:tcPr>
            <w:tcW w:w="700" w:type="dxa"/>
            <w:vAlign w:val="bottom"/>
            <w:gridSpan w:val="2"/>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[Reserved]</w:t>
            </w:r>
          </w:p>
        </w:tc>
        <w:tc>
          <w:tcPr>
            <w:tcW w:w="7920" w:type="dxa"/>
            <w:vAlign w:val="bottom"/>
            <w:gridSpan w:val="19"/>
          </w:tcPr>
          <w:p>
            <w:pPr>
              <w:spacing w:after="0"/>
              <w:rPr>
                <w:sz w:val="19"/>
                <w:szCs w:val="19"/>
                <w:color w:val="auto"/>
              </w:rPr>
            </w:pPr>
          </w:p>
        </w:tc>
        <w:tc>
          <w:tcPr>
            <w:tcW w:w="520" w:type="dxa"/>
            <w:vAlign w:val="bottom"/>
            <w:gridSpan w:val="3"/>
          </w:tcPr>
          <w:p>
            <w:pPr>
              <w:spacing w:after="0"/>
              <w:rPr>
                <w:sz w:val="19"/>
                <w:szCs w:val="19"/>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7.</w:t>
            </w:r>
          </w:p>
        </w:tc>
        <w:tc>
          <w:tcPr>
            <w:tcW w:w="700" w:type="dxa"/>
            <w:vAlign w:val="bottom"/>
            <w:gridSpan w:val="2"/>
          </w:tcPr>
          <w:p>
            <w:pPr>
              <w:spacing w:after="0"/>
              <w:rPr>
                <w:sz w:val="18"/>
                <w:szCs w:val="18"/>
                <w:color w:val="auto"/>
              </w:rPr>
            </w:pPr>
          </w:p>
        </w:tc>
        <w:tc>
          <w:tcPr>
            <w:tcW w:w="880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Results of Operations and Financial Condition</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7A.</w:t>
            </w:r>
          </w:p>
        </w:tc>
        <w:tc>
          <w:tcPr>
            <w:tcW w:w="880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55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2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w:t>
            </w:r>
          </w:p>
        </w:tc>
        <w:tc>
          <w:tcPr>
            <w:tcW w:w="4080" w:type="dxa"/>
            <w:vAlign w:val="bottom"/>
            <w:gridSpan w:val="7"/>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56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9.</w:t>
            </w:r>
          </w:p>
        </w:tc>
        <w:tc>
          <w:tcPr>
            <w:tcW w:w="700" w:type="dxa"/>
            <w:vAlign w:val="bottom"/>
            <w:gridSpan w:val="2"/>
          </w:tcPr>
          <w:p>
            <w:pPr>
              <w:spacing w:after="0"/>
              <w:rPr>
                <w:sz w:val="18"/>
                <w:szCs w:val="18"/>
                <w:color w:val="auto"/>
              </w:rPr>
            </w:pPr>
          </w:p>
        </w:tc>
        <w:tc>
          <w:tcPr>
            <w:tcW w:w="7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660" w:type="dxa"/>
            <w:vAlign w:val="bottom"/>
            <w:gridSpan w:val="3"/>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Item 9A.</w:t>
            </w:r>
          </w:p>
        </w:tc>
        <w:tc>
          <w:tcPr>
            <w:tcW w:w="620" w:type="dxa"/>
            <w:vAlign w:val="bottom"/>
          </w:tcPr>
          <w:p>
            <w:pPr>
              <w:spacing w:after="0"/>
              <w:rPr>
                <w:sz w:val="18"/>
                <w:szCs w:val="18"/>
                <w:color w:val="auto"/>
              </w:rPr>
            </w:pP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3"/>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9B.</w:t>
            </w:r>
          </w:p>
        </w:tc>
        <w:tc>
          <w:tcPr>
            <w:tcW w:w="620" w:type="dxa"/>
            <w:vAlign w:val="bottom"/>
          </w:tcPr>
          <w:p>
            <w:pPr>
              <w:spacing w:after="0"/>
              <w:rPr>
                <w:sz w:val="18"/>
                <w:szCs w:val="18"/>
                <w:color w:val="auto"/>
              </w:rPr>
            </w:pPr>
          </w:p>
        </w:tc>
        <w:tc>
          <w:tcPr>
            <w:tcW w:w="880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8"/>
              </w:rPr>
              <w:t>Item 9C.</w:t>
            </w:r>
          </w:p>
        </w:tc>
        <w:tc>
          <w:tcPr>
            <w:tcW w:w="620" w:type="dxa"/>
            <w:vAlign w:val="bottom"/>
          </w:tcPr>
          <w:p>
            <w:pPr>
              <w:spacing w:after="0"/>
              <w:rPr>
                <w:sz w:val="19"/>
                <w:szCs w:val="19"/>
                <w:color w:val="auto"/>
              </w:rPr>
            </w:pPr>
          </w:p>
        </w:tc>
        <w:tc>
          <w:tcPr>
            <w:tcW w:w="880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6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Part III</w:t>
            </w:r>
          </w:p>
        </w:tc>
        <w:tc>
          <w:tcPr>
            <w:tcW w:w="6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10.</w:t>
            </w:r>
          </w:p>
        </w:tc>
        <w:tc>
          <w:tcPr>
            <w:tcW w:w="8800" w:type="dxa"/>
            <w:vAlign w:val="bottom"/>
            <w:gridSpan w:val="22"/>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Item 11.</w:t>
            </w:r>
          </w:p>
        </w:tc>
        <w:tc>
          <w:tcPr>
            <w:tcW w:w="6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Executive Compensation</w:t>
            </w:r>
          </w:p>
        </w:tc>
        <w:tc>
          <w:tcPr>
            <w:tcW w:w="2560" w:type="dxa"/>
            <w:vAlign w:val="bottom"/>
            <w:tcBorders>
              <w:top w:val="single" w:sz="8" w:color="0000FF"/>
            </w:tcBorders>
            <w:gridSpan w:val="5"/>
          </w:tcPr>
          <w:p>
            <w:pPr>
              <w:spacing w:after="0"/>
              <w:rPr>
                <w:sz w:val="18"/>
                <w:szCs w:val="18"/>
                <w:color w:val="auto"/>
              </w:rPr>
            </w:pPr>
          </w:p>
        </w:tc>
        <w:tc>
          <w:tcPr>
            <w:tcW w:w="424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top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12.</w:t>
            </w:r>
          </w:p>
        </w:tc>
        <w:tc>
          <w:tcPr>
            <w:tcW w:w="880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13.</w:t>
            </w:r>
          </w:p>
        </w:tc>
        <w:tc>
          <w:tcPr>
            <w:tcW w:w="8800" w:type="dxa"/>
            <w:vAlign w:val="bottom"/>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14.</w:t>
            </w:r>
          </w:p>
        </w:tc>
        <w:tc>
          <w:tcPr>
            <w:tcW w:w="880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15.</w:t>
            </w:r>
          </w:p>
        </w:tc>
        <w:tc>
          <w:tcPr>
            <w:tcW w:w="8800" w:type="dxa"/>
            <w:vAlign w:val="bottom"/>
            <w:gridSpan w:val="22"/>
          </w:tcPr>
          <w:p>
            <w:pPr>
              <w:spacing w:after="0"/>
              <w:rPr>
                <w:sz w:val="20"/>
                <w:szCs w:val="20"/>
                <w:color w:val="auto"/>
              </w:rPr>
            </w:pPr>
            <w:r>
              <w:rPr>
                <w:rFonts w:ascii="Arial" w:cs="Arial" w:eastAsia="Arial" w:hAnsi="Arial"/>
                <w:sz w:val="18"/>
                <w:szCs w:val="18"/>
                <w:color w:val="0000FF"/>
              </w:rPr>
              <w:t>Exhibits and Financial Statement Schedules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16.</w:t>
            </w:r>
          </w:p>
        </w:tc>
        <w:tc>
          <w:tcPr>
            <w:tcW w:w="8800" w:type="dxa"/>
            <w:vAlign w:val="bottom"/>
            <w:gridSpan w:val="22"/>
          </w:tcPr>
          <w:p>
            <w:pPr>
              <w:spacing w:after="0"/>
              <w:rPr>
                <w:sz w:val="20"/>
                <w:szCs w:val="20"/>
                <w:color w:val="auto"/>
              </w:rPr>
            </w:pPr>
            <w:r>
              <w:rPr>
                <w:rFonts w:ascii="Arial" w:cs="Arial" w:eastAsia="Arial" w:hAnsi="Arial"/>
                <w:sz w:val="18"/>
                <w:szCs w:val="18"/>
                <w:color w:val="0000FF"/>
              </w:rPr>
              <w:t>Form 10-K Summary</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9"/>
        </w:trPr>
        <w:tc>
          <w:tcPr>
            <w:tcW w:w="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Borders>
              <w:top w:val="single" w:sz="8" w:color="0000FF"/>
            </w:tcBorders>
            <w:gridSpan w:val="7"/>
          </w:tcPr>
          <w:p>
            <w:pPr>
              <w:spacing w:after="0"/>
              <w:rPr>
                <w:sz w:val="24"/>
                <w:szCs w:val="24"/>
                <w:color w:val="auto"/>
              </w:rPr>
            </w:pPr>
          </w:p>
        </w:tc>
        <w:tc>
          <w:tcPr>
            <w:tcW w:w="2880" w:type="dxa"/>
            <w:vAlign w:val="bottom"/>
            <w:gridSpan w:val="7"/>
          </w:tcPr>
          <w:p>
            <w:pPr>
              <w:jc w:val="center"/>
              <w:ind w:left="233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auto"/>
        </w:rPr>
        <w:t>Forward-Looking Statements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Annual Report on Form 10-K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In particular, information appearing under "Business," "Risk Factors," and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20" w:lineRule="exact"/>
        <w:rPr>
          <w:sz w:val="20"/>
          <w:szCs w:val="20"/>
          <w:color w:val="auto"/>
        </w:rPr>
      </w:pPr>
    </w:p>
    <w:p>
      <w:pPr>
        <w:ind w:left="340" w:right="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outcome of acquisitions and business development transactions and related integration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and/or biosimilar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 package exclusivity;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breaches, or operating failures;</w:t>
      </w:r>
    </w:p>
    <w:p>
      <w:pPr>
        <w:spacing w:after="0" w:line="63" w:lineRule="exact"/>
        <w:rPr>
          <w:rFonts w:ascii="Arial" w:cs="Arial" w:eastAsia="Arial" w:hAnsi="Arial"/>
          <w:sz w:val="18"/>
          <w:szCs w:val="18"/>
          <w:color w:val="auto"/>
        </w:rPr>
      </w:pPr>
    </w:p>
    <w:p>
      <w:pPr>
        <w:ind w:left="340" w:right="4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w:t>
      </w:r>
    </w:p>
    <w:p>
      <w:pPr>
        <w:spacing w:after="0" w:line="1" w:lineRule="exact"/>
        <w:rPr>
          <w:rFonts w:ascii="Arial" w:cs="Arial" w:eastAsia="Arial" w:hAnsi="Arial"/>
          <w:sz w:val="18"/>
          <w:szCs w:val="18"/>
          <w:color w:val="auto"/>
        </w:rPr>
      </w:pPr>
    </w:p>
    <w:p>
      <w:pPr>
        <w:ind w:left="340" w:right="8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trade disruptions, disputes, unrest, war, regional dependencies, or other costs, uncertainties and risks related to engaging in business globally;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340" w:right="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1" w:lineRule="exact"/>
        <w:rPr>
          <w:rFonts w:ascii="Arial" w:cs="Arial" w:eastAsia="Arial" w:hAnsi="Arial"/>
          <w:sz w:val="18"/>
          <w:szCs w:val="18"/>
          <w:color w:val="auto"/>
        </w:rPr>
      </w:pPr>
    </w:p>
    <w:p>
      <w:pPr>
        <w:jc w:val="both"/>
        <w:ind w:left="340" w:right="20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or regulatory actions related to our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certain products for a significant percentage of our total revenue and an increasingly consolidated supply chain;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public health outbreaks, epidemics, or pandemics, such as the COVID-19 pandemic;</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operations and products;</w:t>
      </w:r>
    </w:p>
    <w:p>
      <w:pPr>
        <w:spacing w:after="0" w:line="63" w:lineRule="exact"/>
        <w:rPr>
          <w:rFonts w:ascii="Arial" w:cs="Arial" w:eastAsia="Arial" w:hAnsi="Arial"/>
          <w:sz w:val="18"/>
          <w:szCs w:val="18"/>
          <w:color w:val="auto"/>
        </w:rPr>
      </w:pPr>
    </w:p>
    <w:p>
      <w:pPr>
        <w:ind w:left="340" w:right="3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or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3" w:name="page4"/>
    <w:bookmarkEnd w:id="3"/>
    <w:p>
      <w:pPr>
        <w:ind w:left="340" w:right="60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Investors should also carefully read the factors described under Item 1A, "Risk Factors" in this Annual Report on Form 10-K for a description of certain risks that could, among other things, cause our actual results to differ from those expressed in forward-looking statements. Investors should understand that it is not possible to predict or identify all such factors and should not consider the risks described above and under Item 1A, "Risk Factors" to be a complete statement of all potential risks and uncertainties.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forward-looking statements speak only as of the date of this Annual Report and are expressly qualified in their entirety by the risk factors and cautionary statements included in this Annual Report. Except as is required by law, we expressly disclaim any obligation to publicly release any revisions to forward-looking statements to reflect events after the date of this Annual Report.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Part I</w:t>
      </w: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  Business</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Eli Lilly and Company (referred to as the company, Lilly, we, or us) was incorporated in 1901 in Indiana to succeed to the drug manufacturing business founded in Indianapolis, Indiana, in 1876 by Colonel Eli Lilly. We discover, develop, manufacture, and market products in a single business segment—human pharmaceutical products.</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Most of the products that we sell today were discovered or developed by our own scientists, and our long-term success depends on our ability to continually discover or acquire, develop, and commercialize innovative medicines.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manufacture and distribute our products through facilities in the United States (U.S.), including Puerto Rico, and 7 other countries. Our products are sold in approximately 110 countries.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include: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products</w:t>
      </w:r>
      <w:r>
        <w:rPr>
          <w:rFonts w:ascii="Arial" w:cs="Arial" w:eastAsia="Arial" w:hAnsi="Arial"/>
          <w:sz w:val="18"/>
          <w:szCs w:val="18"/>
          <w:color w:val="auto"/>
        </w:rPr>
        <w:t>, including:</w:t>
      </w:r>
    </w:p>
    <w:p>
      <w:pPr>
        <w:spacing w:after="0" w:line="1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in collaboration with Boehringer Ingelheim, a long-acting human insulin analog for the treatment of diabetes.</w:t>
      </w:r>
    </w:p>
    <w:p>
      <w:pPr>
        <w:spacing w:after="0" w:line="59" w:lineRule="exact"/>
        <w:rPr>
          <w:rFonts w:ascii="Arial" w:cs="Arial" w:eastAsia="Arial" w:hAnsi="Arial"/>
          <w:sz w:val="18"/>
          <w:szCs w:val="18"/>
          <w:i w:val="1"/>
          <w:iCs w:val="1"/>
          <w:color w:val="auto"/>
        </w:rPr>
      </w:pPr>
    </w:p>
    <w:p>
      <w:pPr>
        <w:ind w:left="660" w:right="340" w:hanging="328"/>
        <w:spacing w:after="0" w:line="23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 Humalog U-100, Humalog U-200, Humalog Mix 50/50</w:t>
      </w:r>
      <w:r>
        <w:rPr>
          <w:rFonts w:ascii="Arial" w:cs="Arial" w:eastAsia="Arial" w:hAnsi="Arial"/>
          <w:sz w:val="18"/>
          <w:szCs w:val="18"/>
          <w:color w:val="auto"/>
        </w:rPr>
        <w:t>,</w:t>
      </w:r>
      <w:r>
        <w:rPr>
          <w:rFonts w:ascii="Arial" w:cs="Arial" w:eastAsia="Arial" w:hAnsi="Arial"/>
          <w:sz w:val="18"/>
          <w:szCs w:val="18"/>
          <w:i w:val="1"/>
          <w:iCs w:val="1"/>
          <w:color w:val="auto"/>
        </w:rPr>
        <w:t xml:space="preserve"> insulin lispro, insulin lispro protamine</w:t>
      </w:r>
      <w:r>
        <w:rPr>
          <w:rFonts w:ascii="Arial" w:cs="Arial" w:eastAsia="Arial" w:hAnsi="Arial"/>
          <w:sz w:val="18"/>
          <w:szCs w:val="18"/>
          <w:color w:val="auto"/>
        </w:rPr>
        <w:t>, and</w:t>
      </w:r>
      <w:r>
        <w:rPr>
          <w:rFonts w:ascii="Arial" w:cs="Arial" w:eastAsia="Arial" w:hAnsi="Arial"/>
          <w:sz w:val="18"/>
          <w:szCs w:val="18"/>
          <w:i w:val="1"/>
          <w:iCs w:val="1"/>
          <w:color w:val="auto"/>
        </w:rPr>
        <w:t xml:space="preserve"> insulin lispro mix 75/25, </w:t>
      </w:r>
      <w:r>
        <w:rPr>
          <w:rFonts w:ascii="Arial" w:cs="Arial" w:eastAsia="Arial" w:hAnsi="Arial"/>
          <w:sz w:val="18"/>
          <w:szCs w:val="18"/>
          <w:color w:val="auto"/>
        </w:rPr>
        <w:t>human insulin analogs for the treatment of diabetes.</w:t>
      </w:r>
    </w:p>
    <w:p>
      <w:pPr>
        <w:spacing w:after="0" w:line="84"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Humulin 70/30, Humulin N, Humulin R, </w:t>
      </w:r>
      <w:r>
        <w:rPr>
          <w:rFonts w:ascii="Arial" w:cs="Arial" w:eastAsia="Arial" w:hAnsi="Arial"/>
          <w:sz w:val="18"/>
          <w:szCs w:val="18"/>
          <w:color w:val="auto"/>
        </w:rPr>
        <w:t>and</w:t>
      </w:r>
      <w:r>
        <w:rPr>
          <w:rFonts w:ascii="Arial" w:cs="Arial" w:eastAsia="Arial" w:hAnsi="Arial"/>
          <w:sz w:val="18"/>
          <w:szCs w:val="18"/>
          <w:i w:val="1"/>
          <w:iCs w:val="1"/>
          <w:color w:val="auto"/>
        </w:rPr>
        <w:t xml:space="preserve"> Humulin U-500</w:t>
      </w:r>
      <w:r>
        <w:rPr>
          <w:rFonts w:ascii="Arial" w:cs="Arial" w:eastAsia="Arial" w:hAnsi="Arial"/>
          <w:sz w:val="18"/>
          <w:szCs w:val="18"/>
          <w:color w:val="auto"/>
        </w:rPr>
        <w:t>, human insulins of recombinant DNA origin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w:t>
      </w:r>
    </w:p>
    <w:p>
      <w:pPr>
        <w:spacing w:after="0" w:line="84" w:lineRule="exact"/>
        <w:rPr>
          <w:rFonts w:ascii="Arial" w:cs="Arial" w:eastAsia="Arial" w:hAnsi="Arial"/>
          <w:sz w:val="18"/>
          <w:szCs w:val="18"/>
          <w:color w:val="auto"/>
        </w:rPr>
      </w:pPr>
    </w:p>
    <w:p>
      <w:pPr>
        <w:ind w:left="660" w:right="240" w:hanging="328"/>
        <w:spacing w:after="0" w:line="23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Boehringer Ingelheim, for the treatment of type 2 diabetes; to reduce the risk of cardiovascular</w:t>
      </w:r>
      <w:r>
        <w:rPr>
          <w:rFonts w:ascii="Arial" w:cs="Arial" w:eastAsia="Arial" w:hAnsi="Arial"/>
          <w:sz w:val="18"/>
          <w:szCs w:val="18"/>
          <w:i w:val="1"/>
          <w:iCs w:val="1"/>
          <w:color w:val="auto"/>
        </w:rPr>
        <w:t xml:space="preserve"> </w:t>
      </w:r>
      <w:r>
        <w:rPr>
          <w:rFonts w:ascii="Arial" w:cs="Arial" w:eastAsia="Arial" w:hAnsi="Arial"/>
          <w:sz w:val="18"/>
          <w:szCs w:val="18"/>
          <w:color w:val="auto"/>
        </w:rPr>
        <w:t>death in adult patients with type 2 diabetes and established cardiovascular disease; and to reduce the risk of cardiovascular death and hospitalizations for heart failure in adults.</w:t>
      </w:r>
    </w:p>
    <w:p>
      <w:pPr>
        <w:spacing w:after="0" w:line="83" w:lineRule="exact"/>
        <w:rPr>
          <w:rFonts w:ascii="Arial" w:cs="Arial" w:eastAsia="Arial" w:hAnsi="Arial"/>
          <w:sz w:val="18"/>
          <w:szCs w:val="18"/>
          <w:color w:val="auto"/>
        </w:rPr>
      </w:pPr>
    </w:p>
    <w:p>
      <w:pPr>
        <w:ind w:left="660" w:right="120" w:hanging="328"/>
        <w:spacing w:after="0" w:line="23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Mounjaro</w:t>
      </w:r>
      <w:r>
        <w:rPr>
          <w:rFonts w:ascii="Arial" w:cs="Arial" w:eastAsia="Arial" w:hAnsi="Arial"/>
          <w:sz w:val="23"/>
          <w:szCs w:val="23"/>
          <w:color w:val="auto"/>
          <w:vertAlign w:val="superscript"/>
        </w:rPr>
        <w:t>®</w:t>
      </w:r>
      <w:r>
        <w:rPr>
          <w:rFonts w:ascii="Arial" w:cs="Arial" w:eastAsia="Arial" w:hAnsi="Arial"/>
          <w:sz w:val="18"/>
          <w:szCs w:val="18"/>
          <w:color w:val="auto"/>
        </w:rPr>
        <w:t>, a glucose-dependent insulinotropic polypeptide and glucagon-like peptide-1 receptor agonist, for the treatment of adults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type 2 diabetes in combination with diet and exercise to improve glycemic control.</w:t>
      </w:r>
    </w:p>
    <w:p>
      <w:pPr>
        <w:spacing w:after="0" w:line="84" w:lineRule="exact"/>
        <w:rPr>
          <w:rFonts w:ascii="Arial" w:cs="Arial" w:eastAsia="Arial" w:hAnsi="Arial"/>
          <w:sz w:val="18"/>
          <w:szCs w:val="18"/>
          <w:color w:val="auto"/>
        </w:rPr>
      </w:pPr>
    </w:p>
    <w:p>
      <w:pPr>
        <w:ind w:left="660" w:right="400" w:hanging="328"/>
        <w:spacing w:after="0" w:line="23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Trulicit</w:t>
      </w:r>
      <w:r>
        <w:rPr>
          <w:rFonts w:ascii="Arial" w:cs="Arial" w:eastAsia="Arial" w:hAnsi="Arial"/>
          <w:sz w:val="18"/>
          <w:szCs w:val="18"/>
          <w:color w:val="auto"/>
        </w:rPr>
        <w:t>y</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type 2 diabetes in adults and pediatric patients 10 years of age and older, and to reduce the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major adverse cardiovascular events in adult patients with type 2 diabetes and established cardiovascular disease or multiple cardiovascular 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15" w:lineRule="exact"/>
        <w:rPr>
          <w:sz w:val="20"/>
          <w:szCs w:val="20"/>
          <w:color w:val="auto"/>
        </w:rPr>
      </w:pPr>
    </w:p>
    <w:p>
      <w:pPr>
        <w:ind w:left="660" w:right="20" w:hanging="328"/>
        <w:spacing w:after="0" w:line="24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r>
        <w:rPr>
          <w:rFonts w:ascii="Arial" w:cs="Arial" w:eastAsia="Arial" w:hAnsi="Arial"/>
          <w:sz w:val="18"/>
          <w:szCs w:val="18"/>
          <w:color w:val="auto"/>
        </w:rPr>
        <w:t>, for the first-line treatment, in combination with two other agents, of advanced non-small cell lung cancer (NSCLC) for</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non-squamous cell histology and no epidermal growth factor receptor or anaplastic lymphoma kinase genomic tumor aberrations; for the first-line treatment, in combination with another agent, of advanced non-squamous NSCLC;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82" w:lineRule="exact"/>
        <w:rPr>
          <w:rFonts w:ascii="Arial" w:cs="Arial" w:eastAsia="Arial" w:hAnsi="Arial"/>
          <w:sz w:val="18"/>
          <w:szCs w:val="18"/>
          <w:color w:val="auto"/>
        </w:rPr>
      </w:pPr>
    </w:p>
    <w:p>
      <w:pPr>
        <w:ind w:left="660" w:right="10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r>
        <w:rPr>
          <w:rFonts w:ascii="Arial" w:cs="Arial" w:eastAsia="Arial" w:hAnsi="Arial"/>
          <w:sz w:val="18"/>
          <w:szCs w:val="18"/>
          <w:color w:val="auto"/>
        </w:rPr>
        <w:t>, for use as monotherapy or in combination with another agent as a second-line treatment of advanced or metastatic</w:t>
      </w:r>
      <w:r>
        <w:rPr>
          <w:rFonts w:ascii="Arial" w:cs="Arial" w:eastAsia="Arial" w:hAnsi="Arial"/>
          <w:sz w:val="18"/>
          <w:szCs w:val="18"/>
          <w:i w:val="1"/>
          <w:iCs w:val="1"/>
          <w:color w:val="auto"/>
        </w:rPr>
        <w:t xml:space="preserve"> </w:t>
      </w:r>
      <w:r>
        <w:rPr>
          <w:rFonts w:ascii="Arial" w:cs="Arial" w:eastAsia="Arial" w:hAnsi="Arial"/>
          <w:sz w:val="18"/>
          <w:szCs w:val="18"/>
          <w:color w:val="auto"/>
        </w:rPr>
        <w:t>gastric cancer or gastro-esophageal junction adenocarcinoma; in combination with another agent as a second-line treatment of metastatic NSCLC; in combination with another agent as a second-line treatment of metastatic colorectal cancer; as a monotherapy as a second-line treatment of hepatocellular carcinoma; and in combination with another agent as a first-line treatment of adult patients with metastatic NSCLC with activating epidermal growth factor receptor mutations.</w:t>
      </w:r>
    </w:p>
    <w:p>
      <w:pPr>
        <w:spacing w:after="0" w:line="81" w:lineRule="exact"/>
        <w:rPr>
          <w:rFonts w:ascii="Arial" w:cs="Arial" w:eastAsia="Arial" w:hAnsi="Arial"/>
          <w:sz w:val="18"/>
          <w:szCs w:val="18"/>
          <w:color w:val="auto"/>
        </w:rPr>
      </w:pPr>
    </w:p>
    <w:p>
      <w:pPr>
        <w:ind w:left="660" w:hanging="328"/>
        <w:spacing w:after="0" w:line="23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3"/>
          <w:szCs w:val="23"/>
          <w:color w:val="auto"/>
          <w:vertAlign w:val="superscript"/>
        </w:rPr>
        <w:t>®</w:t>
      </w:r>
      <w:r>
        <w:rPr>
          <w:rFonts w:ascii="Arial" w:cs="Arial" w:eastAsia="Arial" w:hAnsi="Arial"/>
          <w:sz w:val="18"/>
          <w:szCs w:val="18"/>
          <w:color w:val="auto"/>
        </w:rPr>
        <w:t>, indicated both as monotherapy and in combination with another agent for the treatment of certain types of colorectal</w:t>
      </w:r>
      <w:r>
        <w:rPr>
          <w:rFonts w:ascii="Arial" w:cs="Arial" w:eastAsia="Arial" w:hAnsi="Arial"/>
          <w:sz w:val="18"/>
          <w:szCs w:val="18"/>
          <w:i w:val="1"/>
          <w:iCs w:val="1"/>
          <w:color w:val="auto"/>
        </w:rPr>
        <w:t xml:space="preserve"> </w:t>
      </w:r>
      <w:r>
        <w:rPr>
          <w:rFonts w:ascii="Arial" w:cs="Arial" w:eastAsia="Arial" w:hAnsi="Arial"/>
          <w:sz w:val="18"/>
          <w:szCs w:val="18"/>
          <w:color w:val="auto"/>
        </w:rPr>
        <w:t>cancers; and as monotherapy, in combination with chemotherapy, or in combination with radiation therapy for the treatment of certain types of head and neck cancers.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 w:name="page6"/>
    <w:bookmarkEnd w:id="5"/>
    <w:p>
      <w:pPr>
        <w:ind w:left="660" w:right="520" w:hanging="328"/>
        <w:spacing w:after="0" w:line="23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Jaypirca</w:t>
      </w:r>
      <w:r>
        <w:rPr>
          <w:rFonts w:ascii="Arial" w:cs="Arial" w:eastAsia="Arial" w:hAnsi="Arial"/>
          <w:sz w:val="23"/>
          <w:szCs w:val="23"/>
          <w:color w:val="auto"/>
          <w:vertAlign w:val="superscript"/>
        </w:rPr>
        <w:t>TM</w:t>
      </w:r>
      <w:r>
        <w:rPr>
          <w:rFonts w:ascii="Arial" w:cs="Arial" w:eastAsia="Arial" w:hAnsi="Arial"/>
          <w:sz w:val="18"/>
          <w:szCs w:val="18"/>
          <w:color w:val="auto"/>
        </w:rPr>
        <w:t>, for the treatment of adult patients with relapsed or refractory mantle cell lymphoma (MCL) after at least two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therapy, including a BTK inhibitor.</w:t>
      </w:r>
    </w:p>
    <w:p>
      <w:pPr>
        <w:spacing w:after="0" w:line="84" w:lineRule="exact"/>
        <w:rPr>
          <w:rFonts w:ascii="Arial" w:cs="Arial" w:eastAsia="Arial" w:hAnsi="Arial"/>
          <w:sz w:val="18"/>
          <w:szCs w:val="18"/>
          <w:color w:val="auto"/>
        </w:rPr>
      </w:pPr>
    </w:p>
    <w:p>
      <w:pPr>
        <w:ind w:left="660" w:right="120" w:hanging="328"/>
        <w:spacing w:after="0" w:line="24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Retevmo</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metastatic NSCLC with a rearranged during transfection (RET) gene fusion in adult patients;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advanced metastatic medullary thyroid cancer with a RET mutation who require systemic therapy in adult and pediatric patients; for the treatment of advanced or metastatic thyroid cancer with a RET gene fusion in adult and pediatric patients who require systemic therapy and are radioactive iodine-refractory; and for the treatment of adult patients with locally advanced or metastatic solid tumors with a RET gene fusion that have progressed on or following prior systemic treatment or who have no satisfactory alternative treatment options.</w:t>
      </w:r>
    </w:p>
    <w:p>
      <w:pPr>
        <w:spacing w:after="0" w:line="82" w:lineRule="exact"/>
        <w:rPr>
          <w:rFonts w:ascii="Arial" w:cs="Arial" w:eastAsia="Arial" w:hAnsi="Arial"/>
          <w:sz w:val="18"/>
          <w:szCs w:val="18"/>
          <w:color w:val="auto"/>
        </w:rPr>
      </w:pPr>
    </w:p>
    <w:p>
      <w:pPr>
        <w:ind w:left="660" w:right="180" w:hanging="328"/>
        <w:spacing w:after="0" w:line="24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Innovent Biologics, Inc., for the treatment of relapsed or refractory classic Hodgkin's lymphoma;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first-line treatment of non-squamous NSCLC in combination with Alimta and another agent; for the first-line treatment of squamous NSCLC in combination with two other agents; for the first-line treatment of hepatocellular carcinoma in combination with another agent; for the first-line treatment of esophageal squamous cell carcinoma in combination with certain other agents; and for the first-line treatment of gastric cancer in combination with two other agents, each in China.</w:t>
      </w:r>
    </w:p>
    <w:p>
      <w:pPr>
        <w:spacing w:after="0" w:line="81" w:lineRule="exact"/>
        <w:rPr>
          <w:rFonts w:ascii="Arial" w:cs="Arial" w:eastAsia="Arial" w:hAnsi="Arial"/>
          <w:sz w:val="18"/>
          <w:szCs w:val="18"/>
          <w:color w:val="auto"/>
        </w:rPr>
      </w:pPr>
    </w:p>
    <w:p>
      <w:pPr>
        <w:ind w:left="660" w:right="360" w:hanging="328"/>
        <w:spacing w:after="0" w:line="23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r>
        <w:rPr>
          <w:rFonts w:ascii="Arial" w:cs="Arial" w:eastAsia="Arial" w:hAnsi="Arial"/>
          <w:sz w:val="18"/>
          <w:szCs w:val="18"/>
          <w:color w:val="auto"/>
        </w:rPr>
        <w:t>, for use as monotherapy or in combination with endocrine therapy for the treatment of HR+, HER2- metastatic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and in combination with endocrine therapy for treatment of HR+, HER2-, node positive, early breast cancer at high risk of recurrence and a Ki-67 score at least 20 percent, as determined by a U.S. Food and Drug Administration (FDA) approved test.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products</w:t>
      </w:r>
      <w:r>
        <w:rPr>
          <w:rFonts w:ascii="Arial" w:cs="Arial" w:eastAsia="Arial" w:hAnsi="Arial"/>
          <w:sz w:val="18"/>
          <w:szCs w:val="18"/>
          <w:color w:val="auto"/>
        </w:rPr>
        <w:t>, including:</w:t>
      </w:r>
    </w:p>
    <w:p>
      <w:pPr>
        <w:spacing w:after="0" w:line="115" w:lineRule="exact"/>
        <w:rPr>
          <w:sz w:val="20"/>
          <w:szCs w:val="20"/>
          <w:color w:val="auto"/>
        </w:rPr>
      </w:pPr>
    </w:p>
    <w:p>
      <w:pPr>
        <w:ind w:left="660" w:hanging="328"/>
        <w:spacing w:after="0" w:line="23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Incyte Corporation, for the treatment of adults with moderately-to-severely active rheumatoid arthritis,</w:t>
      </w:r>
      <w:r>
        <w:rPr>
          <w:rFonts w:ascii="Arial" w:cs="Arial" w:eastAsia="Arial" w:hAnsi="Arial"/>
          <w:sz w:val="18"/>
          <w:szCs w:val="18"/>
          <w:i w:val="1"/>
          <w:iCs w:val="1"/>
          <w:color w:val="auto"/>
        </w:rPr>
        <w:t xml:space="preserve"> </w:t>
      </w:r>
      <w:r>
        <w:rPr>
          <w:rFonts w:ascii="Arial" w:cs="Arial" w:eastAsia="Arial" w:hAnsi="Arial"/>
          <w:sz w:val="18"/>
          <w:szCs w:val="18"/>
          <w:color w:val="auto"/>
        </w:rPr>
        <w:t>moderate to severe atopic dermatitis, and severe alopecia areata, and for the treatment of hospitalized adults with COVID-19 who require supplemental oxygen, mechanical ventilation, or extracorporeal membrane oxygenation.</w:t>
      </w:r>
    </w:p>
    <w:p>
      <w:pPr>
        <w:spacing w:after="0" w:line="83" w:lineRule="exact"/>
        <w:rPr>
          <w:rFonts w:ascii="Arial" w:cs="Arial" w:eastAsia="Arial" w:hAnsi="Arial"/>
          <w:sz w:val="18"/>
          <w:szCs w:val="18"/>
          <w:color w:val="auto"/>
        </w:rPr>
      </w:pPr>
    </w:p>
    <w:p>
      <w:pPr>
        <w:ind w:left="660" w:right="160" w:hanging="328"/>
        <w:spacing w:after="0" w:line="23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adults and pediatric patients aged 6 years or older with moderate-to-severe plaque psoriasis, adults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active psoriatic arthritis, adults with ankylosing spondylitis, and adults with active non-radiographic axial spondyloarthritis.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15" w:lineRule="exact"/>
        <w:rPr>
          <w:sz w:val="20"/>
          <w:szCs w:val="20"/>
          <w:color w:val="auto"/>
        </w:rPr>
      </w:pPr>
    </w:p>
    <w:p>
      <w:pPr>
        <w:ind w:left="660" w:right="660" w:hanging="328"/>
        <w:spacing w:after="0" w:line="23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for migraine prevention and the treatment of episodic cluster headache in adults.</w:t>
      </w:r>
    </w:p>
    <w:p>
      <w:pPr>
        <w:spacing w:after="0" w:line="59" w:lineRule="exact"/>
        <w:rPr>
          <w:rFonts w:ascii="Arial" w:cs="Arial" w:eastAsia="Arial" w:hAnsi="Arial"/>
          <w:sz w:val="18"/>
          <w:szCs w:val="18"/>
          <w:color w:val="auto"/>
        </w:rPr>
      </w:pPr>
    </w:p>
    <w:p>
      <w:pPr>
        <w:ind w:left="660" w:right="820" w:hanging="328"/>
        <w:spacing w:after="0" w:line="23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therapies</w:t>
      </w:r>
      <w:r>
        <w:rPr>
          <w:rFonts w:ascii="Arial" w:cs="Arial" w:eastAsia="Arial" w:hAnsi="Arial"/>
          <w:sz w:val="18"/>
          <w:szCs w:val="18"/>
          <w:color w:val="auto"/>
        </w:rPr>
        <w:t>, including:</w:t>
      </w:r>
    </w:p>
    <w:p>
      <w:pPr>
        <w:spacing w:after="0" w:line="117" w:lineRule="exact"/>
        <w:rPr>
          <w:sz w:val="20"/>
          <w:szCs w:val="20"/>
          <w:color w:val="auto"/>
        </w:rPr>
      </w:pPr>
    </w:p>
    <w:p>
      <w:pPr>
        <w:ind w:left="660" w:right="12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Bamlanivimab </w:t>
      </w:r>
      <w:r>
        <w:rPr>
          <w:rFonts w:ascii="Arial" w:cs="Arial" w:eastAsia="Arial" w:hAnsi="Arial"/>
          <w:sz w:val="18"/>
          <w:szCs w:val="18"/>
          <w:color w:val="auto"/>
        </w:rPr>
        <w:t>and</w:t>
      </w:r>
      <w:r>
        <w:rPr>
          <w:rFonts w:ascii="Arial" w:cs="Arial" w:eastAsia="Arial" w:hAnsi="Arial"/>
          <w:sz w:val="18"/>
          <w:szCs w:val="18"/>
          <w:i w:val="1"/>
          <w:iCs w:val="1"/>
          <w:color w:val="auto"/>
        </w:rPr>
        <w:t xml:space="preserve"> etesevimab</w:t>
      </w:r>
      <w:r>
        <w:rPr>
          <w:rFonts w:ascii="Arial" w:cs="Arial" w:eastAsia="Arial" w:hAnsi="Arial"/>
          <w:sz w:val="18"/>
          <w:szCs w:val="18"/>
          <w:color w:val="auto"/>
        </w:rPr>
        <w:t>, administered together, for the treatment of mild-to-moderate COVID-19 in adults and pediatric</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from birth to 12 years old with positive results of direct SARS-CoV-2 viral testing and who are at high risk for progression to severe COVID-19, including hospitalization or death (Emergency Use Authorization (EUA) granted in 2021). In May 2022, the FDA announced that bamlanivimab and etesevimab are not currently authorized for emergency use for any U.S. region.</w:t>
      </w:r>
    </w:p>
    <w:p>
      <w:pPr>
        <w:spacing w:after="0" w:line="68"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Bebtelovimab</w:t>
      </w:r>
      <w:r>
        <w:rPr>
          <w:rFonts w:ascii="Arial" w:cs="Arial" w:eastAsia="Arial" w:hAnsi="Arial"/>
          <w:sz w:val="18"/>
          <w:szCs w:val="18"/>
          <w:color w:val="auto"/>
        </w:rPr>
        <w:t>, for the treatment of mild-to-moderate COVID-19 in adults and pediatric patients (12 years of age and older and</w:t>
      </w:r>
      <w:r>
        <w:rPr>
          <w:rFonts w:ascii="Arial" w:cs="Arial" w:eastAsia="Arial" w:hAnsi="Arial"/>
          <w:sz w:val="18"/>
          <w:szCs w:val="18"/>
          <w:i w:val="1"/>
          <w:iCs w:val="1"/>
          <w:color w:val="auto"/>
        </w:rPr>
        <w:t xml:space="preserve"> </w:t>
      </w:r>
      <w:r>
        <w:rPr>
          <w:rFonts w:ascii="Arial" w:cs="Arial" w:eastAsia="Arial" w:hAnsi="Arial"/>
          <w:sz w:val="18"/>
          <w:szCs w:val="18"/>
          <w:color w:val="auto"/>
        </w:rPr>
        <w:t>weighing at least 40 kilograms) with positive results of direct SARS-CoV-2 viral testing, and who are at high risk for progression to severe COVID-19, including hospitalization or death, and for whom alternative COVID-19 treatment options approved or authorized by the FDA are not accessible or clinically appropriate (EUA granted in 2022). In November 2022, the FDA announced that bebtelovimab is not currently authorized for emergency use for any U.S. region.</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Cialis</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erectile dysfunction and benign prostatic hyperplasia.</w:t>
      </w:r>
    </w:p>
    <w:p>
      <w:pPr>
        <w:spacing w:after="0" w:line="59" w:lineRule="exact"/>
        <w:rPr>
          <w:rFonts w:ascii="Arial" w:cs="Arial" w:eastAsia="Arial" w:hAnsi="Arial"/>
          <w:sz w:val="18"/>
          <w:szCs w:val="18"/>
          <w:i w:val="1"/>
          <w:iCs w:val="1"/>
          <w:color w:val="auto"/>
        </w:rPr>
      </w:pPr>
    </w:p>
    <w:p>
      <w:pPr>
        <w:ind w:left="660" w:right="40" w:hanging="328"/>
        <w:spacing w:after="0" w:line="23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Marketing and Distribution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 and comply with local regulations.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promote our major products in the U.S. through sales representatives who engage with physicians and other healthcare professionals. We also educate healthcare providers about our products in various other ways, including promoting in online channels, distributing literature and samples of certain products to physicians, and exhibiting at medical meetings. In addition, we advertise certain products directly to consumers in the U.S., and we maintain websites and other media channels with information about our major products. We supplement our employee sales force with contract sales organizations to leverage our resources and reach additional patients in need.</w:t>
      </w:r>
    </w:p>
    <w:p>
      <w:pPr>
        <w:spacing w:after="0" w:line="71"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group purchasing organizations, government and long-term care institutions, hospitals, and certain retail pharmacies. We enter into arrangements with these organizations providing for discounts or rebates on our products.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U.S., most of our products are distributed through wholesalers that serve pharmacies, physicians and other healthcare professionals, and hospitals. In 2022, 2021, and 2020, three wholesale distributors in the U.S.—McKesson Corporation, AmerisourceBergen Corporation, and Cardinal Health, Inc.—each accounted for a significant percentage of our consolidated revenue. No other customer accounted for more than 10 percent of our consolidated revenue in any of these years. For additional information, see Item 8, "Financial Statements and Supplementary Data—Note 2: Revenue."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the U.S.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products we market and distribution of our products vary from country to country. Outside the U.S., we promote our products to healthcare providers through sales representatives and other channels. In most countries in which we operate, we maintain our own sales organizations, but in some countries we market our products through third parties, some of which we have engaged through distribution and promotion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Collaborations</w:t>
      </w:r>
    </w:p>
    <w:p>
      <w:pPr>
        <w:spacing w:after="0" w:line="117"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Certain of our products are marketed in arrangements with other pharmaceutical companies. For example, we and Boehringer Ingelheim have a global agreement to develop and commercialize a portfolio of diabetes products, including Trajenta</w:t>
      </w:r>
      <w:r>
        <w:rPr>
          <w:rFonts w:ascii="Arial" w:cs="Arial" w:eastAsia="Arial" w:hAnsi="Arial"/>
          <w:sz w:val="23"/>
          <w:szCs w:val="23"/>
          <w:color w:val="auto"/>
          <w:vertAlign w:val="superscript"/>
        </w:rPr>
        <w:t>®</w:t>
      </w:r>
      <w:r>
        <w:rPr>
          <w:rFonts w:ascii="Arial" w:cs="Arial" w:eastAsia="Arial" w:hAnsi="Arial"/>
          <w:sz w:val="18"/>
          <w:szCs w:val="18"/>
          <w:color w:val="auto"/>
        </w:rPr>
        <w:t>, Jentadueto</w:t>
      </w:r>
      <w:r>
        <w:rPr>
          <w:rFonts w:ascii="Arial" w:cs="Arial" w:eastAsia="Arial" w:hAnsi="Arial"/>
          <w:sz w:val="23"/>
          <w:szCs w:val="23"/>
          <w:color w:val="auto"/>
          <w:vertAlign w:val="superscript"/>
        </w:rPr>
        <w:t>®</w:t>
      </w:r>
      <w:r>
        <w:rPr>
          <w:rFonts w:ascii="Arial" w:cs="Arial" w:eastAsia="Arial" w:hAnsi="Arial"/>
          <w:sz w:val="18"/>
          <w:szCs w:val="18"/>
          <w:color w:val="auto"/>
        </w:rPr>
        <w:t>, Jardiance, Glyxambi</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XR, and Basaglar.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8, "Financial Statements and Supplementary Data—Note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globally with many other pharmaceutical products in highly competitive markets.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Important competitive factors include effectiveness, safety, and ease of use; formulary placement, price, payer coverage and reimbursement rates, and demonstrated cost-effectiveness; regulatory approvals; marketing effectiveness; and research and development of new products, processes, modalities, and uses. Most new products or uses that we introduce must compete with other branded, biosimilar, or generic products already on the market or that are later developed by competitors. When competitors introduce new products, uses, or delivery systems with therapeutic or cost advantages, including by developing new modalities, our products become subject to decreased sales volumes, progressive price reductions, or both.</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our long-term competitive success depends on discovering and developing (either alone or in collaboration with others) or acquiring innovative, cost-effective products that provide improved outcomes for patients and deliver value to payers, and continuously improving the productivity of our operations in a highly competitive environment. There can be no assurance that our efforts will result in commercially successful products, and it is possible that our products will be, or will become, uncompetitive from time to time as a result of products or uses developed by our competitors.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0"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Generic Pharmaceuticals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One of the biggest competitive challenges we face is from generic pharmaceuticals. In the U.S., Europe, Japan, and other jurisdictions, the regulatory approval process for pharmaceuticals (other than biological products (biologics)) exempts generics from costly and time-consuming clinical trials to demonstrate their safety and efficacy, allowing generic manufacturers to rely on the safety and efficacy of the innovator product. As a result, generic manufacturers generally invest far fewer resources than we do for our branded products in research and development and can price their products significantly lower than our branded products. Accordingly, when a branded non-biologic pharmaceutical loses its market exclusivity, it normally faces intense price competition from generic forms of the product, which can result in the loss of a significant portion of the product's revenue in a very short period of time. Moreover, governments in some countries leverage generic entrants to drive price concessions through the utilization of volume-based procurement bidding and other measures.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certain countries outside the U.S., intellectual property protection is weak, and we must compete with generic or counterfeit versions of our products relatively shortly after launch.</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number of our products and potential new medicines in our clinical-stage pipeline are biologics. In the U.S., the FDA regulates biologics under the Federal Food, Drug and Cosmetic Act, the Public Health Service Act, and implementing regulations. Competition for Lilly's biologics may be affected by the approval of follow-on biologics, also known as biosimilars. A biosimilar is a subsequent version of an approved innovator biologic that, due to its analytical and clinical similarity to the innovator biologic, may be approved based on an abbreviated data package that relies in part on the full testing required of the innovator biologic. Approval by the FDA ultimately depends on many factors, including a showing that the biosimilar is "highly similar" to the original product and has no clinically meaningful differences from the original product in terms of safety, purity, and potency.</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Globally, most governments have developed abbreviated regulatory pathways to approve biosimilars as follow-ons to innovator-developed biologics, including the Biologics Price Competition and Innovation Act of 2009 (the BPCIA) in the U.S. A number of biosimilars have been licensed under the BPCIA, as well as in Europe and Japan. The patent and regulatory exclusivity for the existing innovator biologic generally must expire in a given market before biosimilars may enter that market. In addition,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 In the U.S., currently only a biosimilar product that is determined to be "interchangeable" by the FDA will be considered substitutable for the original biologic product without the intervention of the healthcare provider who prescribed the original biologic product. The FDA requirements for interchangeability are evolving but the FDA has issued several "interchangeable" designations for biosimilar products, including for competitive insulin products, and is expected to continue doing so in the future.</w:t>
      </w:r>
    </w:p>
    <w:p>
      <w:pPr>
        <w:spacing w:after="0" w:line="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Regulatory interpretation of important aspects of the laws regulating biosimilars continues to evolve and, therefore, the impact of these laws on our business remains subject to substantial uncertainty. Biosimilars may present both competitive challenges and opportunities. While competitors have developed biosimilars that compete with our products, we have developed, and may continue to develop, our own biosimilars.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U.S. private sector, consolidation and integration among healthcare organizations significantly affects the competitive marketplace for pharmaceuticals. Health plans, managed care organizations, pharmacy benefit managers, wholesalers, and other supply chain stakeholders have been consolidating into fewer, larger entities, thus enhancing their market power and importance. Private third-party insurers, as well as governments, typically maintain formularies that specify coverage (the conditions under which drugs are included on a plan's formulary) and reimbursement (the associated out-of-pocket cost to the consumer) to control costs by negotiating discounts or rebates in exchange for formulary inclusion and placement.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 w:name="page9"/>
    <w:bookmarkEnd w:id="8"/>
    <w:p>
      <w:pPr>
        <w:ind w:right="100"/>
        <w:spacing w:after="0" w:line="253" w:lineRule="auto"/>
        <w:rPr>
          <w:sz w:val="20"/>
          <w:szCs w:val="20"/>
          <w:color w:val="auto"/>
        </w:rPr>
      </w:pPr>
      <w:r>
        <w:rPr>
          <w:rFonts w:ascii="Arial" w:cs="Arial" w:eastAsia="Arial" w:hAnsi="Arial"/>
          <w:sz w:val="18"/>
          <w:szCs w:val="18"/>
          <w:color w:val="auto"/>
        </w:rPr>
        <w:t>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face increased pressure in negotiations, and compete fiercely for formulary placement, not only on the basis of product attributes such as efficacy, safety profile, or patient ease of use, but also by providing rebates or other concessions. As payers and pharmaceutical companies continue to negotiate formulary placement and rebates, value-based agreements, where rebates may be based on achievement (or not) of specified outcomes, are another tool that has become increasingly prevalent. Cost is an increasingly important factor in formulary decisions, particularly in treatment areas in which the payer has taken the position that multiple branded products are therapeutically comparable. These pressures have negatively affected, and could continue to negatively affect, our consolidated results of operations. In addition to formulary placement, changes in insurance designs continue to drive greater consumer cost-sharing through high deductible plans and higher co-insurance or co-pays. For additional information on pricing and reimbursement for our pharmaceutical products, see "— Regulations and Private Payer Actions Affecting Pharmaceutical Pricing, Reimbursement, and Access—U.S."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and uses. We own, have applied for, or are licensed under, a large number of patents in the U.S. and many other countries relating to products, product uses, formulations, and manufacturing processes. In addition, as discussed below, for some products we have effective intellectual property protection in the form of data protection under pharmaceutical regulatory laws.</w:t>
      </w:r>
    </w:p>
    <w:p>
      <w:pPr>
        <w:spacing w:after="0" w:line="68"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patent protection anticipated to be of most relevance to pharmaceuticals is provided by national patents claiming the active ingredient (the compound patent) for our products, particularly those in major markets such as the U.S., major European countries, and Japan. These patents may be issued based upon the filing of international patent applications, usually filed under the Patent Cooperation Treaty (PCT).</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Patent applications covering compounds are generally filed during the discovery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74" w:lineRule="exact"/>
        <w:rPr>
          <w:sz w:val="20"/>
          <w:szCs w:val="20"/>
          <w:color w:val="auto"/>
        </w:rPr>
      </w:pPr>
    </w:p>
    <w:p>
      <w:pPr>
        <w:ind w:left="660" w:right="2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grant is delayed during examination by the U.S. Patent and Trademark Office (USPTO).</w:t>
      </w:r>
    </w:p>
    <w:p>
      <w:pPr>
        <w:spacing w:after="0" w:line="44"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 holders that claim inventions subject to review by the FDA. To compensate for a portion of the time invested in clinical trials and the FDA review process, a single patent for a pharmaceutical product may be eligible for patent term restoration. Patent term restoration is determined by a formula that cannot be calculated until product approval due to the uncertainty of the duration of clinical trials and the time it takes the FDA to review an application. There is a five-year cap on any restoration, and no patent's expiration date may be extended beyond 14 years from FDA approval. Some countries outside the U.S. similarly offer forms of patent term restoration for patents claiming inventions subject to a local review by a regulatory agency. For example, Supplementary Protection Certificates are available to extend the life of a European patent up to an additional five years (subject to a 15-year cap from European Medicines Agency (EMA) approval). Also, in Japan, South Korea, Australia, and other jurisdictions, patent terms can be extended up to five years, depending on the length of regulatory review and other factors.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9" w:name="page10"/>
    <w:bookmarkEnd w:id="9"/>
    <w:p>
      <w:pPr>
        <w:ind w:right="100"/>
        <w:spacing w:after="0" w:line="257" w:lineRule="auto"/>
        <w:rPr>
          <w:sz w:val="20"/>
          <w:szCs w:val="20"/>
          <w:color w:val="auto"/>
        </w:rPr>
      </w:pPr>
      <w:r>
        <w:rPr>
          <w:rFonts w:ascii="Arial" w:cs="Arial" w:eastAsia="Arial" w:hAnsi="Arial"/>
          <w:sz w:val="18"/>
          <w:szCs w:val="18"/>
          <w:color w:val="auto"/>
        </w:rPr>
        <w:t>Loss of effective patent protection for pharmaceuticals, especially for non-biologic products, typically results in the loss of effective market exclusivity for the product, often leading to a severe and rapid decline in revenues for the product. However, in some cases the innovator company may retain exclusivity despite approval of the generic, biosimilar, or other follow-on versions of a new medicine beyond the expiration of the compound patent through manufacturing trade secrets, later-expiring patents on manufacturing processes, methods of use or formulations, or data protection that may be available under pharmaceutical regulatory laws. Changes to the laws and regulations governing these protections could result in earlier loss of effective market exclusivity. The primary forms of data protection are as follows:</w:t>
      </w:r>
    </w:p>
    <w:p>
      <w:pPr>
        <w:spacing w:after="0" w:line="74" w:lineRule="exact"/>
        <w:rPr>
          <w:sz w:val="20"/>
          <w:szCs w:val="20"/>
          <w:color w:val="auto"/>
        </w:rPr>
      </w:pPr>
    </w:p>
    <w:p>
      <w:pPr>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in reliance on the innovator company's regulatory submission data for the drug. The base period of data package protection depends on the country. For example, the period is generally five years in the U.S. (12 years for new biologics as described below), effectively 10 years in Europe, and eight years in Japan. The period begins on the date of product approval and runs concurrently with the patent term for any relevant patent.</w:t>
      </w:r>
    </w:p>
    <w:p>
      <w:pPr>
        <w:spacing w:after="0" w:line="74" w:lineRule="exact"/>
        <w:rPr>
          <w:rFonts w:ascii="Arial" w:cs="Arial" w:eastAsia="Arial" w:hAnsi="Arial"/>
          <w:sz w:val="18"/>
          <w:szCs w:val="18"/>
          <w:color w:val="auto"/>
        </w:rPr>
      </w:pPr>
    </w:p>
    <w:p>
      <w:pPr>
        <w:ind w:left="660" w:right="140" w:hanging="328"/>
        <w:spacing w:after="0" w:line="282"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Under the BPCIA, the FDA has the authority to approve biosimilars. A competitor seeking approval of a biosimilar must file an application to show its molecule is highly similar to an approved innovator biologic and include a certain amount of safety and efficacy data that the FDA will consider on a case-by-case basis. Under the data protection provisions of this law, the FDA cannot approve a biosimilar application until 12 years after initial marketing approval of the innovator biologic, subject to certain conditions.</w:t>
      </w:r>
    </w:p>
    <w:p>
      <w:pPr>
        <w:spacing w:after="0" w:line="53"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or adolescent populations within a specified time period. If granted, this "pediatric exclusivity" provides an additional six months of exclusivity, which is added to the term of data protection and, for products other than biologics, to the term of any relevant patents, to the extent these protections have not already expired. While the term of the pediatric exclusivity begins upon the expiration of the relevant patent, pediatric exclusivity is a regulatory exclusivity—i.e., a bar to generic or biosimilar approval, not a patent right.</w:t>
      </w:r>
    </w:p>
    <w:p>
      <w:pPr>
        <w:spacing w:after="0" w:line="74" w:lineRule="exact"/>
        <w:rPr>
          <w:rFonts w:ascii="Arial" w:cs="Arial" w:eastAsia="Arial" w:hAnsi="Arial"/>
          <w:sz w:val="18"/>
          <w:szCs w:val="18"/>
          <w:color w:val="auto"/>
        </w:rPr>
      </w:pPr>
    </w:p>
    <w:p>
      <w:pPr>
        <w:ind w:left="660" w:right="10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7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Outside the major markets, the adequacy and effectiveness of intellectual property protection for pharmaceuticals varies widely, and in a number of these markets we are unable to patent our products or to enforce the patents that we receive for our products. Under the Trade-Related Aspects of Intellectual Property (TRIPs) Agreement administered by the World Trade Organization, more than 140 countries have agreed to provide non-discriminatory protection for most pharmaceutical inventions and to assure that adequate and effective rights are available to patent owners. Certain developing countries limit protection for biopharmaceutical products under their interpretation of "flexibilities" allowed under the TRIPs Agreement. Thus, some types of patents, such as those on new uses of compounds or new forms of molecules, are not available in certain developing countries. Further, many developing countries, and some developed countries, do not provide effective data package protection even though it is specified in the TRIPs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In addition to the patents and data protection identified below, we may hold patents on manufacturing processes, formulations, devices, or uses that extend exclusivity beyond the dates shown below. For approved products, dates include, where applicable, pending or granted patent term extensions.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10" w:name="page11"/>
    <w:bookmarkEnd w:id="10"/>
    <w:p>
      <w:pPr>
        <w:ind w:right="160"/>
        <w:spacing w:after="0" w:line="287" w:lineRule="auto"/>
        <w:rPr>
          <w:sz w:val="20"/>
          <w:szCs w:val="20"/>
          <w:color w:val="auto"/>
        </w:rPr>
      </w:pPr>
      <w:r>
        <w:rPr>
          <w:rFonts w:ascii="Arial" w:cs="Arial" w:eastAsia="Arial" w:hAnsi="Arial"/>
          <w:sz w:val="18"/>
          <w:szCs w:val="18"/>
          <w:color w:val="auto"/>
        </w:rPr>
        <w:t>The most relevant U.S. patent protection or data protection and associated expiry dates for our major or recently launched patent-protected marketed products are as follows:</w:t>
      </w:r>
    </w:p>
    <w:p>
      <w:pPr>
        <w:spacing w:after="0" w:line="4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Cyramza is protected by a compound patent and biologics data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Emgality is protected by a compound patent (2033) and biologics data protection (2030).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Jardiance, and the related combination product Glyxambi, is protected by a compound patent (2028).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Jaypirca is protected by a compound patent (2037) and by data protection (2028).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Mounjaro is protected by a compound patent (2036) and by data protection (2027).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Olumiant is protected by a compound patent (2032).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Retevmo is protected by a compound patent (2037) and by data protection (2025).</w:t>
      </w:r>
    </w:p>
    <w:p>
      <w:pPr>
        <w:spacing w:after="0" w:line="11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Reyvow</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protected by a compound patent (2030).</w:t>
      </w:r>
    </w:p>
    <w:p>
      <w:pPr>
        <w:spacing w:after="0" w:line="61"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Taltz is protected by a compound patent (2030) and by biologics data protection (2028).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Trulicity is protected by a compound patent (2027) and by biologics data protection (2027).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Verzenio is protected by a compound patent (2031).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Baqsimi</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protected by data protection in Japan (2026).</w:t>
      </w:r>
    </w:p>
    <w:p>
      <w:pPr>
        <w:spacing w:after="0" w:line="61" w:lineRule="exact"/>
        <w:rPr>
          <w:rFonts w:ascii="Arial" w:cs="Arial" w:eastAsia="Arial" w:hAnsi="Arial"/>
          <w:sz w:val="18"/>
          <w:szCs w:val="18"/>
          <w:i w:val="1"/>
          <w:iCs w:val="1"/>
          <w:color w:val="auto"/>
        </w:rPr>
      </w:pPr>
    </w:p>
    <w:p>
      <w:pPr>
        <w:ind w:left="660" w:right="8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Cyramza is protected by a compound patent (2028) and by data protection (2024) in major European countries, and by a compound patent (2026) and by data protection (2023) in Japan.</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Emgality is protected by a compound patent (2033) and by data protection (2028) in major European countries, and by a compound patent (2035) and by data protection (2029) in Japan.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Jardiance is protected by a compound patent in major European countries (2029) and Japan (2030).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Mounjaro is protected by a compound patent in major European countries (2037) and Japan (2040).</w:t>
      </w:r>
    </w:p>
    <w:p>
      <w:pPr>
        <w:spacing w:after="0" w:line="117"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Olumiant is protected by a compound patent (2032) and by data protection (2027) in major European countries, and by a compound patent (2033) and by data protection (2025) in Japan.</w:t>
      </w:r>
    </w:p>
    <w:p>
      <w:pPr>
        <w:spacing w:after="0" w:line="44"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Retevmo is protected by a compound patent (2037) and by data protection (2031) in major European countries, and by a compound patent (2038) and by data protection (2029) in Japan.</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Reyvow is protected by data protection (2032) in major European countries, and a compound patent (2028) and by data protection (2032) in Japan.</w:t>
      </w:r>
    </w:p>
    <w:p>
      <w:pPr>
        <w:spacing w:after="0" w:line="44"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Taltz is protected by a compound patent (2031) and data protection (2027) in major European countries and a compound patent (2030) and data protection (2024) in Japan.</w:t>
      </w:r>
    </w:p>
    <w:p>
      <w:pPr>
        <w:spacing w:after="0" w:line="44"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Trulicity is protected by a compound patent (2029) and by data protection (2024) in major European countries and by a compound patent (2029) and by data protection (2023) in Japan.</w:t>
      </w:r>
    </w:p>
    <w:p>
      <w:pPr>
        <w:spacing w:after="0" w:line="44"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Verzenio is protected by a compound patent (2033) and data protection (2028) in major European countries and by a compound patent (2034) and data protection (2026) in Japan.</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product candidates are the most relevant currently under regulatory review. Upon approval, we expect relevant compound patent and data protections to apply:</w:t>
      </w:r>
    </w:p>
    <w:p>
      <w:pPr>
        <w:spacing w:after="0" w:line="45" w:lineRule="exact"/>
        <w:rPr>
          <w:sz w:val="20"/>
          <w:szCs w:val="20"/>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Donanemab has been submitted for regulatory review in the U.S. for the treatment of early Alzheimer's disease. In January 2023, the FDA issued a complete response letter for our accelerated approval submission. Phase III trials are ongoing.</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Lebrikizumab has been submitted for regulatory review in the U.S. and Europe for the treatment of atopic dermatitis.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Mirikizumab has been submitted for regulatory review in the U.S., Europe, and Japan for the treatment of ulcerative colitis.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11" w:name="page12"/>
    <w:bookmarkEnd w:id="11"/>
    <w:p>
      <w:pPr>
        <w:ind w:right="140"/>
        <w:spacing w:after="0" w:line="259" w:lineRule="auto"/>
        <w:rPr>
          <w:sz w:val="20"/>
          <w:szCs w:val="20"/>
          <w:color w:val="auto"/>
        </w:rPr>
      </w:pPr>
      <w:r>
        <w:rPr>
          <w:rFonts w:ascii="Arial" w:cs="Arial" w:eastAsia="Arial" w:hAnsi="Arial"/>
          <w:sz w:val="18"/>
          <w:szCs w:val="18"/>
          <w:color w:val="auto"/>
        </w:rPr>
        <w:t>Worldwide, we sell all of our major products under trademarks consisting of our product names, logos, and unique product appearances (e.g., the appearance of our Trulicity autoinjector) that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 Trademark protection typically extends beyond the patent and data protection for a product.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 and Collaborations</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Most of our major products are not subject to significant license and collaboration agreements. For information on our license and collaboration agreements, see Item 8, "Financial Statements and Supplementary Data—Note 4: Collaborations and Other Arrangements."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pharmaceuticals (other than biologics, which are discussed below in more detail) when the generic manufacturer has not conducted safety and efficacy studies but files an Abbreviated New Drug Application (ANDA). In an ANDA, the generic manufacturer must demonstrate only "pharmaceutical equivalence" and "bioequivalence" between the generic version and the New Drug Application (NDA)-approved-drug, not safety and efficacy. Establishing pharmaceutical equivalence and bioequivalence is generally straightforward and inexpensive for the generic company.</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one or more of the patents listed in the innovator's NDA are invalid or not infringed. This allegation is commonly known as a "Paragraph IV certification." If the innovator responds by filing suit against the generic manufacturer, the FDA is then prohibited from approving the generic company's application for a</w:t>
      </w:r>
    </w:p>
    <w:p>
      <w:pPr>
        <w:spacing w:after="0" w:line="2"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30-month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pharmaceuticals. In addition, generic companies have shown willingness to launch "at risk," i.e., after receiving ANDA approval but before final resolution of their patent challenge.</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Under the BPCIA, the FDA cannot approve an application for a biosimilar product until data protection expires, 12 years after initial marketing approval of the innovator biologic, and an application may not be submitted until four years following the date the innovator biologic was first approved. However, the BPCIA does provide a mechanism for a prospective biosimilar competitor to challenge the validity of an innovator's patents as early as four years after initial marketing approval of the innovator biologic.</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patent litigation scheme under the BPCIA, and the BPCIA itself, is complex and continues to be interpreted and implemented by the FDA, as well as by courts. Courts have held that biosimilar applicants are not required to engage in the BPCIA patent litigation scheme and patent holders retain the right to bring suit under normal patent law procedures if a biosimilar applicant attempts to commercialize a product prior to patent expiration. Further, in the U.S., the increased likelihood of generic and biosimilar challenges to innovators' intellectual property has increased the risk of loss of innovators' market exclusivity. See also "—Competition—Biosimilars." In addition, there is a procedure in U.S. patent law, known as inter partes review (IPR), which allows any member of the public to file a petition with the USPTO seeking the review of any issued U.S. patent for validity. IPRs are conducted before Administrative Patent Judges in the USPTO using a lower standard of proof than used in federal district court. In addition, the challenged patents are not accorded the presumption of validity as they are in federal district court. Generic drug companies and even some investment firms have engaged in the IPR process in attempts to invalidate our patents. The use of IPR proceedings after the institution of litigation pursuant to the BPCIA or Hatch-Waxman Act is currently a topic of debate among legislators. We have also observed, and may continue to observe, changes at the Patent Trial and Appeal Board (PTAB), including with respect to the PTAB's policy to discretionarily deny an otherwise meritorious petition for IPR in light of a concurrent district court proceeding. See Item 1A, "Risk Factors—Risks Related to Our Business—Our long-term success depends on intellectual property protection; if our intellectual property rights are invalidated, circumvented, or weakened, our business will be adversely affected."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 w:name="page13"/>
    <w:bookmarkEnd w:id="12"/>
    <w:p>
      <w:pPr>
        <w:ind w:right="420"/>
        <w:spacing w:after="0" w:line="287"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more information on administrative challenges and litigation involving our intellectual property rights, see Item 8, "Financial Statements and Supplementary Data—Note 16: Contingencies."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of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regulated extensively by numerous national, state, and local agencies.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Products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lengthy process of laboratory and clinical testing, data analysis, manufacturing development, and regulatory review necessary for governmental approvals of our products is extremely costly and can significantly delay product introductions and revenue generation. In addition, our operations are subject to complex federal, state, local, and foreign laws and regulations concerning relationships with healthcare providers and suppliers, the environment, occupational health and safety, data privacy, and other matters. Evolving regulatory priorities have intensified governmental scrutiny of our operations, including with respect to current Good Manufacturing Practices (cGMP), quality assurance, and similar regulations. Compliance with the laws and regulations affecting the manufacture and sale of current products and the discovery, development, and introduction of new products and uses will continue to require substantial effort, expense, and capital investment.</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Of particular importance to our business is regulation by the FDA in the U.S. Pursuant to laws and regulations that include the Federal Food, Drug, and Cosmetic Act, the FDA has jurisdiction over all of our products and devices in the U.S. and administers requirements covering the testing, safety, effectiveness, manufacturing, quality control, distribution, labeling, marketing, promotion, advertising, dissemination of information, and post-marketing surveillance of those products and devices.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Following approval, our products remain subject to regulation by various agencies in connection with labeling, import, export, storage, recordkeeping, advertising, promotion, and safety reporting. We conduct extensive post-marketing surveillance of the safety of the products we sell. The FDA may withdraw approval if compliance with regulatory requirements and standards is not maintained or if problems occur after a product reaches the market. The FDA also strictly regulates marketing, labeling, advertising, and promotion of products that are placed on the market. Pharmaceutical products may be promoted only for approved indications and in accordance with the provisions of the approved label. The FDA and other agencies actively enforce the laws and regulations prohibiting the promotion of off-label uses.</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Outside the U.S., our products and operations are subject to similar regulatory requirements, notably by the EMA in Europe, the Ministry of Health, Labor and Welfare in Japan, and the National Medical Products Administration in China. Specific regulatory requirements vary from country to country. Regulatory and compliance requirements, as well as approval processes outside the U.S., may differ from those in the U.S. and may involve additional costs, uncertainties, and risks.</w:t>
      </w:r>
    </w:p>
    <w:p>
      <w:pPr>
        <w:spacing w:after="0" w:line="6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FDA and other regulatory agencies outside the U.S. extensively regulate all aspects of manufacturing quality for pharmaceuticals under their cGMP regulations. We make substantial investments of capital and operating expenses to implement comprehensive, company-wide quality systems and controls in our manufacturing, product development, and process development operations in an effort to maintain sustained compliance with cGMP and other regulations. However, in the event we fail to adhere to these requirements, we become subject to potential government investigations,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the issues, and reputational harm, any of which would adversely affect our business. Certain of our products are manufactured by third parties, and their failure to comply with these regulations could adversely affect us, including through failure to supply product to us or delays in approvals of new products or indications. Any determination by the FDA or other regulatory authorities of manufacturing or other deficiencies could adversely affect our business and reputation.</w:t>
      </w:r>
    </w:p>
    <w:p>
      <w:pPr>
        <w:spacing w:after="0" w:line="6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are also subject to a variety of federal, state, local, and foreign environmental, health and safety, and other laws and regulations that may affect our research, development or production efforts.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Emergency Use Authorizations</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Secretary of Health and Human Services may issue an EUA to authorize unapproved medical products, or unapproved uses of approved medical products, to be manufactured, marketed, and sold in the context of an actual or potential emergency that has been designated by the government. An EUA terminates when the emergency determination underlying the EUA terminates, and EUAs can be revoked under other circumstances, the timing of which may occur unexpectedly or be difficult to predict.</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Outside the U.S., the emergency use of medical products is subject to regulatory processes and requirements that vary and differ from those in the U.S.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pandemic has been designated as a national emergency in the U.S. On the basis of such determination, the FDA granted EUAs for bamlanivimab and etesevimab administered together, certain COVID-19-related uses of baricitinib, and bebtelovimab, and similar actions have been taken by other regulators in certain jurisdictions outside the U.S. However, the FDA has revised, and may in the future further revise, these EUAs in response to the changing conditions of the COVID-19 pandemic, such as the prevalence of variants against which our antibodies have varying degrees of efficacy. In May and November 2022, respectively, the FDA announced that bamlanivimab and etesevimab are, and bebtelovimab is, not currently authorized for emergency use for any U.S. region.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various other U.S. federal and state laws, as well as analogous foreign laws and regulations, including the federal anti-kickback statute, the False Claims Act, and state laws governing kickbacks, false claims, unfair trade practices, and consumer protection. These laws are administered by, among others, the Department of Justice, the Office of Inspector General of the Department of Health and Human Services, the Federal Trade Commission, the Office of Personnel Management, and state attorneys general. State, federal, and foreign governments, agencies, and other regulatory bodies are active in their oversight, enforcement activities, and coordination with respect to pharmaceutical companies, which has resulted in intensified scrutiny, litigation costs, corporate criminal sanctions, and substantial civil settlements in the pharmaceutical industry.</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our business is heavily regulated and therefore involves significant interaction with officials outside the U.S. Additionally, in many countries outside the U.S., healthcare providers who prescribe pharmaceuticals are employed by the government and purchasers of pharmaceuticals are government entities; therefore, our interactions with these prescribers and purchasers are subject to regulation under the FCPA.</w:t>
      </w:r>
    </w:p>
    <w:p>
      <w:pPr>
        <w:spacing w:after="0" w:line="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have enhanced their laws and regulations in this area, increased their enforcement activities, and/or increased the level of cross-border coordination and information sharing.</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penalties (including treble damages under the False Claims Act), criminal sanctions, and administrative remedies, including exclusion from U.S. federal and other healthcare programs. It is possible that an adverse outcome in future actions could have a material adverse impact on our consolidated results of operations, liquidity, and financial position in any given period.</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also subject to a variety of federal, state, local, and foreign environmental, health and safety, and other laws and regulations that may affect our research, development, or production efforts.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14" w:name="page15"/>
    <w:bookmarkEnd w:id="14"/>
    <w:p>
      <w:pPr>
        <w:ind w:right="2480"/>
        <w:spacing w:after="0" w:line="375" w:lineRule="auto"/>
        <w:rPr>
          <w:sz w:val="20"/>
          <w:szCs w:val="20"/>
          <w:color w:val="auto"/>
        </w:rPr>
      </w:pPr>
      <w:r>
        <w:rPr>
          <w:rFonts w:ascii="Arial" w:cs="Arial" w:eastAsia="Arial" w:hAnsi="Arial"/>
          <w:sz w:val="18"/>
          <w:szCs w:val="18"/>
          <w:b w:val="1"/>
          <w:bCs w:val="1"/>
          <w:color w:val="auto"/>
        </w:rPr>
        <w:t>Regulations and Private Payer Actions Affecting Pharmaceutical Pricing, Reimbursement, and Access U.S.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continues to be considerable public and government scrutiny of pharmaceutical pricing. In addition, U.S. government actions to reduce federal spending on entitlement programs, including Medicare and Medicaid, may affect payment for our products or services associated with the provision of our products.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2022, the U.S. government enacted the Inflation Reduction Act of 2022 (IRA). Among other measures, the IRA will require the U.S. Department of Health and Human Services to effectively set prices for certain single-source drugs and biologics reimbursed under Medicare Part B and Part D. Generally, these government prices apply nine (medicines approved under an NDA) or thirteen (medicines approved under a Biologics License Application) years following initial FDA approval and will be capped at a statutory ceiling price that is likely to represent a significant discount from average prices to wholesalers and direct purchasers. It is too soon to tell how the U.S. government will set these prices as the law specifies a ceiling price, but not a minimum or floor price. One or more of our significant products may be selected, which would have the effect of accelerating revenue erosion prior to patent expiry. The effect of reducing prices and reimbursement for certain of our products would significantly impact our business and consolidated results of operations. The establishment of payment limits or other restrictions by drug affordability review boards and other state level actors would similarly impact us.</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Other IRA provisions provide for rebate obligations on drug manufacturers that increase prices of Medicare Part B and Part D medicines at a rate greater than the rate of inflation and Part D benefit redesign that includes replacing the Part D coverage gap discount program with a new manufacturer discounting program. Manufacturers that fail to comply with the IRA may be subject to various penalties, including civil monetary penalties, which could be significant.</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IRA takes effect progressively starting in 2023, with the first government-set prices effective in 2026. The IRA may meaningfully influence our business strategies and those of our competitors. In particular, the nine-year timeline to set prices for medicines approved under an NDA may reduce the attractiveness of investment in small molecule innovation. The implications to us of a competitor’s product being selected for price setting are also uncertain. Provisions of the IRA may be subject to legal challenges or other reformation, and the full impact of the IRA on our business and the pharmaceutical industry remains uncertain.</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Heightened governmental scrutiny over the manner in which drug manufacturers price their marketed products has also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Restrictive or unfavorable pricing, coverage, or reimbursement determinations for our medicines or product candidates by governments, regulatory agencies, courts, or private payers could also adversely impact our business and financial results. For example, in April 2022, the Centers for Medicare &amp; Medicaid Services issued the Monoclonal Antibodies Directed Against Amyloid for the Treatment of Alzheimer’s Disease national coverage determination (the Alzheimer's Monoclonal Antibody NCD) limiting coverage of FDA-approved monoclonal antibodies that target amyloid for the treatment of Alzheimer's disease for people with Medicare only if they are enrolled in qualifying clinical trials. In its current form, the Alzheimer’s Monoclonal Antibody NCD would result in significantly reduced coverage for, and negatively impact, our product candidate donanemab, and may negatively impact our business and financial results. Additional policies, regulations, legislation, or enforcement, including those proposed or pursued by the U.S. Congress, the current U.S. presidential administration, and regulatory authorities worldwide, could intensify these efforts and adversely impact our business and consolidated results of operations.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In the U.S., we are required to provide rebates to the federal government and state governments on their purchases of our pharmaceuticals under various federal and state healthcare programs, including state Medicaid and Medicaid Managed Care programs (minimum of 23.1 percent plus adjustments for price increases above the consumer price index over time) and discounts to private entities who treat patients in certain types of healthcare facilities intended to serve low-income and uninsured patients (known as 340B covered entities). Additionally, an annual fee is imposed on pharmaceutical manufacturers and importers that sell branded prescription drugs to specified government programs. Since 2019, the Bipartisan Budget Act has required manufacturers of brand-name drugs, biologics, and biosimilars to provide a discount of 70 percent of the cost of branded prescription drugs for Medicare Part D participants who are in the "doughnut hole" (the coverage gap in Medicare prescription drug coverage). Beginning in October 2024, under the IRA the 70 percent discount will be replaced by a 10 percent discount for all Medicare Part D beneficiaries that have met their deductible and incurred out of pocket drug costs below a $2,000 threshold and a 20 percent discount for beneficiaries that have incurred out of pocket drug costs above the $2,000 threshold.</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Rebates are also negotiated in the private sector. We pay rebates to private payers that provide prescription drug benefits to seniors covered by Medicare and to private payers that provide prescription drug benefits to their customers. These rebates are affected by the introduction of competitive products and generics in the same class. Our approach to the rebates we offer to private payers that provide prescription drug benefits to seniors covered by Medicare may be impacted by the 2020 regulatory amendments to the anti-kickback statute's discount safe harbor, which have currently been stayed until at least January 1, 2032.</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a discussion of risks related to how we price our products, see Item 1A, "Risk Factors—Risks Related to Our Business—We face litigation and investigations related to our products, how we price our products, and how we commercialize our products; we could face large numbers of claims in the future, which could adversely affect our business, and we are self-insured for such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the U.S.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Globally, public and private payers are increasingly restricting access to pharmaceuticals based on assessments of comparative effectiveness and value, including through the establishment of formal health technology assessment processes. In addition, third-party organizations, including professional associations, academic institutions, and non-profit entities associated with payers, conduct and publish comparative effectiveness and cost/benefit analyses on medicines, the impact of which are uncertain.</w:t>
      </w:r>
    </w:p>
    <w:p>
      <w:pPr>
        <w:spacing w:after="0" w:line="6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 In October 2022, the German Parliament passed cost cutting reforms and these reforms were followed by activation of a clawback mechanism in France and implementation of increased mandatory rebates in the United Kingdom. These changes may be followed in 2023 by biopharmaceutical-focused austerity measures in more countries in Europe and in other markets. Reforms, including those that may stem from periods of economic downturn or uncertainty, or as a result of high inflation, emergence or escalation of, and responses to, war or unrest (including the Russia-Ukraine war), or government budgeting priorities (including as exacerbated by the COVID-19 pandemic), may continue to result in added pressure on pricing and reimbursement for our products.</w:t>
      </w:r>
    </w:p>
    <w:p>
      <w:pPr>
        <w:spacing w:after="0" w:line="7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regulatory, or payer developments. However, in general we expect to see continued focus on regulating pricing, resulting in additional state, federal, and international legislative and regulatory developments that could have further negative effects on pricing and reimbursement for our products.</w:t>
      </w:r>
    </w:p>
    <w:p>
      <w:pPr>
        <w:spacing w:after="0" w:line="6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See Item 7, "Management's Discussion and Analysis—Executive Overview—Other Matters—Trends Affecting Pharmaceutical Pricing, Reimbursement, and Access" for additional information regarding recent legislative, administrative, and other pricing initiatives and their impact on our results.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2022, we employed approximately 9,000 people in pharmaceutical research and development activities, including a substantial number of physicians, scientists holding graduate or postgraduate degrees, and highly skilled technical personnel.</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internal pharmaceutical research focuses primarily on the areas of obesity &amp; diabetes, immunology, neuroscience, and oncology. At the outset of the COVID-19 pandemic, we also focused on researching and developing potential treatments for COVID-19. In addition to discovering and developing new medicines, we seek to expand the value of existing products through new uses, formulations, and therapeutic approaches that provide additional value to patients.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medicines. We also invest in external research and technologies that we believe complement and strengthen our own efforts. These investments can take many forms, including, among others, licensing arrangements, co-development agreements, co-promotion arrangements, joint ventures, acquisitions, and equity investments.</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Pharmaceutical development is time-consuming, expensive, and risky. Very few of the candidates discovered by researchers ultimately become approved medicines. The process from discovery to regulatory approval can take over a decade. Candidates can fail at any stage of the process, and even late-stage candidates sometimes fail to receive regulatory approval or achieve commercial success. The following describes in more detail the research and development process for pharmaceutical products: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00" w:hanging="230"/>
        <w:spacing w:after="0"/>
        <w:tabs>
          <w:tab w:leader="none" w:pos="40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17" w:lineRule="exact"/>
        <w:rPr>
          <w:rFonts w:ascii="Arial" w:cs="Arial" w:eastAsia="Arial" w:hAnsi="Arial"/>
          <w:sz w:val="18"/>
          <w:szCs w:val="18"/>
          <w:b w:val="1"/>
          <w:bCs w:val="1"/>
          <w:color w:val="auto"/>
        </w:rPr>
      </w:pPr>
    </w:p>
    <w:p>
      <w:pPr>
        <w:ind w:left="4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discovery phase, scientists identify, design, and synthesize promising candidates by analyzing their effect on biological targets thought to play a role in disease. Targets are often unproven and only candidates that have the desired effect on the target and meet other design criteria move to the next phase of development, which includes the initiation of studies in animals to support regulatory and safety requirements for clinical research in humans. The discovery phase can take years and the probability of any one candidate becoming a medicine is extremely low.</w:t>
      </w:r>
    </w:p>
    <w:p>
      <w:pPr>
        <w:spacing w:after="0" w:line="71" w:lineRule="exact"/>
        <w:rPr>
          <w:rFonts w:ascii="Arial" w:cs="Arial" w:eastAsia="Arial" w:hAnsi="Arial"/>
          <w:sz w:val="18"/>
          <w:szCs w:val="18"/>
          <w:b w:val="1"/>
          <w:bCs w:val="1"/>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17" w:lineRule="exact"/>
        <w:rPr>
          <w:rFonts w:ascii="Arial" w:cs="Arial" w:eastAsia="Arial" w:hAnsi="Arial"/>
          <w:sz w:val="18"/>
          <w:szCs w:val="18"/>
          <w:b w:val="1"/>
          <w:bCs w:val="1"/>
          <w:color w:val="auto"/>
        </w:rPr>
      </w:pPr>
    </w:p>
    <w:p>
      <w:pPr>
        <w:ind w:left="42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Early development includes initial testing for safety and efficacy and early analyses of manufacturing requirements. Safety testing is initially performed in laboratory tests and animals, as necessary. In general, the first human tests (often referred to as Phase I) are conducted in small groups of subjects to assess safety and evaluate the potential dosing range. Subsequently, larger populations of patients are studied (Phase II) to identify initial signs of efficacy while continuing to assess safety. In parallel, scientists work to identify safe, effective, and economical manufacturing processes. Long-term animal studies continue to test for potential safety issues. Of the candidates that enter the early development phase, approximately 10 percent move to the late development phase. The early development phase varies but can take several years to complete.</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Late Development Phase</w:t>
      </w:r>
    </w:p>
    <w:p>
      <w:pPr>
        <w:spacing w:after="0" w:line="117" w:lineRule="exact"/>
        <w:rPr>
          <w:rFonts w:ascii="Arial" w:cs="Arial" w:eastAsia="Arial" w:hAnsi="Arial"/>
          <w:sz w:val="18"/>
          <w:szCs w:val="18"/>
          <w:b w:val="1"/>
          <w:bCs w:val="1"/>
          <w:color w:val="auto"/>
        </w:rPr>
      </w:pPr>
    </w:p>
    <w:p>
      <w:pPr>
        <w:ind w:lef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Late phase development projects (typically Phase III) have met initial safety requirements and shown initial evidence of efficacy in earlier studies. As a result, these candidates generally have a higher likelihood of success and trials include larger patient populations to demonstrate safety and efficacy in the disease. These studies are designed to demonstrate the benefit and risk of the potential new medicine and may be compared to competitive therapies, placebo, or both. Phase III studies are generally conducted globally and are designed to support regulatory filings for marketing approval. The duration of Phase III testing varies by disease and may take two to four years.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7" w:name="page18"/>
    <w:bookmarkEnd w:id="17"/>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17" w:lineRule="exact"/>
        <w:rPr>
          <w:rFonts w:ascii="Arial" w:cs="Arial" w:eastAsia="Arial" w:hAnsi="Arial"/>
          <w:sz w:val="18"/>
          <w:szCs w:val="18"/>
          <w:b w:val="1"/>
          <w:bCs w:val="1"/>
          <w:color w:val="auto"/>
        </w:rPr>
      </w:pPr>
    </w:p>
    <w:p>
      <w:pPr>
        <w:ind w:lef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Once a potential new medicine is submitted to regulatory agencies, the time to final marketing approval can vary from several months to several years, depending on the disease state, the strength and complexity of available data, the degree of unmet need, and the time required for the regulatory agency(ies) to evaluate the submission, which can depend on prioritization by regulators and other factors. There is no guarantee that a potential medicine will receive marketing approval, or that decisions on marketing approvals or indications will be consistent across geographic areas.</w:t>
      </w:r>
    </w:p>
    <w:p>
      <w:pPr>
        <w:spacing w:after="0" w:line="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believe our investments in research, both internally and in collaboration with others, have resulted in a robust pipeline of potential new medicines and new treatment indications in all stages of development. We have a number of new medicine candidates in clinical development or under regulatory review, and we have a larger number of projects in the discovery phase. See Item 7, "Management's Discussion and Analysis—Executive Overview—Late-Stage Pipeline," for more information on our late-stage product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Product Supply</w:t>
      </w:r>
    </w:p>
    <w:p>
      <w:pPr>
        <w:spacing w:after="0" w:line="117"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Most of the principal materials we use in our manufacturing operations are available from more than one source. However, we obtain certain raw or intermediate materials primarily from only one source. We generally seek to maintain sufficient inventory to supply the market until an alternative source of supply can be implemented, in the event one of these suppliers becomes unable to provide the materials or product.</w:t>
      </w:r>
    </w:p>
    <w:p>
      <w:pPr>
        <w:spacing w:after="0" w:line="1"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However, various developments have led, and may in the future lead, to interruption or shortages in supply until we establish new sources, implement alternative processes, bring new manufacturing facilities online, or pause or discontinue product sales in one or more markets.</w:t>
      </w:r>
    </w:p>
    <w:p>
      <w:pPr>
        <w:spacing w:after="0" w:line="4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majority of our revenue comes from products produced predominantly in our own facilities. Our principal active ingredient manufacturing occurs at sites we own in the U.S., including Puerto Rico, and Ireland.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substantially all expected product demand while maintaining flexibility to reallocate manufacturing capacity to improve efficiency and respond to changes in supply and demand. To maintain supply of our products, we use a variety of techniques, including comprehensive quality systems, inventory management, and back-up sites.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However, pharmaceutical production processes are complex, highly regulated, and vary widely from product to product. Shifting or adding manufacturing capacity can be a very lengthy process requiring significant capital expenditures, process modifications, and regulatory approvals. Accordingly, developments such as unplanned plant shutdowns, manufacturing or quality assurance difficulties at one of our facilities or contracted facilities, failure or refusal of a supplier or contract manufacturer to supply contracted quantities, increases in demand on a supplier, or difficulties in predicting or variability in demand for our products and those of our competitors have led, and may in the future lead, to interruption or higher costs in the supply of certain products, product shortages, or pauses or discontinuations of product sales in one or more markets. Further, global transportation and logistics challenges, cost inflation, and tight labor markets, have caused, and in the future may cause, delays in and/or increased costs related to distribution of our medicines, the construction or acquisition of manufacturing capacity, procurement activity, and supplier or contract manufacturer arrangements. For more information on the additional risks we face in connection with any difficulties, disruptions, and shortages in the manufacturing, distribution, and sale of our products, see Item 1A, "Risk Factors—Risks Related to Our Business—Manufacturing, quality, or supply chain difficulties, disruptions, or shortages could lead to product supply problems."</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cost inflation, the strain on global transportation, logistics, and labor markets (including as exacerbated by the COVID-19 pandemic and the emergence or escalation of, and responses to, war or unrest, including the Russia-Ukraine war), global economic downturns or uncertainty, and an increase in overall demand in our industry for certain products and materials have had, and may continue to have, a number of impacts on our business, including increased costs and disruptions in the supply of our medicines. For more information, see Item 1A, "Risk Factors—Risks Related to Our Business—Public health outbreaks, epidemics, or pandemics, such as the COVID-19 pandemic, have adversely impacted and may in the future adversely impact our business and operations." and Item 7, "Management's Discussion and Analysis—Executive Overview—Other Matters—COVID-19 Pandemic."</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Quality Assurance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success depends in great measure on customer confidence in the quality of our products and in the integrity of the data that support their safety and effectiveness. Product quality requires a total commitment to quality in all parts of our operations, including research and development, purchasing, facilities planning, manufacturing, distribution, and dissemination of information about our medicines.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ensure that the product meets all applicable regulatory requirements and our internal standards. These tests may involve chemical and physical chemical analyses, microbiological testing, testing in animals, or a combination thereof. Additional assurance of quality is provided by quality assurance groups that audit and monitor all aspects of quality related to pharmaceutical manufacturing procedures and systems in company operations and at third-party suppliers.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1, 2023 in connection with the company's annual meeting of shareholders,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15"/>
        </w:trPr>
        <w:tc>
          <w:tcPr>
            <w:tcW w:w="19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5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Titles and Business Experience</w:t>
            </w:r>
          </w:p>
        </w:tc>
        <w:tc>
          <w:tcPr>
            <w:tcW w:w="0" w:type="dxa"/>
            <w:vAlign w:val="bottom"/>
          </w:tcPr>
          <w:p>
            <w:pPr>
              <w:spacing w:after="0"/>
              <w:rPr>
                <w:sz w:val="1"/>
                <w:szCs w:val="1"/>
                <w:color w:val="auto"/>
              </w:rPr>
            </w:pPr>
          </w:p>
        </w:tc>
      </w:tr>
      <w:tr>
        <w:trPr>
          <w:trHeight w:val="174"/>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David Ricks</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Chair, President, and Chief Executive Officer (CEO) (since 2017). Previously, Mr. Ricks held various leadership roles with Lilly,</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senior vice president and president, Lilly Bio-Medicines. Mr. Ricks has 26 years of service with Lilly.</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Financial Officer (since 2021). Previously, Ms. Ashkenazi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Anat Ashkenazi</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controller and chief financial officer, Lilly Research Laboratories, and vice president, finance and chief</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financial officer, Lilly Diabetes and Lilly global manufacturing and quality. Ms. Ashkenazi has 21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Human Resources and Diversity (since 2022). Previously, Mr. Dozier held various leadership roles with Lilly,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Eric Dozier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chief commercial officer for Loxo@Lilly, and vice president, global ethics and compliance officer. Mr.</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Dozier has 25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General Counsel and Secretary (since 2020). Prior to joining Lilly, Ms. Hakim was senior vice president,</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and secretary of WellCare Health Plans, Inc. (WellCare) from 2016 to 2018, and executive vice president, general</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Anat Hakim</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counsel and secretary of WellCare from 2018 to 2020. Prior to joining WellCare, she served as divisional vice president and associate</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intellectual property litigation at Abbott Laboratories from 2010 to 2013 and divisional vice president and associate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litigation from 2013 to 2016. Ms. Hakim has three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Manufacturing Operations (since 2021). Previously, Mr. Hernandez held various leadership</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Edgardo Hernandez</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roles with Lilly, including senior vice president, global parenteral drug product, delivery devices and regional manufacturing, and vice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Fegersheim operations. Mr. Hernandez has 18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Immunology, Lilly USA, and Chief Customer Officer (since 2021). Previously, Mr.</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Patrik Jonsson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Jonsson held various leadership roles with Lilly, including senior vice president and president, Lilly USA, and chief customer officer,</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senior vice president and president, Lilly Bio-Medicines and president and general manager, Lilly Japan. Mr. Jonsson has 32 years of</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Diabetes (since 2020). Previously, Mr. Mason held various leadership roles with Lilly,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Mason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connected care and insulins and vice president of U.S. Diabetes. Mr. Mason has 33 years of service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Global Quality (since 2017). Previously, Ms. Norton held various leadership roles with Lilly, including vice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Johna Norton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global quality assurance API manufacturing and product research and development. Ms. Norton has 32 years of service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Leigh Ann Pusey</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Corporate Affairs and Communications (since 2017). Prior to joining Lilly, Ms. Pusey was president and</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chief executive officer of the American Insurance Association from 2009 to 2017. Ms. Pusey has five years of service with Lilly.</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Information and Digital Officer (since 2021). Prior to joining Lilly, Mr. Rau was senior director of</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Diogo Rau</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information systems and technology for retail and online stores of Apple Inc. from 2011 to 2021. Prior to his tenure at Apple, he served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 a partner at McKinsey &amp; Company. Mr. Rau has two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Daniel Skovronsky, M.D.,</w:t>
            </w: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Chief Scientific and Medical Officer, and President, Lilly Research Laboratories (since 2021). Previously, Dr.</w:t>
            </w:r>
          </w:p>
        </w:tc>
        <w:tc>
          <w:tcPr>
            <w:tcW w:w="0" w:type="dxa"/>
            <w:vAlign w:val="bottom"/>
          </w:tcPr>
          <w:p>
            <w:pPr>
              <w:spacing w:after="0"/>
              <w:rPr>
                <w:sz w:val="1"/>
                <w:szCs w:val="1"/>
                <w:color w:val="auto"/>
              </w:rPr>
            </w:pPr>
          </w:p>
        </w:tc>
      </w:tr>
      <w:tr>
        <w:trPr>
          <w:trHeight w:val="77"/>
        </w:trPr>
        <w:tc>
          <w:tcPr>
            <w:tcW w:w="1900" w:type="dxa"/>
            <w:vAlign w:val="bottom"/>
            <w:tcBorders>
              <w:left w:val="single" w:sz="8" w:color="auto"/>
              <w:right w:val="single" w:sz="8" w:color="auto"/>
            </w:tcBorders>
            <w:vMerge w:val="continue"/>
          </w:tcPr>
          <w:p>
            <w:pPr>
              <w:spacing w:after="0"/>
              <w:rPr>
                <w:sz w:val="6"/>
                <w:szCs w:val="6"/>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49</w:t>
            </w: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Skovronsky held various leadership roles with Lilly, including senior vice president, chief scientific officer, and president, Lilly Research</w:t>
            </w:r>
          </w:p>
        </w:tc>
        <w:tc>
          <w:tcPr>
            <w:tcW w:w="0" w:type="dxa"/>
            <w:vAlign w:val="bottom"/>
          </w:tcPr>
          <w:p>
            <w:pPr>
              <w:spacing w:after="0"/>
              <w:rPr>
                <w:sz w:val="1"/>
                <w:szCs w:val="1"/>
                <w:color w:val="auto"/>
              </w:rPr>
            </w:pPr>
          </w:p>
        </w:tc>
      </w:tr>
      <w:tr>
        <w:trPr>
          <w:trHeight w:val="99"/>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00" w:type="dxa"/>
            <w:vAlign w:val="bottom"/>
            <w:tcBorders>
              <w:left w:val="single" w:sz="8" w:color="auto"/>
              <w:right w:val="single" w:sz="8" w:color="auto"/>
            </w:tcBorders>
            <w:vMerge w:val="continue"/>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Laboratories, and senior vice president, clinical and product development. Dr. Skovronsky has 12 years of service with Lilly.</w:t>
            </w:r>
          </w:p>
        </w:tc>
        <w:tc>
          <w:tcPr>
            <w:tcW w:w="0" w:type="dxa"/>
            <w:vAlign w:val="bottom"/>
          </w:tcPr>
          <w:p>
            <w:pPr>
              <w:spacing w:after="0"/>
              <w:rPr>
                <w:sz w:val="1"/>
                <w:szCs w:val="1"/>
                <w:color w:val="auto"/>
              </w:rPr>
            </w:pPr>
          </w:p>
        </w:tc>
      </w:tr>
      <w:tr>
        <w:trPr>
          <w:trHeight w:val="99"/>
        </w:trPr>
        <w:tc>
          <w:tcPr>
            <w:tcW w:w="1900" w:type="dxa"/>
            <w:vAlign w:val="bottom"/>
            <w:tcBorders>
              <w:left w:val="single" w:sz="8" w:color="auto"/>
              <w:right w:val="single" w:sz="8" w:color="auto"/>
            </w:tcBorders>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CEO, Loxo@Lilly, and President, Lilly Oncology (since 2021). Previously, Mr. Van Naarden served as Chief</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Officer-Loxo Oncology at Lilly, and Chief Operating Officer-Loxo Oncology at Lilly. Mr. Van Naarden joined Lilly in 2019</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Jacob Van Naarden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when the company acquired Loxo Oncology, Inc., where he was the chief operating officer. In previous roles, Mr. Van Naarden worked</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 various biotechnology investing, operating, and advisory capacities, including positions with HealthCor Management, Aisling</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Capital, and Goldman Sachs. Mr. Van Naarden has four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Enterprise Risk Management, and Chief Ethics and Compliance Officer (since 2021). Previously, Mr.</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Alonzo Weems</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Weems held various leadership roles with Lilly, including vice president and deputy general counsel for corporate legal functions,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for Lilly USA, and general counsel for biomedicines and diabetes. Mr. Weems has 25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Neuroscience (since 2021). Previously, Ms. White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White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Oncology, vice president of Portfolio Management, Chorus, and Next Generation</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Research and Development. Ms. White has 27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International (since 2021). Previously, Mr. Yuffa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Ilya Yuffa</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Bio-Medicines, vice president of U.S. Diabetes, general manager of Italy Hub, and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vice president, global ethics and compliance officer since 2014. Mr. Yuffa has 26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81" w:right="5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Human Capital Management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core values—integrity, excellence, and respect for people—shape our approach to attracting, retaining, engaging, and developing a highly skilled and ethical workforce, which is critical to executing our strategy. We believe the strength of our workforce significantly contributes to our financial performance and enables us to make life better for people around the world. For instance, most of the products we sell today were discovered or developed by our own scientists, and our long-term success depends on our ability to continually discover or acquire, develop, and commercialize innovative medicines. We believe that fostering a positive culture that values the contributions of our talented colleagues helps drive our success.</w:t>
      </w:r>
    </w:p>
    <w:p>
      <w:pPr>
        <w:spacing w:after="0" w:line="7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are committed to creating a safe, supportive, ethical, and rewarding work environment through strategic focus on our human capital management process, fairness and nondiscrimination in our employment practices, robust training and development opportunities, and competitive pay and benefits. We believe our dedication to promoting diversity, equity, and inclusion (DEI) within our company reflects our values and is a key driver of business success and growth.</w:t>
      </w:r>
    </w:p>
    <w:p>
      <w:pPr>
        <w:spacing w:after="0" w:line="6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regularly conduct anonymous employee surveys to seek feedback from our workforce on a variety of topics. These results are reviewed and analyzed by our leaders to identify opportunities to adjust our policies and benefits to improve our employees' experience. As a result of our efforts, we believe that we have a highly performing, cohesive workforce and that our employee relations are good.</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At the end of 2022, we employed approximately 39,000 people, including approximately 21,000 employees outside the U.S. Our employees include approximately 9,000 people engaged in research and development activities.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Oversight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build diverse and inclusive teams, our CEO and executive committee set expectations for inclusive leadership and hold leaders accountable for achieving results. Because dedication to human capital management is also a core component of our corporate governance, our board of directors regularly engages with management and facilitates a system of reporting designed to monitor human capital management initiatives and progress as part of the overarching framework that guides how we attract, retain, engage, and develop a workforce that aligns with our values and mission.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11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believe that fostering DEI begins with understanding. For example, our </w:t>
      </w:r>
      <w:r>
        <w:rPr>
          <w:rFonts w:ascii="Arial" w:cs="Arial" w:eastAsia="Arial" w:hAnsi="Arial"/>
          <w:sz w:val="18"/>
          <w:szCs w:val="18"/>
          <w:i w:val="1"/>
          <w:iCs w:val="1"/>
          <w:color w:val="auto"/>
        </w:rPr>
        <w:t>Employee Journeys</w:t>
      </w:r>
      <w:r>
        <w:rPr>
          <w:rFonts w:ascii="Arial" w:cs="Arial" w:eastAsia="Arial" w:hAnsi="Arial"/>
          <w:sz w:val="18"/>
          <w:szCs w:val="18"/>
          <w:color w:val="auto"/>
        </w:rPr>
        <w:t xml:space="preserve"> research has yielded important insights about the experiences of women, Black/African American, Latinx, Asian, and LGBTQ+ employees at Lilly. The results of this research are reviewed by our senior leadership, and we deploy actions and activities in response to these insights to improve our workplace and corporate culture.</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2020, as part of our DEI and community initiatives, Lilly and the Lilly Foundation launched the Racial Justice Commitment, with Lilly pledging 25,000 volunteer hours and the Lilly Foundation committing $25 million over five years to help decrease the burden of racial injustice and its effects on communities of color. The Racial Justice Commitment aims to drive change across five areas: internal people development, health equity, social impact, diversity partners, and family sustaining jobs, through the use of financial and people resources. From 2020 through 2022, we have made progress in these efforts, including nearly tripling our spending with Black-owned businesses, committing over $98 million in minority-led venture capital firms, serving over 30,000 volunteer hours to advance racial justice initiatives, and expanding our Skills First Program at Lilly for individuals without four-year college degrees.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2017, we have committed to increasing women, Black/African American, Latinx, and Asian representation in leadership roles, and we actively monitor our progress. From the end of 2018 through the end of 2022, we increased the percentage of women in management globally from 42 percent to 49 percent. For minority group members (MGM) in the U.S. over the same period, we increased management representation from 19 percent to 25 percent. Across all levels of our workforce, from the end of 2018 through the end of 2022, we have seen increased representation for MGMs in the U.S. and women globally. Our focus on DEI is also evident at our executive committee and board of directors. Five of 15 current members (approximately 33 percent) of our executive committee (which includes our CEO) are women and three are MGMs. In addition, as of the filing of this report, the company's 13-member board of directors includes five women and six members who are MGMs.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right="180"/>
        <w:spacing w:after="0" w:line="257" w:lineRule="auto"/>
        <w:rPr>
          <w:sz w:val="20"/>
          <w:szCs w:val="20"/>
          <w:color w:val="auto"/>
        </w:rPr>
      </w:pPr>
      <w:r>
        <w:rPr>
          <w:rFonts w:ascii="Arial" w:cs="Arial" w:eastAsia="Arial" w:hAnsi="Arial"/>
          <w:sz w:val="18"/>
          <w:szCs w:val="18"/>
          <w:color w:val="auto"/>
        </w:rPr>
        <w:t>Our efforts in DEI and workplace benefits have garnered numerous recognitions, including, in 2022, Top 50 Companies for Diversity by DiversityInc., Top Companies for Board of Directors by DiversityInc., Top Companies for Supplier Diversity by DiversityInc., Top Companies for ESG by DiversityInc., America's Best Employers for Women by Forbes, Perfect Score on the Human Rights Campaign Foundation Corporate Equality Index, World's Most Ethical Companies by Ethisphere, Perfect Score on Disability Equity Index Best Places to Work by Disability:IN, Pharmaceutical Innovation Index, Zero Project Award for Access Lilly, and Top Companies for Executive Women, Best Companies for Multicultural Women, Best Companies for Dads, 70 percent and Higher Inclusion Index by Seramount.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Development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attracting and retaining the best, diverse talent begins with the hiring process. We therefore require hiring managers to consider a diverse pool of candidates and we strive to provide a diverse panel of interviewers for open positions. We believe that hiring in this way helps ensure that people from all backgrounds have equal opportunity to advance their careers.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In early 2022, we launched </w:t>
      </w:r>
      <w:r>
        <w:rPr>
          <w:rFonts w:ascii="Arial" w:cs="Arial" w:eastAsia="Arial" w:hAnsi="Arial"/>
          <w:sz w:val="18"/>
          <w:szCs w:val="18"/>
          <w:i w:val="1"/>
          <w:iCs w:val="1"/>
          <w:color w:val="auto"/>
        </w:rPr>
        <w:t>Discover</w:t>
      </w:r>
      <w:r>
        <w:rPr>
          <w:rFonts w:ascii="Arial" w:cs="Arial" w:eastAsia="Arial" w:hAnsi="Arial"/>
          <w:sz w:val="18"/>
          <w:szCs w:val="18"/>
          <w:color w:val="auto"/>
        </w:rPr>
        <w:t xml:space="preserve">, a 12-month new employee onboarding program with multiple touchpoints designed to foster integration into Lilly, to accelerate learning in their new roles and to create connections to further a sense of belonging at Lilly. </w:t>
      </w:r>
      <w:r>
        <w:rPr>
          <w:rFonts w:ascii="Arial" w:cs="Arial" w:eastAsia="Arial" w:hAnsi="Arial"/>
          <w:sz w:val="18"/>
          <w:szCs w:val="18"/>
          <w:i w:val="1"/>
          <w:iCs w:val="1"/>
          <w:color w:val="auto"/>
        </w:rPr>
        <w:t>Discover</w:t>
      </w:r>
      <w:r>
        <w:rPr>
          <w:rFonts w:ascii="Arial" w:cs="Arial" w:eastAsia="Arial" w:hAnsi="Arial"/>
          <w:sz w:val="18"/>
          <w:szCs w:val="18"/>
          <w:color w:val="auto"/>
        </w:rPr>
        <w:t xml:space="preserve"> was shaped in part by external benchmarking, feedback from employees, and learnings from onboarding remotely during the COVID-19 pandemic.</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offer training to enable our employees to perform their duties in our highly regulated industry. We also strive to cultivate a culture that promotes ongoing learning by encouraging employees to seek further education and growth experiences, helping them build rewarding careers. We have introduced online programming to facilitate access to our learning and development offerings in addition to our in-person programs. Many training courses are designed to improve accessibility for people with disabilities and other unique needs. Across Lilly, we are continuously working to design learning experiences to be more inclusive and effective. In addition, we have implemented development tools and resources for all employees, improved our talent programs and processes to provide broader access to information, and increased transparency regarding career development and advancement at Lilly.</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Employee resource groups (ERGs) are another important component of developing talent at Lilly. We currently have 11 ERGs representing groups including women, MGMs, LGBTQ+ individuals, veterans, and people with disabilities. ERGs offer our diverse workforce opportunities to build relationships, engage with senior leaders, advance our caring community, and offer unique insights and perspectives to improve our business.</w:t>
      </w:r>
    </w:p>
    <w:p>
      <w:pPr>
        <w:spacing w:after="0" w:line="68"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We have continued our efforts to create an inclusive workplace with the goal of ensuring that all employees feel safe to speak up and share their ideas at work. Our Make it Safe to Thrive education and awareness program is designed to help employees and leaders understand how individual psychological safety can be created and enhanced and includes live and online training. In late 2022, we introduced a new version of Make it Safe to Thrive for leaders that continues to focus on psychological safety and creating an inclusive environment. Leaders are provided the opportunity to work through challenging conversations and situations currently being navigated in the workplace.</w:t>
      </w:r>
    </w:p>
    <w:p>
      <w:pPr>
        <w:spacing w:after="0" w:line="56"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Lilly is committed to fostering a culture of diversity and respect in the workplace—an environment free of discrimination, harassment, or retaliation of any kind. In 2022, as part of our annual review of The Red Book and related policies and procedures, we revised the Global Conduct in the Workplace procedure to continue to help ensure that we maintain a respectful, safe, inclusive, and professional workplace.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 and Safety</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As the COVID-19 pandemic has evolved, we have continued to take various measures (as necessary) to protect and support the health and safety of our employees globally. We believe a holistic approach and dedication to safety helps us be our best as we deliver on our company purpose to improve lives around the world.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Information Available on Our Website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www.lilly.com</w:t>
      </w:r>
      <w:r>
        <w:rPr>
          <w:rFonts w:ascii="Arial" w:cs="Arial" w:eastAsia="Arial" w:hAnsi="Arial"/>
          <w:sz w:val="18"/>
          <w:szCs w:val="18"/>
          <w:color w:val="auto"/>
        </w:rPr>
        <w:t xml:space="preserve">. None of the information accessible on or through our website is incorporated into this Annual Report on Form 10-K. We make available through the website, free of charge, our company filings with the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5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Paper copies of the company's Annual Report on Form 10-K and Quarterly Reports on Form 10-Q that are filed with the SEC are available without charge upon written request to:</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 LILLY AND COMPANY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Indiana 46285</w:t>
      </w:r>
    </w:p>
    <w:p>
      <w:pPr>
        <w:spacing w:after="0" w:line="99"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 xml:space="preserve">In addition, the "Governance" section of our website includes our corporate governance guidelines, board of directors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lilly.com/leadership/governance</w:t>
      </w:r>
      <w:r>
        <w:rPr>
          <w:rFonts w:ascii="Arial" w:cs="Arial" w:eastAsia="Arial" w:hAnsi="Arial"/>
          <w:sz w:val="18"/>
          <w:szCs w:val="18"/>
          <w:color w:val="auto"/>
        </w:rPr>
        <w:t>.</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routinely post important information for investors in the “Investors” section of our website, </w:t>
      </w:r>
      <w:r>
        <w:rPr>
          <w:rFonts w:ascii="Arial" w:cs="Arial" w:eastAsia="Arial" w:hAnsi="Arial"/>
          <w:sz w:val="18"/>
          <w:szCs w:val="18"/>
          <w:b w:val="1"/>
          <w:bCs w:val="1"/>
          <w:color w:val="auto"/>
        </w:rPr>
        <w:t>www.lilly.com</w:t>
      </w:r>
      <w:r>
        <w:rPr>
          <w:rFonts w:ascii="Arial" w:cs="Arial" w:eastAsia="Arial" w:hAnsi="Arial"/>
          <w:sz w:val="18"/>
          <w:szCs w:val="18"/>
          <w:color w:val="auto"/>
        </w:rPr>
        <w:t>.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may also use social media channels to communicate with investors and the public about our business, products and other matters, and those communications could be deemed to be material information. The information contained on, or that may be accessed through, our website or social media channels, is not incorporated by reference into, and is not a part of, this Annual Report on Form 10-K.</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23" w:name="page24"/>
    <w:bookmarkEnd w:id="23"/>
    <w:p>
      <w:pPr>
        <w:spacing w:after="0"/>
        <w:rPr>
          <w:sz w:val="20"/>
          <w:szCs w:val="20"/>
          <w:color w:val="auto"/>
        </w:rPr>
      </w:pPr>
      <w:r>
        <w:rPr>
          <w:rFonts w:ascii="Arial" w:cs="Arial" w:eastAsia="Arial" w:hAnsi="Arial"/>
          <w:sz w:val="32"/>
          <w:szCs w:val="32"/>
          <w:b w:val="1"/>
          <w:bCs w:val="1"/>
          <w:i w:val="1"/>
          <w:iCs w:val="1"/>
          <w:color w:val="auto"/>
        </w:rPr>
        <w:t>Item 1A.Risk Factors</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our company. It is possible that our business, financial condition, liquidity, cash flows, or results of operations could be materially adversely affected by any of these risks. Certain of these risks could also adversely affect the company's reputation. Additional risks and uncertainties not presently known to us or that we currently believe to be immaterial could also adversely affect our business and reputation.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jc w:val="both"/>
        <w:ind w:left="340" w:hanging="332"/>
        <w:spacing w:after="0" w:line="273" w:lineRule="auto"/>
        <w:tabs>
          <w:tab w:leader="none" w:pos="33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w:t>
      </w:r>
    </w:p>
    <w:p>
      <w:pPr>
        <w:spacing w:after="0" w:line="49" w:lineRule="exact"/>
        <w:rPr>
          <w:rFonts w:ascii="Arial" w:cs="Arial" w:eastAsia="Arial" w:hAnsi="Arial"/>
          <w:sz w:val="18"/>
          <w:szCs w:val="18"/>
          <w:b w:val="1"/>
          <w:bCs w:val="1"/>
          <w:color w:val="auto"/>
        </w:rPr>
      </w:pPr>
    </w:p>
    <w:p>
      <w:pPr>
        <w:ind w:left="340" w:right="32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There are many difficulties and uncertainties inherent in pharmaceutical research and development, the introduction of new products, and business development activities to enhance our product pipeline.</w:t>
      </w:r>
    </w:p>
    <w:p>
      <w:pPr>
        <w:spacing w:after="0" w:line="44" w:lineRule="exact"/>
        <w:rPr>
          <w:rFonts w:ascii="Arial" w:cs="Arial" w:eastAsia="Arial" w:hAnsi="Arial"/>
          <w:sz w:val="18"/>
          <w:szCs w:val="18"/>
          <w:b w:val="1"/>
          <w:bCs w:val="1"/>
          <w:color w:val="auto"/>
        </w:rPr>
      </w:pPr>
    </w:p>
    <w:p>
      <w:pPr>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the application of pricing controls, limited scope of approved uses, label changes, changes in the relevant treatment standards or the availability of new or better competitive products, difficulty or excessive costs to manufacture, or infringement of the patents or intellectual property rights of others. Regulatory agencies establish high hurdles for the efficacy and safety of new products and indications. Delays, uncertainties, unpredictabilities, and inconsistencies in drug approval processes across markets and agencies can result in delays in product launches, lost market opportunity, potential impairment of inventories, and other negative impacts. In addition, it can be very difficult to predict revenue growth rates of or variability in demand for new products and indications.</w:t>
      </w:r>
    </w:p>
    <w:p>
      <w:pPr>
        <w:spacing w:after="0" w:line="74" w:lineRule="exact"/>
        <w:rPr>
          <w:rFonts w:ascii="Arial" w:cs="Arial" w:eastAsia="Arial" w:hAnsi="Arial"/>
          <w:sz w:val="18"/>
          <w:szCs w:val="18"/>
          <w:b w:val="1"/>
          <w:bCs w:val="1"/>
          <w:color w:val="auto"/>
        </w:rPr>
      </w:pPr>
    </w:p>
    <w:p>
      <w:pPr>
        <w:ind w:left="34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cannot state with certainty when or whether our products now under development will be approved or launched; whether, if initially granted, such approval will be maintained; whether we will be able to develop, license, or otherwise acquire additional product candidates or products; or whether our products, once launched, will be commercially successful.</w:t>
      </w:r>
    </w:p>
    <w:p>
      <w:pPr>
        <w:spacing w:after="0" w:line="62" w:lineRule="exact"/>
        <w:rPr>
          <w:rFonts w:ascii="Arial" w:cs="Arial" w:eastAsia="Arial" w:hAnsi="Arial"/>
          <w:sz w:val="18"/>
          <w:szCs w:val="18"/>
          <w:b w:val="1"/>
          <w:bCs w:val="1"/>
          <w:color w:val="auto"/>
        </w:rPr>
      </w:pPr>
    </w:p>
    <w:p>
      <w:pPr>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must maintain a continuous flow of successful new products and successful new indications or line extensions for existing products, both through our internal efforts and our business development activities, sufficient both to cover our substantial research and development costs and to replace revenues that are lost as profitable products become subject to pricing controls, lose intellectual property exclusivity, or are displaced by competing products or therapies. Failure to do so in the short-term or long-term would have a material adverse effect on our business, results of operations, cash flows, and financial position.</w:t>
      </w:r>
    </w:p>
    <w:p>
      <w:pPr>
        <w:spacing w:after="0" w:line="71" w:lineRule="exact"/>
        <w:rPr>
          <w:rFonts w:ascii="Arial" w:cs="Arial" w:eastAsia="Arial" w:hAnsi="Arial"/>
          <w:sz w:val="18"/>
          <w:szCs w:val="18"/>
          <w:b w:val="1"/>
          <w:bCs w:val="1"/>
          <w:color w:val="auto"/>
        </w:rPr>
      </w:pPr>
    </w:p>
    <w:p>
      <w:pPr>
        <w:ind w:left="34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engage in various forms of business development activities to enhance our product pipeline, including licensing arrangements, co-development agreements, co-promotion arrangements, joint ventures, acquisitions, and equity investments. There are substantial risks associated with identifying successful business development targets and consummating related transactions. Increased focus on business combinations in our industry, including by the Federal Trade Commission and competition authorities in Europe and other jurisdictions, and heightened competition for attractive targets has and could continue to delay, jeopardize or increase the costs of our business development activities. In addition, failures or difficulties in integrating or retaining new personnel or the operations of the businesses, products, or assets we acquire (including related technology, commercial operations, compliance programs, information security, manufacturing, distribution, and general business operations and procedures) may affect our ability to realize the expected benefits of business development transactions and may result in our incurrence of substantial asset impairment or restructuring charges. We also may fail to generate the expected revenue and pipeline enhancement from business development activities due to developments outside our control, including unsuccessful clinical trials, issues related to the quality, integrity, or broad applicability of data, regulatory impediments, and commercialization challenges. Accordingly, business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24" w:name="page25"/>
    <w:bookmarkEnd w:id="24"/>
    <w:p>
      <w:pPr>
        <w:ind w:left="332" w:right="400"/>
        <w:spacing w:after="0" w:line="287" w:lineRule="auto"/>
        <w:rPr>
          <w:sz w:val="20"/>
          <w:szCs w:val="20"/>
          <w:color w:val="auto"/>
        </w:rPr>
      </w:pPr>
      <w:r>
        <w:rPr>
          <w:rFonts w:ascii="Arial" w:cs="Arial" w:eastAsia="Arial" w:hAnsi="Arial"/>
          <w:sz w:val="18"/>
          <w:szCs w:val="18"/>
          <w:color w:val="auto"/>
        </w:rPr>
        <w:t>development transactions may not be completed in a timely manner (if at all), may not result in successful development outcomes or successful commercialization of any product, and may give rise to legal proceedings or regulatory scrutiny.</w:t>
      </w:r>
    </w:p>
    <w:p>
      <w:pPr>
        <w:spacing w:after="0" w:line="45" w:lineRule="exact"/>
        <w:rPr>
          <w:sz w:val="20"/>
          <w:szCs w:val="20"/>
          <w:color w:val="auto"/>
        </w:rPr>
      </w:pPr>
    </w:p>
    <w:p>
      <w:pPr>
        <w:ind w:left="332" w:right="220"/>
        <w:spacing w:after="0" w:line="287" w:lineRule="auto"/>
        <w:rPr>
          <w:sz w:val="20"/>
          <w:szCs w:val="20"/>
          <w:color w:val="auto"/>
        </w:rPr>
      </w:pPr>
      <w:r>
        <w:rPr>
          <w:rFonts w:ascii="Arial" w:cs="Arial" w:eastAsia="Arial" w:hAnsi="Arial"/>
          <w:sz w:val="18"/>
          <w:szCs w:val="18"/>
          <w:color w:val="auto"/>
        </w:rPr>
        <w:t>See Item 1, "Business—Research and Development—Phases of New Drug Development" and Item 7, "Management's Discussion and Analysis—Executive Overview—Late-Stage Pipeline," for more details about our current product pipeline.</w:t>
      </w:r>
    </w:p>
    <w:p>
      <w:pPr>
        <w:spacing w:after="0" w:line="45" w:lineRule="exact"/>
        <w:rPr>
          <w:sz w:val="20"/>
          <w:szCs w:val="20"/>
          <w:color w:val="auto"/>
        </w:rPr>
      </w:pPr>
    </w:p>
    <w:p>
      <w:pPr>
        <w:ind w:left="332" w:right="20" w:hanging="332"/>
        <w:spacing w:after="0" w:line="273" w:lineRule="auto"/>
        <w:tabs>
          <w:tab w:leader="none" w:pos="32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We depend on products with intellectual property protection for most of our revenues, cash flows, and earnings; the loss of effective intellectual property protection for certain of our products has resulted, and in the future is likely to continue to result, in rapid and severe declines in revenues for those products.</w:t>
      </w:r>
    </w:p>
    <w:p>
      <w:pPr>
        <w:spacing w:after="0" w:line="49"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their lifecycles, our products lose significant patent protection and/or data protection in the U.S., as well as in key jurisdictions outside the U.S., after a specified period of time. Some products also lose patent protection as a result of successful third-party challenges. We have faced, and remain exposed to, generic competition following the expiration or loss of such intellectual property protection. For example, following the expiration of patent exclusivity for Alimta in Europe and Japan in June 2021, we have faced generic competition that has rapidly and severely eroded revenue from prior levels, and we expect such competition will continue to erode revenue from current levels in these markets. In addition, as a result of the entry of multiple generics in the U.S. following the expiration of patent and pediatric exclusivity for Alimta in in the first half of 2022, we began facing, and expect to continue to face, generic competition that has rapidly and severely eroded revenue from prior levels, and we expect will continue to erode revenue from current levels.</w:t>
      </w:r>
    </w:p>
    <w:p>
      <w:pPr>
        <w:spacing w:after="0" w:line="72" w:lineRule="exact"/>
        <w:rPr>
          <w:rFonts w:ascii="Arial" w:cs="Arial" w:eastAsia="Arial" w:hAnsi="Arial"/>
          <w:sz w:val="18"/>
          <w:szCs w:val="18"/>
          <w:b w:val="1"/>
          <w:bCs w:val="1"/>
          <w:color w:val="auto"/>
        </w:rPr>
      </w:pPr>
    </w:p>
    <w:p>
      <w:pPr>
        <w:ind w:left="332"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Certain other significant products no longer have effective exclusivity through patent protection or data protection. For non-biologic products, loss of exclusivity (whether by expiration of legal rights or by termination thereof as a consequence of litigation) typically results in the entry of one or more generic competitors, leading to a rapid and severe decline in revenues, especially in the U.S. For biologics (such as Humalog, Humulin, Erbitux, Cyramza, Trulicity, Taltz, and Emgality), loss of exclusivity may or may not result in the near-term entry of competitor versions (i.e., biosimilars) due to many factors, including development timelines, manufacturing challenges, and/or uncertainties regarding the regulatory pathways for approval of the competitor versions. Generic pharmaceutical companies could also introduce a generic product before resolution of any related patent litigation.</w:t>
      </w:r>
    </w:p>
    <w:p>
      <w:pPr>
        <w:spacing w:after="0" w:line="74" w:lineRule="exact"/>
        <w:rPr>
          <w:rFonts w:ascii="Arial" w:cs="Arial" w:eastAsia="Arial" w:hAnsi="Arial"/>
          <w:sz w:val="18"/>
          <w:szCs w:val="18"/>
          <w:b w:val="1"/>
          <w:bCs w:val="1"/>
          <w:color w:val="auto"/>
        </w:rPr>
      </w:pPr>
    </w:p>
    <w:p>
      <w:pPr>
        <w:ind w:left="332"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 See Item 7, "Management's Discussion and Analysis— Executive Overview—Other Matters—Patent Matters," and Item 1, "Business—Patents, Trademarks, and Other Intellectual Property Rights," for more details.</w:t>
      </w:r>
    </w:p>
    <w:p>
      <w:pPr>
        <w:spacing w:after="0" w:line="74" w:lineRule="exact"/>
        <w:rPr>
          <w:rFonts w:ascii="Arial" w:cs="Arial" w:eastAsia="Arial" w:hAnsi="Arial"/>
          <w:sz w:val="18"/>
          <w:szCs w:val="18"/>
          <w:b w:val="1"/>
          <w:bCs w:val="1"/>
          <w:color w:val="auto"/>
        </w:rPr>
      </w:pPr>
    </w:p>
    <w:p>
      <w:pPr>
        <w:ind w:left="332" w:right="960" w:hanging="332"/>
        <w:spacing w:after="0" w:line="296" w:lineRule="auto"/>
        <w:tabs>
          <w:tab w:leader="none" w:pos="32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29" w:lineRule="exact"/>
        <w:rPr>
          <w:rFonts w:ascii="Arial" w:cs="Arial" w:eastAsia="Arial" w:hAnsi="Arial"/>
          <w:sz w:val="18"/>
          <w:szCs w:val="18"/>
          <w:b w:val="1"/>
          <w:bCs w:val="1"/>
          <w:color w:val="auto"/>
        </w:rPr>
      </w:pPr>
    </w:p>
    <w:p>
      <w:pPr>
        <w:ind w:left="332"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or acquire, develop, and commercialize innovative medicines. Without strong intellectual property protection, we would be unable to generate the returns necessary to support our significant investments in research and development, as well as the other expenditures required to bring new drugs and indications to the market. Intellectual property protection varies throughout the world and is subject to change over time, depending on local laws and regulations. Changes to such laws, regulations, and enforcement practices could reduce protections for our innovative products and indications. For example, potential reforms to pharmaceutical legislation in the European Union may threaten the predictability and length of certain pharmaceutical intellectual property incentives. Changes proposed by the USPTO to limit the number of, and differences between, patents obtained could also affect the scope of patent protection for our products in the U.S. Also in the U.S., in addition to the process for challenging patents set forth in the BPCIA, which applies to biologic products, the Hatch-Waxman Act provides generic companies substantial incentives to seek to invalidate our patents covering pharmaceutical products. As a result, we expect that our U.S. patents on major pharmaceutical products, including biologics, will continue to be routinely challenged in litigation</w:t>
      </w:r>
    </w:p>
    <w:p>
      <w:pPr>
        <w:spacing w:after="0" w:line="200" w:lineRule="exact"/>
        <w:rPr>
          <w:sz w:val="20"/>
          <w:szCs w:val="20"/>
          <w:color w:val="auto"/>
        </w:rPr>
      </w:pPr>
    </w:p>
    <w:p>
      <w:pPr>
        <w:spacing w:after="0" w:line="3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25" w:name="page26"/>
    <w:bookmarkEnd w:id="25"/>
    <w:p>
      <w:pPr>
        <w:ind w:left="332"/>
        <w:spacing w:after="0" w:line="252" w:lineRule="auto"/>
        <w:rPr>
          <w:sz w:val="20"/>
          <w:szCs w:val="20"/>
          <w:color w:val="auto"/>
        </w:rPr>
      </w:pPr>
      <w:r>
        <w:rPr>
          <w:rFonts w:ascii="Arial" w:cs="Arial" w:eastAsia="Arial" w:hAnsi="Arial"/>
          <w:sz w:val="18"/>
          <w:szCs w:val="18"/>
          <w:color w:val="auto"/>
        </w:rPr>
        <w:t>and may not be upheld. In addition, a separate IPR process currently allows competitors to seek invalidation of patents at the USPTO without the protections of the BPCIA or Hatch-Waxman Act. The use of IPR proceedings after the institution of litigation pursuant to the BPCIA or Hatch-Waxman Act is currently a topic of debate among legislators and the future ability of our competitors to use IPR proceedings as an alternative to Hatch-Waxman Act or BPCIA litigation procedures to challenge our patents remains uncertain. Recently, the USPTO issued an interim procedure regarding the use of discretionary denials of IPR proceedings when there is parallel district court litigation. However, it is not clear how this interim procedure could affect the ability of our competitors to institute IPR proceedings after institution of litigation. If our patents are challenged through this expedited review process, even if we prevail in demonstrating the validity of our patent, our win provides limited precedential value at the PTAB and no precedential value in federal district court, meaning the same patent can be challenged by other competitors. 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significant damages for past infringement or royalties on future sales. In addition, intellectual property protection in certain jurisdictions outside the U.S. is weak and we face additional risks to our intellectual property rights, including competition with generic or counterfeit versions of our products relatively shortly after launch. See Item 1, "Business—Patents, Trademarks, and Other Intellectual Property Rights," and Item 8, "Financial Statements and Supplementary Data—Note 16: Contingencies," for more details.</w:t>
      </w:r>
    </w:p>
    <w:p>
      <w:pPr>
        <w:spacing w:after="0" w:line="87" w:lineRule="exact"/>
        <w:rPr>
          <w:sz w:val="20"/>
          <w:szCs w:val="20"/>
          <w:color w:val="auto"/>
        </w:rPr>
      </w:pPr>
    </w:p>
    <w:p>
      <w:pPr>
        <w:ind w:left="332" w:right="160" w:hanging="332"/>
        <w:spacing w:after="0" w:line="328" w:lineRule="auto"/>
        <w:tabs>
          <w:tab w:leader="none" w:pos="327"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We and our products face intense competition from multinational pharmaceutical companies, biotechnology companies, and lower-cost generic and biosimilar manufacturers, and such competition could have a material adverse effect on our business.</w:t>
      </w:r>
    </w:p>
    <w:p>
      <w:pPr>
        <w:spacing w:after="0" w:line="5" w:lineRule="exact"/>
        <w:rPr>
          <w:rFonts w:ascii="Arial" w:cs="Arial" w:eastAsia="Arial" w:hAnsi="Arial"/>
          <w:sz w:val="17"/>
          <w:szCs w:val="17"/>
          <w:color w:val="auto"/>
        </w:rPr>
      </w:pPr>
    </w:p>
    <w:p>
      <w:pPr>
        <w:ind w:left="332" w:right="60"/>
        <w:spacing w:after="0" w:line="256" w:lineRule="auto"/>
        <w:rPr>
          <w:rFonts w:ascii="Arial" w:cs="Arial" w:eastAsia="Arial" w:hAnsi="Arial"/>
          <w:sz w:val="17"/>
          <w:szCs w:val="17"/>
          <w:color w:val="auto"/>
        </w:rPr>
      </w:pPr>
      <w:r>
        <w:rPr>
          <w:rFonts w:ascii="Arial" w:cs="Arial" w:eastAsia="Arial" w:hAnsi="Arial"/>
          <w:sz w:val="18"/>
          <w:szCs w:val="18"/>
          <w:color w:val="auto"/>
        </w:rPr>
        <w:t>We compete with a large number of multinational pharmaceutical companies, biotechnology companies, and generic pharmaceutical companies and, in many cases, our products compete against the leading products of one or more of our competitors.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including new modalities, that eliminate or minimize the need for treatment with our drugs.</w:t>
      </w:r>
    </w:p>
    <w:p>
      <w:pPr>
        <w:spacing w:after="0" w:line="74" w:lineRule="exact"/>
        <w:rPr>
          <w:rFonts w:ascii="Arial" w:cs="Arial" w:eastAsia="Arial" w:hAnsi="Arial"/>
          <w:sz w:val="17"/>
          <w:szCs w:val="17"/>
          <w:color w:val="auto"/>
        </w:rPr>
      </w:pPr>
    </w:p>
    <w:p>
      <w:pPr>
        <w:ind w:left="332" w:right="60"/>
        <w:spacing w:after="0" w:line="255" w:lineRule="auto"/>
        <w:rPr>
          <w:rFonts w:ascii="Arial" w:cs="Arial" w:eastAsia="Arial" w:hAnsi="Arial"/>
          <w:sz w:val="17"/>
          <w:szCs w:val="17"/>
          <w:color w:val="auto"/>
        </w:rPr>
      </w:pPr>
      <w:r>
        <w:rPr>
          <w:rFonts w:ascii="Arial" w:cs="Arial" w:eastAsia="Arial" w:hAnsi="Arial"/>
          <w:sz w:val="18"/>
          <w:szCs w:val="18"/>
          <w:color w:val="auto"/>
        </w:rPr>
        <w:t>Regulation of generic and biosimilar products varies around the world and such regulation is complex and subject to ongoing interpretation and implementation by regulatory agencies and courts. Particularly for biosimilars, health authority guidelines and legislative actions could make it less burdensome for competitor products to enter the market and further incentivize uptake of biosimilars. In the U.S., the FDA has issued several "interchangeability" designations for biosimilar products, and is expected to continue doing so in the future. These designations could – subject to state law requirements – enable pharmacies to substitute biosimilars for innovator biological products. Given the importance of biologic products to our clinical-stage pipeline, such regulation could have a material adverse effect on our business. See Item 1, "Business—Competition" and "Business—Research and Development," for more details.</w:t>
      </w:r>
    </w:p>
    <w:p>
      <w:pPr>
        <w:spacing w:after="0" w:line="76" w:lineRule="exact"/>
        <w:rPr>
          <w:rFonts w:ascii="Arial" w:cs="Arial" w:eastAsia="Arial" w:hAnsi="Arial"/>
          <w:sz w:val="17"/>
          <w:szCs w:val="17"/>
          <w:color w:val="auto"/>
        </w:rPr>
      </w:pPr>
    </w:p>
    <w:p>
      <w:pPr>
        <w:ind w:left="332" w:right="80"/>
        <w:spacing w:after="0" w:line="254" w:lineRule="auto"/>
        <w:rPr>
          <w:rFonts w:ascii="Arial" w:cs="Arial" w:eastAsia="Arial" w:hAnsi="Arial"/>
          <w:sz w:val="17"/>
          <w:szCs w:val="17"/>
          <w:color w:val="auto"/>
        </w:rPr>
      </w:pPr>
      <w:r>
        <w:rPr>
          <w:rFonts w:ascii="Arial" w:cs="Arial" w:eastAsia="Arial" w:hAnsi="Arial"/>
          <w:sz w:val="18"/>
          <w:szCs w:val="18"/>
          <w:color w:val="auto"/>
        </w:rPr>
        <w:t>In addition, we rely on our ability to attract, engage, and retain highly qualified and skilled personnel in order to compete effectively. To continue to commercialize our products, and advance the research, development, and commercialization of additional modalities, indications, and product candidates, we have expanded, and will likely need to further expand, our workforce, including in the areas of manufacturing, clinical trials management, regulatory affairs, and sales and marketing, both in and outside the U.S. We continue to face intense competition for qualified individuals from numerous multinational pharmaceutical companies, biotechnology companies, academic and other research institutions, as well as employers near our manufacturing and other facilities, which has and may continue to increase our labor costs. Our ability to attract and retain talent in our increasingly competitive environment may be further complicated by evolving employment trends, including as related to increased preferences for remote or flexible work arrangements; public health outbreaks, epidemics, or pandemics, such as the COVID-19 pandemic; political, social, civil, or cultural unrest; emergence or escalation of, and responses to, war and unrest; or the threat of or perceived potential for any of the foregoing events. Our failure to compete effectively for talent could negatively affect sales of our current and any future</w:t>
      </w:r>
    </w:p>
    <w:p>
      <w:pPr>
        <w:spacing w:after="0" w:line="200" w:lineRule="exact"/>
        <w:rPr>
          <w:sz w:val="20"/>
          <w:szCs w:val="20"/>
          <w:color w:val="auto"/>
        </w:rPr>
      </w:pPr>
    </w:p>
    <w:p>
      <w:pPr>
        <w:spacing w:after="0" w:line="3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26" w:name="page27"/>
    <w:bookmarkEnd w:id="26"/>
    <w:p>
      <w:pPr>
        <w:ind w:left="332"/>
        <w:spacing w:after="0"/>
        <w:rPr>
          <w:sz w:val="20"/>
          <w:szCs w:val="20"/>
          <w:color w:val="auto"/>
        </w:rPr>
      </w:pPr>
      <w:r>
        <w:rPr>
          <w:rFonts w:ascii="Arial" w:cs="Arial" w:eastAsia="Arial" w:hAnsi="Arial"/>
          <w:sz w:val="18"/>
          <w:szCs w:val="18"/>
          <w:color w:val="auto"/>
        </w:rPr>
        <w:t>approved products, and could result in material financial, legal, commercial, or reputational harm to our business.</w:t>
      </w:r>
    </w:p>
    <w:p>
      <w:pPr>
        <w:spacing w:after="0" w:line="117" w:lineRule="exact"/>
        <w:rPr>
          <w:sz w:val="20"/>
          <w:szCs w:val="20"/>
          <w:color w:val="auto"/>
        </w:rPr>
      </w:pPr>
    </w:p>
    <w:p>
      <w:pPr>
        <w:ind w:left="332" w:right="60" w:hanging="332"/>
        <w:spacing w:after="0" w:line="273" w:lineRule="auto"/>
        <w:tabs>
          <w:tab w:leader="none" w:pos="32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Failure, inadequacy, breach of, or unauthorized access to, our IT systems or those of our third-party service providers, unauthorized access to our confidential information, or violations of data protection laws, could each result in material harm to our business and reputation.</w:t>
      </w:r>
    </w:p>
    <w:p>
      <w:pPr>
        <w:spacing w:after="0" w:line="49" w:lineRule="exact"/>
        <w:rPr>
          <w:rFonts w:ascii="Arial" w:cs="Arial" w:eastAsia="Arial" w:hAnsi="Arial"/>
          <w:sz w:val="18"/>
          <w:szCs w:val="18"/>
          <w:b w:val="1"/>
          <w:bCs w:val="1"/>
          <w:color w:val="auto"/>
        </w:rPr>
      </w:pPr>
    </w:p>
    <w:p>
      <w:pPr>
        <w:ind w:left="332"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great deal of confidential information owned by us or our business partners or other third parties is stored in our information systems, networks, and facilities or those of third parties. This includes valuable trade secrets and intellectual property, clinical trial information,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infrastructure, and hardware (together, IT systems), some of which are within our control and some of which are within the control of third parties, to accumulate, process, store, and transmit large amounts of confidential information and other data. We are subject to a variety of continuously evolving and developing laws and regulations around the world related to privacy, data protection, and data security. Maintaining the security, confidentiality, integrity, and availability of our IT systems and confidential information is vital to our business. Our failure, or the failure of our third-party service providers, to protect and maintain the security, confidentiality, integrity, and availability of our (or their) IT systems and our confidential information and other data could significantly harm our reputation as well as result in significant costs, including those related to fines, litigation, and obligations to comply with applicable data breach laws.</w:t>
      </w:r>
    </w:p>
    <w:p>
      <w:pPr>
        <w:spacing w:after="0" w:line="81" w:lineRule="exact"/>
        <w:rPr>
          <w:rFonts w:ascii="Arial" w:cs="Arial" w:eastAsia="Arial" w:hAnsi="Arial"/>
          <w:sz w:val="18"/>
          <w:szCs w:val="18"/>
          <w:b w:val="1"/>
          <w:bCs w:val="1"/>
          <w:color w:val="auto"/>
        </w:rPr>
      </w:pPr>
    </w:p>
    <w:p>
      <w:pPr>
        <w:ind w:left="33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IT systems are vulnerable to system inadequacies, operating failures, service interruptions or failures, security breaches, malicious intrusions, or cyber-attacks from a variety of sources, which may remain undetected for significant periods of time. Such vulnerabilities, inadequacies, or failures are in many cases more acute for IT systems associated with recently acquired businesses, and we may be unable to address such vulnerabilities, inadequacies, or failures immediately after acquiring a business. As a result, our newly acquired businesses could be more vulnerable to potential interruptions, breaches, intrusions, or attacks.</w:t>
      </w:r>
    </w:p>
    <w:p>
      <w:pPr>
        <w:spacing w:after="0" w:line="71" w:lineRule="exact"/>
        <w:rPr>
          <w:rFonts w:ascii="Arial" w:cs="Arial" w:eastAsia="Arial" w:hAnsi="Arial"/>
          <w:sz w:val="18"/>
          <w:szCs w:val="18"/>
          <w:b w:val="1"/>
          <w:bCs w:val="1"/>
          <w:color w:val="auto"/>
        </w:rPr>
      </w:pPr>
    </w:p>
    <w:p>
      <w:pPr>
        <w:ind w:left="332"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Cyber-attacks are growing in their frequency, sophistication, and intensity, and are becoming increasingly difficult to detect, mitigate, or prevent. Cyber-attacks come in many forms, including the deployment of harmful malware, exploitation of vulnerabilities (including those of third-party software or systems), denial-of-service attacks, the use of social engineering, and other means to compromise the confidentiality, integrity, and availability of our IT systems, confidential information, and other data. Breaches resulting in the compromise, disruption, degradation, manipulation, loss, theft, destruction, or unauthorized disclosure or use of confidential information, or the unauthorized access to, disruption of, or interference with our IT systems, products and services, can occur in a variety of ways, including negligent or wrongful conduct by employees or others with permitted access to our systems and information, or wrongful conduct by hackers, competitors, certain governments or nation-states, or other current or former company personnel. Our third-party partners, including third-party providers of data hosting or cloud services, as well as suppliers, distributors, alliances, and other third parties with whom we may share data, face similar risks, which could affect us directly or indirectly. Unassociated third parties present further risks, including by propagating misinformation related to our products, business, and industry. The healthcare industry has been and continues to be a target for cyber-attacks, and the number of threats has increased over time. Numerous federal agencies that monitor and regulate internet and cyber-crime have issued guidance, alerts and directives warning of software vulnerabilities that require immediate patching, malicious actors targeting healthcare-related systems and nation-state sponsored hacking designed to steal valuable information.</w:t>
      </w:r>
    </w:p>
    <w:p>
      <w:pPr>
        <w:spacing w:after="0" w:line="75"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failure, inadequacy, or breach of our IT systems or business processes, the compromise, disruption, degradation, manipulation, loss, theft, destruction, or unauthorized access to, disclosure or use of, confidential information, or the unauthorized access to, disruption of, or interference with our products and services that rely on IT systems or business processes, could impair our ability to secure and maintain intellectual property rights; result in a product manufacturing interruption or failure, or in the interruption or failure of products or services that rely on IT systems or business processes; damage our operations, customer relationships, or reputation; undermine integration activities or otherwise delay the launch of acquired products; result in unfavorable clinical trial results by virtue of incorrect or unreliable data; and/or cause us to lose trade secrets or other competitive advantages. Unauthorized disclosure of personally identifiable information could expose us to significant sanctions for violations of data privacy laws and</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27" w:name="page28"/>
    <w:bookmarkEnd w:id="27"/>
    <w:p>
      <w:pPr>
        <w:ind w:left="332" w:right="320"/>
        <w:spacing w:after="0" w:line="287" w:lineRule="auto"/>
        <w:rPr>
          <w:sz w:val="20"/>
          <w:szCs w:val="20"/>
          <w:color w:val="auto"/>
        </w:rPr>
      </w:pPr>
      <w:r>
        <w:rPr>
          <w:rFonts w:ascii="Arial" w:cs="Arial" w:eastAsia="Arial" w:hAnsi="Arial"/>
          <w:sz w:val="18"/>
          <w:szCs w:val="18"/>
          <w:color w:val="auto"/>
        </w:rPr>
        <w:t>regulations around the world and could damage public trust in our company. In addition, IT system security in jurisdictions outside the U.S. is weaker and may result in additional costs, uncertainties, and risks.</w:t>
      </w:r>
    </w:p>
    <w:p>
      <w:pPr>
        <w:spacing w:after="0" w:line="45" w:lineRule="exact"/>
        <w:rPr>
          <w:sz w:val="20"/>
          <w:szCs w:val="20"/>
          <w:color w:val="auto"/>
        </w:rPr>
      </w:pPr>
    </w:p>
    <w:p>
      <w:pPr>
        <w:ind w:left="332"/>
        <w:spacing w:after="0" w:line="255" w:lineRule="auto"/>
        <w:rPr>
          <w:sz w:val="20"/>
          <w:szCs w:val="20"/>
          <w:color w:val="auto"/>
        </w:rPr>
      </w:pPr>
      <w:r>
        <w:rPr>
          <w:rFonts w:ascii="Arial" w:cs="Arial" w:eastAsia="Arial" w:hAnsi="Arial"/>
          <w:sz w:val="18"/>
          <w:szCs w:val="18"/>
          <w:color w:val="auto"/>
        </w:rPr>
        <w:t>To date, system inadequacies, operating failures, unauthorized access, service interruptions or failures, security breaches, malicious intrusions, cyber-attacks, and the compromise, disruption, degradation, manipulation, loss, theft, destruction, or unauthorized disclosure or use of confidential information have not had a material impact on our consolidated results of operations. We maintain cyber liability insurance; however, this insurance may not be sufficient to cover the financial, legal, business, or reputational losses that may result from an interruption or breach of our IT systems. We continue to implement measures in an effort to protect, detect, respond to, and minimize or prevent these risks and to enhance the resiliency of our IT systems; however, these measures may not be successful and we may fail to detect or remediate security breaches, malicious intrusions, cyber-attacks, or other compromises of our systems. Any of these events could result in material financial, legal, commercial, or reputational harm to our business.</w:t>
      </w:r>
    </w:p>
    <w:p>
      <w:pPr>
        <w:spacing w:after="0" w:line="77" w:lineRule="exact"/>
        <w:rPr>
          <w:sz w:val="20"/>
          <w:szCs w:val="20"/>
          <w:color w:val="auto"/>
        </w:rPr>
      </w:pPr>
    </w:p>
    <w:p>
      <w:pPr>
        <w:ind w:left="332" w:right="260" w:hanging="332"/>
        <w:spacing w:after="0" w:line="296" w:lineRule="auto"/>
        <w:tabs>
          <w:tab w:leader="none" w:pos="327"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Economic downturns or international trade and other global disruptions or disputes could adversely affect our business and operating results.</w:t>
      </w:r>
    </w:p>
    <w:p>
      <w:pPr>
        <w:spacing w:after="0" w:line="29" w:lineRule="exact"/>
        <w:rPr>
          <w:rFonts w:ascii="Arial" w:cs="Arial" w:eastAsia="Arial" w:hAnsi="Arial"/>
          <w:sz w:val="18"/>
          <w:szCs w:val="18"/>
          <w:b w:val="1"/>
          <w:bCs w:val="1"/>
          <w:color w:val="auto"/>
        </w:rPr>
      </w:pPr>
    </w:p>
    <w:p>
      <w:pPr>
        <w:ind w:left="33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Economic slowdowns could lead to decreased utilization of our products, affecting our sales. Declining tax revenues and increased government spending on other programs attributable to economic downturns increase the pressure on governments to reduce healthcare spending, leading to increased control of drug prices or lower utilization. Additionally, some customers, including governments or other entities reliant upon government funding, may be unable to pay for our products fully or in a timely manner. Also, if our customers, suppliers, or collaboration partners experience financial difficulties, we could experience slower customer collections, greater bad debt expense, and performance defaults by suppliers or collaboration partners. Similarly significant economic downturns could limit our ability to access capital markets.</w:t>
      </w:r>
    </w:p>
    <w:p>
      <w:pPr>
        <w:spacing w:after="0" w:line="74" w:lineRule="exact"/>
        <w:rPr>
          <w:rFonts w:ascii="Arial" w:cs="Arial" w:eastAsia="Arial" w:hAnsi="Arial"/>
          <w:sz w:val="18"/>
          <w:szCs w:val="18"/>
          <w:b w:val="1"/>
          <w:bCs w:val="1"/>
          <w:color w:val="auto"/>
        </w:rPr>
      </w:pPr>
    </w:p>
    <w:p>
      <w:pPr>
        <w:ind w:left="332"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addition, significant portions of our business are conducted in Europe (including the United Kingdom), Asia (including China), and other international geographies. Trade and other global disputes and interruptions in international relationships, including related to tariffs, trade protection measures, import or export licensing requirements, the imposition of trade sanctions or similar restrictions by the U.S. or other governments, unrest or war, as well as public health outbreaks, epidemics, or pandemics, such as the COVID-19 pandemic, affect our ability to do business. For example, tensions between the U.S. and China have led to a series of tariffs and sanctions being imposed by the U.S. on imports from China mainland, as well as other business restrictions. As a further example, the financial impact of higher energy prices, defense spending, and inflation due, in part, to the Russia-Ukraine war and resulting geopolitical and economic disruptions, particularly following the COVID-19 pandemic, has further exacerbated financial pressures on governments with single-payer or government funded healthcare systems, leading to increased impetus for increases in rebates, clawbacks, and other reforms to reimbursement systems, particularly in Europe. These and similar events have adversely affected, and may continue to adversely affect, us, our business partners, and our customers. For more details, see Item 1, "Business—Regulations and Private Payer Actions Affecting Pharmaceutical Pricing, Reimbursement, and Access."</w:t>
      </w:r>
    </w:p>
    <w:p>
      <w:pPr>
        <w:spacing w:after="0" w:line="81" w:lineRule="exact"/>
        <w:rPr>
          <w:rFonts w:ascii="Arial" w:cs="Arial" w:eastAsia="Arial" w:hAnsi="Arial"/>
          <w:sz w:val="18"/>
          <w:szCs w:val="18"/>
          <w:b w:val="1"/>
          <w:bCs w:val="1"/>
          <w:color w:val="auto"/>
        </w:rPr>
      </w:pPr>
    </w:p>
    <w:p>
      <w:pPr>
        <w:ind w:left="332" w:right="240" w:hanging="332"/>
        <w:spacing w:after="0" w:line="296" w:lineRule="auto"/>
        <w:tabs>
          <w:tab w:leader="none" w:pos="32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our revenues, income, and reputation.</w:t>
      </w:r>
    </w:p>
    <w:p>
      <w:pPr>
        <w:spacing w:after="0" w:line="29" w:lineRule="exact"/>
        <w:rPr>
          <w:rFonts w:ascii="Arial" w:cs="Arial" w:eastAsia="Arial" w:hAnsi="Arial"/>
          <w:sz w:val="18"/>
          <w:szCs w:val="18"/>
          <w:color w:val="auto"/>
        </w:rPr>
      </w:pPr>
    </w:p>
    <w:p>
      <w:pPr>
        <w:ind w:left="332"/>
        <w:spacing w:after="0" w:line="255" w:lineRule="auto"/>
        <w:rPr>
          <w:rFonts w:ascii="Arial" w:cs="Arial" w:eastAsia="Arial" w:hAnsi="Arial"/>
          <w:sz w:val="18"/>
          <w:szCs w:val="18"/>
          <w:color w:val="auto"/>
        </w:rPr>
      </w:pPr>
      <w:r>
        <w:rPr>
          <w:rFonts w:ascii="Arial" w:cs="Arial" w:eastAsia="Arial" w:hAnsi="Arial"/>
          <w:sz w:val="18"/>
          <w:szCs w:val="18"/>
          <w:color w:val="auto"/>
        </w:rPr>
        <w:t>Pharmaceutical products receive regulatory approval based on data obtained in controlled clinical trials of limited duration. After approval, the products are used for longer periods of time by much larger numbers of patients. Accordingly,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or other measures that could reduce the product's market acceptance and result in declining sales. Serious safety or efficacy issues that arise after product approval have, and could in the future, result in voluntary or mandatory product recalls or withdrawals from the market. Safety issues have, and could in the future, result in costly product liability claims.</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28" w:name="page29"/>
    <w:bookmarkEnd w:id="28"/>
    <w:p>
      <w:pPr>
        <w:ind w:left="332" w:right="440" w:hanging="332"/>
        <w:spacing w:after="0" w:line="273" w:lineRule="auto"/>
        <w:tabs>
          <w:tab w:leader="none" w:pos="327"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face litigation and investigations related to our products, how we price our products, and how we commercialize our products; we could face large numbers of claims in the future, which could adversely affect our business, and we are self-insured for such matters.</w:t>
      </w:r>
    </w:p>
    <w:p>
      <w:pPr>
        <w:spacing w:after="0" w:line="49" w:lineRule="exact"/>
        <w:rPr>
          <w:rFonts w:ascii="Arial" w:cs="Arial" w:eastAsia="Arial" w:hAnsi="Arial"/>
          <w:sz w:val="18"/>
          <w:szCs w:val="18"/>
          <w:b w:val="1"/>
          <w:bCs w:val="1"/>
          <w:color w:val="auto"/>
        </w:rPr>
      </w:pPr>
    </w:p>
    <w:p>
      <w:pPr>
        <w:ind w:left="332"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claims involving various current and historical products, litigation and investigations. These claims relate to how we commercialize and/or how we price our products, including relating to our 340B drug pricing program, as well as contractual matters and other disputes. See Item 8, "Financial Statements and Supplementary Data—Note 16: Contingencies" for more information on our current product liability litigation, as well as pricing and other litigation, investigations, and inquiries. Because of the nature of pharmaceutical products, we are, and could in the future become, subject to large numbers of product liability claims for our previous, current, or future products, or to further litigation or investigations, including related to pricing or other commercial practices. Such matters could affect our results of operations or require us to recognize substantial charges to resolve and, if involving marketed products, could adversely affect sales of the product and our consolidated results of operations in any given period. Due to a very restrictive market for liability insurance, we are self-insured for litigation liability losses for all of our currently marketed products, as well as for litigation or investigations related to our pricing practices or other similar matters.</w:t>
      </w:r>
    </w:p>
    <w:p>
      <w:pPr>
        <w:spacing w:after="0" w:line="77" w:lineRule="exact"/>
        <w:rPr>
          <w:rFonts w:ascii="Arial" w:cs="Arial" w:eastAsia="Arial" w:hAnsi="Arial"/>
          <w:sz w:val="18"/>
          <w:szCs w:val="18"/>
          <w:b w:val="1"/>
          <w:bCs w:val="1"/>
          <w:color w:val="auto"/>
        </w:rPr>
      </w:pPr>
    </w:p>
    <w:p>
      <w:pPr>
        <w:ind w:left="312" w:hanging="312"/>
        <w:spacing w:after="0"/>
        <w:tabs>
          <w:tab w:leader="none" w:pos="31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quality, or supply chain difficulties, disruptions, or shortages could lead to product supply problems.</w:t>
      </w:r>
    </w:p>
    <w:p>
      <w:pPr>
        <w:spacing w:after="0" w:line="117" w:lineRule="exact"/>
        <w:rPr>
          <w:rFonts w:ascii="Arial" w:cs="Arial" w:eastAsia="Arial" w:hAnsi="Arial"/>
          <w:sz w:val="18"/>
          <w:szCs w:val="18"/>
          <w:b w:val="1"/>
          <w:bCs w:val="1"/>
          <w:color w:val="auto"/>
        </w:rPr>
      </w:pPr>
    </w:p>
    <w:p>
      <w:pPr>
        <w:ind w:left="332"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Pharmaceutical manufacturing is complex and highly regulated. Manufacturing or quality assurance difficulties at our facilities or those of our contractors and suppliers, the failure or refusal of a supplier or contract manufacturer to supply contracted quantities, or increases in demand on a supplier could result in delays and disruptions in the manufacturing, distribution, and sale of our products and/or product shortages, leading to lost revenue. In select cases, supply constraints may also lead to pauses, discontinuations or other product availability issues in one or more markets, which could have a material adverse effect on our consolidated results of operations and cash flows. Further, cost inflation and global transportation and logistics challenges, as well as tight labor markets, have caused, and in the future may cause, delays in, and/or increase costs related to, distribution of our medicines, the construction or other acquisition of manufacturing capacity, procurement activity, and supplier or contract manufacturer arrangements. Such difficulties, disruptions, or challenges could result from quality, oversight, or regulatory compliance problems; natural disasters (including increased instances of natural disasters or other events that may be due to climate change), public health outbreaks, epidemics, or pandemics (such as the COVID-19 pandemic); periods of global economic downturn or uncertainty; emergence or escalation of, and responses to, war or unrest (including the Russia-Ukraine war); equipment, mechanical, data, or IT system vulnerabilities, such as system inadequacies, inadequate controls or procedures, operating failures, service interruptions or failures, security breaches, malicious intrusions, or cyber-attacks from a variety of sources; labor shortages; contractual disputes with our suppliers and contract manufacturers; or inability to obtain single-source or other raw or intermediate materials. Regional dependencies may in some cases accentuate risks related to manufacturing and supply. For example, we, and the pharmaceutical industry generally, depend on China-based partners for integral chemical synthesis, reagents, starting materials, and ingredients.</w:t>
      </w:r>
    </w:p>
    <w:p>
      <w:pPr>
        <w:spacing w:after="0" w:line="85" w:lineRule="exact"/>
        <w:rPr>
          <w:rFonts w:ascii="Arial" w:cs="Arial" w:eastAsia="Arial" w:hAnsi="Arial"/>
          <w:sz w:val="18"/>
          <w:szCs w:val="18"/>
          <w:b w:val="1"/>
          <w:bCs w:val="1"/>
          <w:color w:val="auto"/>
        </w:rPr>
      </w:pPr>
    </w:p>
    <w:p>
      <w:pPr>
        <w:ind w:left="3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Difficulties in predicting or variability in demand for our products and those of our competitors and the very long lead times necessary for the expansion and regulatory qualification of pharmaceutical manufacturing capacity have resulted, and in the future may result, in difficulty meeting demand for, or disruptions, shortages, and higher costs in the supply of, our products. For example, we have experienced challenges in meeting demand for our incretin products, partially due to the limited availability of competitor therapies. Despite our ongoing efforts to meet significant expected demand by obtaining additional internal and contracted manufacturing capacity, there can be no assurances that such capacity increases will be realized as expected. Delays or challenges in operationalizing additional manufacturing capacity would limit our ability to capitalize on expected demand. Conversely, unexpected contingencies that limit demand for our incretin products would undermine our ability to realize the full benefit of significant capital expenditures that we have incurred, and expect to continue to incur, to augment manufacturing capacity and may also subject us to contractual payment obligations. The foregoing risks and uncertainties could negatively impact our consolidated results of operations and reputation. See Item 1, "Business— Raw Materials and Product Supply," and Item 7, "Management's Discussion and Analysis—Financial Condition and Liquidity" for more details.</w:t>
      </w:r>
    </w:p>
    <w:p>
      <w:pPr>
        <w:spacing w:after="0" w:line="200" w:lineRule="exact"/>
        <w:rPr>
          <w:sz w:val="20"/>
          <w:szCs w:val="20"/>
          <w:color w:val="auto"/>
        </w:rPr>
      </w:pPr>
    </w:p>
    <w:p>
      <w:pPr>
        <w:spacing w:after="0" w:line="36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01" w:right="359" w:bottom="1440" w:gutter="0" w:footer="0" w:header="0"/>
        </w:sectPr>
      </w:pPr>
    </w:p>
    <w:bookmarkStart w:id="29" w:name="page30"/>
    <w:bookmarkEnd w:id="29"/>
    <w:p>
      <w:pPr>
        <w:ind w:left="332" w:right="20" w:hanging="332"/>
        <w:spacing w:after="0" w:line="296" w:lineRule="auto"/>
        <w:tabs>
          <w:tab w:leader="none" w:pos="32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 derive a significant percentage of our total revenue from relatively few products and sell our products through increasingly consolidated supply chain stakeholders, which may subject us to, or exacerbate, various risks.</w:t>
      </w:r>
    </w:p>
    <w:p>
      <w:pPr>
        <w:spacing w:after="0" w:line="29"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derived direct product and/or alliance revenues of more than $1 billion for each of Trulicity, Verzenio, Taltz, Jardiance (including Glyxambi, Synjardy, and Trijardy XR), Humalog (including Insulin Lispro), our COVID-19 antibodies, and Humulin that collectively accounted for 69 percent of our total revenues in 2022. In particular, Trulicity accounted for 26 percent of our total revenues in 2022 and we expect GLP-1s, including Mounjaro, which we launched in 2022, to represent a significant and growing portion of our business. Loss of patent protection, changes in prescription rates, material product liability litigation, unexpected side effects or safety concerns, significant changes in demand, regulatory proceedings, negative publicity affecting doctor or patient confidence, pressure from existing or new competitive products, changes in labeling, pricing, and access pressures, or supply shortages or disruptions for these products or any of our other major products could materially impact our results of operations.</w:t>
      </w:r>
    </w:p>
    <w:p>
      <w:pPr>
        <w:spacing w:after="0" w:line="76" w:lineRule="exact"/>
        <w:rPr>
          <w:rFonts w:ascii="Arial" w:cs="Arial" w:eastAsia="Arial" w:hAnsi="Arial"/>
          <w:sz w:val="18"/>
          <w:szCs w:val="18"/>
          <w:b w:val="1"/>
          <w:bCs w:val="1"/>
          <w:color w:val="auto"/>
        </w:rPr>
      </w:pPr>
    </w:p>
    <w:p>
      <w:pPr>
        <w:ind w:left="332" w:right="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addition, in the U.S., most of our products are distributed through wholesalers and if one of these significant wholesalers should encounter financial or other difficulties, it might decrease the amount of business the wholesaler does with us or we might be unable to timely collect the amounts that the wholesaler owes us, which could negatively impact our results of operations. See Item 1, “Business— Marketing and Distribution,” for more details.</w:t>
      </w:r>
    </w:p>
    <w:p>
      <w:pPr>
        <w:spacing w:after="0" w:line="68"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Moreover, the negotiating power of health plans, managed care organizations, pharmacy benefit managers, and other supply chain stakeholders has increased due to consolidation, regulatory, and other market impacts, and they, along with governments, increasingly employ formularies to control costs and encourage utilization of certain drugs, including through the use of formulary inclusion, or favorable formulary placement. Such stakeholders have also increasingly imposed utilization management tools favoring the use of generic products. As these practices expand, including due to potential further consolidation of U.S. private third-party payers, we may face difficulty in obtaining or maintaining timely or adequate pricing or formulary placement of our products. We expect that consolidation of supply chain stakeholders will continue to increase competitive and pricing pressures on pharmaceutical manufacturers. For additional information on pricing and reimbursement for our pharmaceutical products, see "U.S. Private Sector Dynamics" and "Regulations and Private Payer Actions Affecting Pharmaceutical Pricing, Reimbursement, and Access—U.S."</w:t>
      </w:r>
    </w:p>
    <w:p>
      <w:pPr>
        <w:spacing w:after="0" w:line="72" w:lineRule="exact"/>
        <w:rPr>
          <w:rFonts w:ascii="Arial" w:cs="Arial" w:eastAsia="Arial" w:hAnsi="Arial"/>
          <w:sz w:val="18"/>
          <w:szCs w:val="18"/>
          <w:b w:val="1"/>
          <w:bCs w:val="1"/>
          <w:color w:val="auto"/>
        </w:rPr>
      </w:pPr>
    </w:p>
    <w:p>
      <w:pPr>
        <w:ind w:left="312" w:hanging="312"/>
        <w:spacing w:after="0"/>
        <w:tabs>
          <w:tab w:leader="none" w:pos="31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17" w:lineRule="exact"/>
        <w:rPr>
          <w:rFonts w:ascii="Arial" w:cs="Arial" w:eastAsia="Arial" w:hAnsi="Arial"/>
          <w:sz w:val="18"/>
          <w:szCs w:val="18"/>
          <w:b w:val="1"/>
          <w:bCs w:val="1"/>
          <w:color w:val="auto"/>
        </w:rPr>
      </w:pPr>
    </w:p>
    <w:p>
      <w:pPr>
        <w:ind w:left="332"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rely on third parties, including suppliers, distributors, alliances, and collaborations with other pharmaceutical and biotechnology companies, and third-party service providers, for selected aspects of product and clinical development, manufacturing, commercialization, hosting of, and support for, IT systems, product distribution, and certain financial transactional processes. As examples, we outsource the day-to-day management and oversight of some of our clinical trials to contract research organizations and the distribution of our products through logistics providers. Outsourcing involves many risks, including the risk that the third parties may not perform to our standards or legal requirements, including applicable requirements for diversity in clinical trials; may not produce reliable results; may not perform in a timely manner; may not maintain the confidentiality, integrity, and availability of confidential and proprietary information relating to us, our clinical trial subjects, or patients; may experience disruption or fail to perform due to IT system vulnerabilities, breaches, cyber-attacks, or inadequate controls or procedures; may be unable to satisfy their commitments to us in which case we may not be able to achieve acceptable alternative sourcing; or may fail to perform at all. The foregoing risks may be heightened in jurisdictions outside the U.S., where we may have fewer alternative providers as well as face additional costs, uncertainties, and risks. Failure of third parties to meet their contractual, regulatory, confidentiality, privacy, security, or other obligations to us, our clinical trial subjects, and our patients could have a material adverse effect on our business.</w:t>
      </w:r>
    </w:p>
    <w:p>
      <w:pPr>
        <w:spacing w:after="0" w:line="79" w:lineRule="exact"/>
        <w:rPr>
          <w:rFonts w:ascii="Arial" w:cs="Arial" w:eastAsia="Arial" w:hAnsi="Arial"/>
          <w:sz w:val="18"/>
          <w:szCs w:val="18"/>
          <w:b w:val="1"/>
          <w:bCs w:val="1"/>
          <w:color w:val="auto"/>
        </w:rPr>
      </w:pPr>
    </w:p>
    <w:p>
      <w:pPr>
        <w:ind w:left="332" w:right="200" w:hanging="332"/>
        <w:spacing w:after="0" w:line="296" w:lineRule="auto"/>
        <w:tabs>
          <w:tab w:leader="none" w:pos="32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Public health outbreaks, epidemics, or pandemics, such as the COVID-19 pandemic, have adversely impacted and may in the future adversely impact our business and operations.</w:t>
      </w:r>
    </w:p>
    <w:p>
      <w:pPr>
        <w:spacing w:after="0" w:line="29" w:lineRule="exact"/>
        <w:rPr>
          <w:rFonts w:ascii="Arial" w:cs="Arial" w:eastAsia="Arial" w:hAnsi="Arial"/>
          <w:sz w:val="18"/>
          <w:szCs w:val="18"/>
          <w:b w:val="1"/>
          <w:bCs w:val="1"/>
          <w:color w:val="auto"/>
        </w:rPr>
      </w:pPr>
    </w:p>
    <w:p>
      <w:pPr>
        <w:ind w:left="332" w:right="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Actual or threatened public health outbreaks, epidemics, or pandemics, such as the COVID-19 pandemic, have adversely impacted and may in the future adversely impact our business and operations. The</w:t>
      </w:r>
    </w:p>
    <w:p>
      <w:pPr>
        <w:spacing w:after="0" w:line="200" w:lineRule="exact"/>
        <w:rPr>
          <w:sz w:val="20"/>
          <w:szCs w:val="20"/>
          <w:color w:val="auto"/>
        </w:rPr>
      </w:pPr>
    </w:p>
    <w:p>
      <w:pPr>
        <w:spacing w:after="0" w:line="3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201" w:right="379" w:bottom="1440" w:gutter="0" w:footer="0" w:header="0"/>
        </w:sectPr>
      </w:pPr>
    </w:p>
    <w:bookmarkStart w:id="30" w:name="page31"/>
    <w:bookmarkEnd w:id="30"/>
    <w:p>
      <w:pPr>
        <w:ind w:left="340" w:right="460"/>
        <w:spacing w:after="0" w:line="287" w:lineRule="auto"/>
        <w:rPr>
          <w:sz w:val="20"/>
          <w:szCs w:val="20"/>
          <w:color w:val="auto"/>
        </w:rPr>
      </w:pPr>
      <w:r>
        <w:rPr>
          <w:rFonts w:ascii="Arial" w:cs="Arial" w:eastAsia="Arial" w:hAnsi="Arial"/>
          <w:sz w:val="18"/>
          <w:szCs w:val="18"/>
          <w:color w:val="auto"/>
        </w:rPr>
        <w:t>COVID-19 pandemic has adversely impacted and may continue to adversely impact our business and operations across markets to varying and fluctuating degrees, including as a result of:</w:t>
      </w:r>
    </w:p>
    <w:p>
      <w:pPr>
        <w:spacing w:after="0" w:line="45" w:lineRule="exact"/>
        <w:rPr>
          <w:sz w:val="20"/>
          <w:szCs w:val="20"/>
          <w:color w:val="auto"/>
        </w:rPr>
      </w:pPr>
    </w:p>
    <w:p>
      <w:pPr>
        <w:ind w:left="660" w:right="22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inflation and strain on global transportation, manufacturing, and labor markets, which have negatively impacted development, manufacturing, supply, distribution, and sales of our medicines, including through increased costs to provide, and in some cases disruptions in supply or shortages of, our medicines.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Fewer in-person interactions among patients and healthcare providers and our employees with healthcare professionals in certain markets.</w:t>
      </w:r>
    </w:p>
    <w:p>
      <w:pPr>
        <w:spacing w:after="0" w:line="44"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pressures, rebates, clawbacks, and other changes in reimbursement policies and programs resulting, in part, from the financial strain of the COVID-19 pandemic on government-funded healthcare systems around the world.</w:t>
      </w:r>
    </w:p>
    <w:p>
      <w:pPr>
        <w:spacing w:after="0" w:line="44"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our COVID-19 therapies, including heightened regulatory scrutiny of our manufacturing practices, quality assurance, and similar regulations; restrictions on administration that limit widespread and timely access to our therapies, and risks related to handling, return, and/or refund of product after delivery by us; concerns related to expedited authorization of restricted distribution of products with less than typical safety and efficacy data; and fluctuations in, or elimination of, demand for our COVID-19 therapies, including based on the availability of superior or competitive therapies, preventative measures such as vaccines and antiviral medicines, mutations of the virus impacting effectiveness, revocations or restrictions on EUAs, reaching endemic status in different jurisdictions, reduced government and payer funding for COVID-19 therapies, the unpredictable nature of pandemics, and other developments.</w:t>
      </w:r>
    </w:p>
    <w:p>
      <w:pPr>
        <w:spacing w:after="0" w:line="77"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These and other risks related to the COVID-19 pandemic and other actual or threatened public health outbreaks, epidemics, or pandemics could affect other aspects of our business or intensify other risks inherent in our business. The degree to which the COVID-19 pandemic could continue to affect us and other actual or threatened public health outbreaks, epidemics, or pandemics could affect us, will depend on developments that are highly uncertain and beyond our knowledge or control, including the duration and severity of the public health threat, the actions taken to reduce its transmission, the introduction and spread of new variants, the degree and extent of government restrictions on economic activity, government spending, and access to healthcare, and the speed with which, and extent to which, economic and operating conditions recover. Should the COVID-19 pandemic, or any other actual or threatened public health outbreak, epidemic, or pandemic, as well as any associated or resulting cost of inflation, supply chain disruption, labor market impact, recession, depression, or other negative contingency, continue for a prolonged period, these risks could be exacerbated, causing further impact on our business and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7" w:lineRule="exact"/>
        <w:rPr>
          <w:sz w:val="20"/>
          <w:szCs w:val="20"/>
          <w:color w:val="auto"/>
        </w:rPr>
      </w:pPr>
    </w:p>
    <w:p>
      <w:pPr>
        <w:ind w:left="340" w:right="180" w:hanging="332"/>
        <w:spacing w:after="0" w:line="273" w:lineRule="auto"/>
        <w:tabs>
          <w:tab w:leader="none" w:pos="33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Our business is subject to increasing government price controls and other public and private restrictions on pricing, reimbursement, and access for our drugs, which could have a material adverse effect on our results of operations, reputation or business.</w:t>
      </w:r>
    </w:p>
    <w:p>
      <w:pPr>
        <w:spacing w:after="0" w:line="49" w:lineRule="exact"/>
        <w:rPr>
          <w:rFonts w:ascii="Arial" w:cs="Arial" w:eastAsia="Arial" w:hAnsi="Arial"/>
          <w:sz w:val="18"/>
          <w:szCs w:val="18"/>
          <w:b w:val="1"/>
          <w:bCs w:val="1"/>
          <w:color w:val="auto"/>
        </w:rPr>
      </w:pPr>
    </w:p>
    <w:p>
      <w:pPr>
        <w:ind w:left="34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Public and private payers continue to take aggressive steps to control their expenditures for pharmaceuticals by placing restrictions on pricing and reimbursement for, and patient access to, our medicines. These pressures have negatively affected, and could continue to negatively affect, our consolidated results of operations. Governments and private payers worldwide have intensified their scrutiny of, and actions intended to address, pricing, reimbursement, and access to pharmaceutical products. Additional policies, regulations, legislation, or enforcement, including as a result of the regulatory priorities of the current U.S. presidential administration and regulatory authorities worldwide, could adversely impact our business and consolidated results of operations. In particular, if one or more of our significant products are selected under the IRA, the resulting price reduction and reimbursement could negatively impact our business and consolidated results of operations. For more details, see Item 1, "Business—Regulations and Private Payer Actions Affecting Pharmaceutical Pricing, Reimbursement, and Access."</w:t>
      </w:r>
    </w:p>
    <w:p>
      <w:pPr>
        <w:spacing w:after="0" w:line="72" w:lineRule="exact"/>
        <w:rPr>
          <w:rFonts w:ascii="Arial" w:cs="Arial" w:eastAsia="Arial" w:hAnsi="Arial"/>
          <w:sz w:val="18"/>
          <w:szCs w:val="18"/>
          <w:b w:val="1"/>
          <w:bCs w:val="1"/>
          <w:color w:val="auto"/>
        </w:rPr>
      </w:pPr>
    </w:p>
    <w:p>
      <w:pPr>
        <w:ind w:left="34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Further, restrictive or unfavorable pricing, coverage, or reimbursement determinations for our medicines or product candidates by governments, regulatory agencies, courts, or private payers, such as the Alzheimer’s Monoclonal Antibody NCD, may adversely impact our business and financial results. We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332" w:right="20"/>
        <w:spacing w:after="0" w:line="268" w:lineRule="auto"/>
        <w:rPr>
          <w:sz w:val="20"/>
          <w:szCs w:val="20"/>
          <w:color w:val="auto"/>
        </w:rPr>
      </w:pPr>
      <w:r>
        <w:rPr>
          <w:rFonts w:ascii="Arial" w:cs="Arial" w:eastAsia="Arial" w:hAnsi="Arial"/>
          <w:sz w:val="18"/>
          <w:szCs w:val="18"/>
          <w:color w:val="auto"/>
        </w:rPr>
        <w:t>continue to experience additional pricing pressures, rebates, clawbacks, and other changes in reimbursement policies and programs resulting from the financial strain of the COVID-19 pandemic, periods of global economic downturn or uncertainty, and the emergence or escalation of, and responses to, war or unrest (including the Russia-Ukraine war).</w:t>
      </w:r>
    </w:p>
    <w:p>
      <w:pPr>
        <w:spacing w:after="0" w:line="63" w:lineRule="exact"/>
        <w:rPr>
          <w:sz w:val="20"/>
          <w:szCs w:val="20"/>
          <w:color w:val="auto"/>
        </w:rPr>
      </w:pPr>
    </w:p>
    <w:p>
      <w:pPr>
        <w:ind w:left="332" w:right="60"/>
        <w:spacing w:after="0" w:line="268" w:lineRule="auto"/>
        <w:rPr>
          <w:sz w:val="20"/>
          <w:szCs w:val="20"/>
          <w:color w:val="auto"/>
        </w:rPr>
      </w:pPr>
      <w:r>
        <w:rPr>
          <w:rFonts w:ascii="Arial" w:cs="Arial" w:eastAsia="Arial" w:hAnsi="Arial"/>
          <w:sz w:val="18"/>
          <w:szCs w:val="18"/>
          <w:color w:val="auto"/>
        </w:rPr>
        <w:t>For more details, see Item 1, "Business—Regulations and Private Payer Actions Affecting Pharmaceutical Pricing, Reimbursement, and Access," Item 7, "Management's Discussion and Analysis—Executive Overview—Other Matters—Trends Affecting Pharmaceutical Pricing, Reimbursement, and Access," and Item 8, "Financial Statements and Supplementary Data—Note 16: Contingencies."</w:t>
      </w:r>
    </w:p>
    <w:p>
      <w:pPr>
        <w:spacing w:after="0" w:line="63" w:lineRule="exact"/>
        <w:rPr>
          <w:sz w:val="20"/>
          <w:szCs w:val="20"/>
          <w:color w:val="auto"/>
        </w:rPr>
      </w:pPr>
    </w:p>
    <w:p>
      <w:pPr>
        <w:ind w:left="312" w:hanging="312"/>
        <w:spacing w:after="0"/>
        <w:tabs>
          <w:tab w:leader="none" w:pos="3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foreign currency rates, interest rate risks, or inflation affect our results of operations.</w:t>
      </w:r>
    </w:p>
    <w:p>
      <w:pPr>
        <w:spacing w:after="0" w:line="117" w:lineRule="exact"/>
        <w:rPr>
          <w:rFonts w:ascii="Arial" w:cs="Arial" w:eastAsia="Arial" w:hAnsi="Arial"/>
          <w:sz w:val="18"/>
          <w:szCs w:val="18"/>
          <w:b w:val="1"/>
          <w:bCs w:val="1"/>
          <w:color w:val="auto"/>
        </w:rPr>
      </w:pPr>
    </w:p>
    <w:p>
      <w:pPr>
        <w:ind w:left="332"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a global company, we face foreign currency risk exposure from fluctuating currency exchange rates, interest rate risk from our exposure to floating and variable interest rates, and inflation risk from existing and expected rates of inflation in the U.S. and other jurisdictions, each of which impacts our results of operations. In recent periods, significant fluctuations in currency rates and inflation have had a significant negative impact on our results of operations. We are a net receiver of foreign currencies and our results of operations may continue to be adversely impacted if the U.S. dollar remains strong compared to foreign currencies. Further, in the event of an extreme devaluation of local currency in a particular market in which we operate, the price of our products could become unsustainable in the relevant market. Inflationary pressures in recent periods have also negatively impacted us and may continue to negatively impact us in various ways, including cost inflation, higher labor costs, and other higher expenses, with some of these higher expenses due in part to policy actions intended to curb inflation. See Item 7, "Management's Discussion and Analysis—Financial Condition and Liquidity" and Item 8, "Financial Statements and Supplementary Data—Note 1: Summary of Significant Accounting Policies and Implementation of New Financial Accounting Standards," for more details.</w:t>
      </w:r>
    </w:p>
    <w:p>
      <w:pPr>
        <w:spacing w:after="0" w:line="74" w:lineRule="exact"/>
        <w:rPr>
          <w:rFonts w:ascii="Arial" w:cs="Arial" w:eastAsia="Arial" w:hAnsi="Arial"/>
          <w:sz w:val="18"/>
          <w:szCs w:val="18"/>
          <w:b w:val="1"/>
          <w:bCs w:val="1"/>
          <w:color w:val="auto"/>
        </w:rPr>
      </w:pPr>
    </w:p>
    <w:p>
      <w:pPr>
        <w:ind w:left="312" w:hanging="312"/>
        <w:spacing w:after="0"/>
        <w:tabs>
          <w:tab w:leader="none" w:pos="3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We are subject to evolving and complex tax laws, which may result in additional liabilities and affect our results of operations.</w:t>
      </w:r>
    </w:p>
    <w:p>
      <w:pPr>
        <w:spacing w:after="0" w:line="117" w:lineRule="exact"/>
        <w:rPr>
          <w:rFonts w:ascii="Arial" w:cs="Arial" w:eastAsia="Arial" w:hAnsi="Arial"/>
          <w:sz w:val="18"/>
          <w:szCs w:val="18"/>
          <w:b w:val="1"/>
          <w:bCs w:val="1"/>
          <w:color w:val="auto"/>
        </w:rPr>
      </w:pPr>
    </w:p>
    <w:p>
      <w:pPr>
        <w:ind w:left="332"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other jurisdictions, and in the course of our business, we make judgments about the expected tax treatment of various transactions and events. Changes in tax laws, regulations, administrative practices, principles, and interpretations, as well as events that differ from our expectations, have affected and may adversely affect our effective tax rates, cash flows, and/or results of operations. Significant uncertainty currently exists regarding tax proposals introduced by the current U.S. administration and Congress, including modifications to certain aspects of the Tax Cuts and Jobs Act of 2017, such as the potential repeal or deferral of the provision requiring capitalization of research and development expenses. In addition, tax authorities in the U.S. and other jurisdictions in which we do business routinely examine our tax returns and are intensifying their scrutiny and examinations of profit allocations among jurisdictions, which could unfavorably impact our results of operations. Further, actions taken with respect to tax-related matters by associations such as the Organisation for Economic Co-operation and Development and the European Commission could influence tax laws in countries in which we operate. Modifications to key elements of the current U.S. or international tax framework could have a significant impact on our effective tax rate, results of operations, and cash flows. See Item 7, "Management's Discussion and Analysis—Executive Overview—Other Matters—Tax Matters" and Item 8, "Financial Statements and Supplementary Data—Note 14: Income Taxes," for more details.</w:t>
      </w:r>
    </w:p>
    <w:p>
      <w:pPr>
        <w:spacing w:after="0" w:line="79" w:lineRule="exact"/>
        <w:rPr>
          <w:rFonts w:ascii="Arial" w:cs="Arial" w:eastAsia="Arial" w:hAnsi="Arial"/>
          <w:sz w:val="18"/>
          <w:szCs w:val="18"/>
          <w:b w:val="1"/>
          <w:bCs w:val="1"/>
          <w:color w:val="auto"/>
        </w:rPr>
      </w:pPr>
    </w:p>
    <w:p>
      <w:pPr>
        <w:ind w:left="312" w:hanging="312"/>
        <w:spacing w:after="0"/>
        <w:tabs>
          <w:tab w:leader="none" w:pos="3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17" w:lineRule="exact"/>
        <w:rPr>
          <w:rFonts w:ascii="Arial" w:cs="Arial" w:eastAsia="Arial" w:hAnsi="Arial"/>
          <w:sz w:val="18"/>
          <w:szCs w:val="18"/>
          <w:b w:val="1"/>
          <w:bCs w:val="1"/>
          <w:color w:val="auto"/>
        </w:rPr>
      </w:pPr>
    </w:p>
    <w:p>
      <w:pPr>
        <w:ind w:left="33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extensive scrutiny and regulation. Many companies, including us, are and have been subject to investigations and claims related to these practices asserted by federal, state, and foreign governmental authorities, private payers, and consumers. These investigations and claims have resulted in substantial expense and other significant consequences to us. We are, and could in the future become, subject to such investigations and claims, the outcomes of which include criminal charges and fines, penalties, or other monetary or non-monetary remedies, including exclusion from U.S. federal and other healthcare programs. Such investigations and claims have intensified and may continue to intensify as a result of the regulatory priorities of each particular U.S. presidential administration and other regulatory authorities worldwide. In addition, regulatory issues concerning compliance with cGMP, quality assurance, evolving standards, and increased scrutiny around excipients and potential impurities such as nitrosamines, and</w:t>
      </w:r>
    </w:p>
    <w:p>
      <w:pPr>
        <w:spacing w:after="0" w:line="200" w:lineRule="exact"/>
        <w:rPr>
          <w:sz w:val="20"/>
          <w:szCs w:val="20"/>
          <w:color w:val="auto"/>
        </w:rPr>
      </w:pPr>
    </w:p>
    <w:p>
      <w:pPr>
        <w:spacing w:after="0" w:line="36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201" w:right="399" w:bottom="1440" w:gutter="0" w:footer="0" w:header="0"/>
        </w:sectPr>
      </w:pPr>
    </w:p>
    <w:bookmarkStart w:id="32" w:name="page33"/>
    <w:bookmarkEnd w:id="32"/>
    <w:p>
      <w:pPr>
        <w:ind w:right="120"/>
        <w:spacing w:after="0" w:line="257" w:lineRule="auto"/>
        <w:rPr>
          <w:sz w:val="20"/>
          <w:szCs w:val="20"/>
          <w:color w:val="auto"/>
        </w:rPr>
      </w:pPr>
      <w:r>
        <w:rPr>
          <w:rFonts w:ascii="Arial" w:cs="Arial" w:eastAsia="Arial" w:hAnsi="Arial"/>
          <w:sz w:val="18"/>
          <w:szCs w:val="18"/>
          <w:color w:val="auto"/>
        </w:rPr>
        <w:t>similar regulations and standards (and comparable foreign regulations and standards) for our products can lead to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the issues, and reputational harm, any of which would adversely affect our business. Regulatory compliance and processes in jurisdictions outside the U.S. may also be less predictable and result in additional costs, uncertainties, and risks. See Item 1, "Business—Government Regulation of Our Operations," for more details.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there is an increased focus by foreign, federal, state, and local regulatory and legislative bodies regarding environmental policies relating to climate change, regulating greenhouse gas emissions, carbon taxes, emissions trading schemes, sustainable manufacturing, human rights and equity matters, and disclosure regarding the foregoing, many of which may be ambiguous, inconsistent, dynamic or conflicting. We expect to experience increased restrictions and compliance costs, legal costs, and expenses related to such new or changing legal or regulatory requirements. Moreover, compliance with any such legal or regulatory requirements would require us to devote substantial time and attention to these matters. In addition, we may still be subject to penalties or potential litigation if such laws and regulations are interpreted or applied in a manner inconsistent with our practices.</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we are subject to increased negative attention from the media, stockholders, activists, and other stakeholders on climate change, social, and sustainability matters. The perception that we have failed to act in a socially responsible manner, whether or not valid, results in adverse publicity that can negatively affect our business and reputation, as well as result in increased scrutiny from legislators and regulatory authorities. Moreover, from time to time we establish and publicly announce goals and commitments, including to reduce our impact on the environment. Our ability to achieve any stated environmental, social or governance goal, target or objective is subject to numerous factors and conditions, many of which are outside our control. Examples of such factors include evolving regulatory requirements affecting sustainability standards or disclosures or imposing different requirements, the availability of requisite financing, and the availability of suppliers that can meet our sustainability and other goals. If we fail to achieve, are perceived to have failed or been delayed in achieving, or improperly report our progress toward achieving these goals and commitments, it could negatively affect our reputation or investor confidence, and expose us to enforcement actions and litigation.</w:t>
      </w:r>
    </w:p>
    <w:p>
      <w:pPr>
        <w:spacing w:after="0" w:line="200" w:lineRule="exact"/>
        <w:rPr>
          <w:sz w:val="20"/>
          <w:szCs w:val="20"/>
          <w:color w:val="auto"/>
        </w:rPr>
      </w:pP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01" w:right="339" w:bottom="1440" w:gutter="0" w:footer="0" w:header="0"/>
        </w:sectPr>
      </w:pPr>
    </w:p>
    <w:bookmarkStart w:id="33" w:name="page34"/>
    <w:bookmarkEnd w:id="33"/>
    <w:p>
      <w:pPr>
        <w:spacing w:after="0"/>
        <w:rPr>
          <w:sz w:val="20"/>
          <w:szCs w:val="20"/>
          <w:color w:val="auto"/>
        </w:rPr>
      </w:pPr>
      <w:r>
        <w:rPr>
          <w:rFonts w:ascii="Arial" w:cs="Arial" w:eastAsia="Arial" w:hAnsi="Arial"/>
          <w:sz w:val="32"/>
          <w:szCs w:val="32"/>
          <w:b w:val="1"/>
          <w:bCs w:val="1"/>
          <w:i w:val="1"/>
          <w:iCs w:val="1"/>
          <w:color w:val="auto"/>
        </w:rPr>
        <w:t>Item 1B.Unresolved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2.  Properties</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2022, we owned nine production, distribution, and corporate administrative sites in the United States (U.S.), including Puerto Rico. These facilities contain an aggregate of approximately 8.1 million square feet of floor area dedicated to production, distribution, and administration. Major production sites include Indianapolis, Indiana; Carolina, Puerto Rico; and Branchburg, New Jersey. In 2023, we expect production to commence at an additional approximately 0.4 million square foot facility in Durham, North Carolina, with other production facilities and expansions of production facilities expected to come online in future periods.</w:t>
      </w:r>
    </w:p>
    <w:p>
      <w:pPr>
        <w:spacing w:after="0" w:line="7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own production and distribution sites in seven countries outside the U.S., containing an aggregate of approximately 4.6 million square feet of floor area. Major production sites include facilities in Ireland, France, Spain, Italy, and China.</w:t>
      </w:r>
    </w:p>
    <w:p>
      <w:pPr>
        <w:spacing w:after="0" w:line="4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In the U.S., our research and development facilities contain an aggregate of approximately 4.5 million square feet of floor area, primarily consisting of owned facilities located in Indianapolis and smaller leased sites primarily in San Diego, California; San Francisco, California; and New York, New York. Outside the U.S., we own a small research and development facility in Spain and lease a small site in Singapore.</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3.  Legal Proceedings</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Information pertaining to legal proceedings is described in Item 8, "Financial Statements and Supplementary Data - Note 16: Contingencies," and incorporated by reference 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4.  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3" w:right="399" w:bottom="1440" w:gutter="0" w:footer="0" w:header="0"/>
        </w:sectPr>
      </w:pPr>
    </w:p>
    <w:bookmarkStart w:id="34" w:name="page35"/>
    <w:bookmarkEnd w:id="34"/>
    <w:p>
      <w:pPr>
        <w:spacing w:after="0"/>
        <w:rPr>
          <w:sz w:val="20"/>
          <w:szCs w:val="20"/>
          <w:color w:val="auto"/>
        </w:rPr>
      </w:pPr>
      <w:r>
        <w:rPr>
          <w:rFonts w:ascii="Arial" w:cs="Arial" w:eastAsia="Arial" w:hAnsi="Arial"/>
          <w:sz w:val="32"/>
          <w:szCs w:val="32"/>
          <w:b w:val="1"/>
          <w:bCs w:val="1"/>
          <w:color w:val="auto"/>
        </w:rPr>
        <w:t>Part II</w:t>
      </w:r>
    </w:p>
    <w:p>
      <w:pPr>
        <w:spacing w:after="0" w:line="244" w:lineRule="exact"/>
        <w:rPr>
          <w:sz w:val="20"/>
          <w:szCs w:val="20"/>
          <w:color w:val="auto"/>
        </w:rPr>
      </w:pPr>
    </w:p>
    <w:p>
      <w:pPr>
        <w:ind w:left="1300" w:right="180" w:hanging="1295"/>
        <w:spacing w:after="0" w:line="288" w:lineRule="auto"/>
        <w:rPr>
          <w:sz w:val="20"/>
          <w:szCs w:val="20"/>
          <w:color w:val="auto"/>
        </w:rPr>
      </w:pPr>
      <w:r>
        <w:rPr>
          <w:rFonts w:ascii="Arial" w:cs="Arial" w:eastAsia="Arial" w:hAnsi="Arial"/>
          <w:sz w:val="32"/>
          <w:szCs w:val="32"/>
          <w:b w:val="1"/>
          <w:bCs w:val="1"/>
          <w:i w:val="1"/>
          <w:iCs w:val="1"/>
          <w:color w:val="auto"/>
        </w:rPr>
        <w:t>Item 5. Market for the Registrant's Common Equity, Related Stockholder Matters, and Issuer Purchases of Equity Securities</w:t>
      </w:r>
    </w:p>
    <w:p>
      <w:pPr>
        <w:spacing w:after="0" w:line="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Information relating to the principal market for our common stock, dividends, and related stockholder matters is described in Item 7, "Management's Discussion and Analysis of Results of Operations and Financial Condition" and Item 12, "Security Ownership of Certain Beneficial Owners and Management and Related Stockholder Matters." This information is incorporated herein by reference.</w:t>
      </w:r>
    </w:p>
    <w:p>
      <w:pPr>
        <w:spacing w:after="0" w:line="63"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As of February 17, 2023, there were approximately 19,868 holders of record of our common stock based on information provided by EQ Shareowner Services, our transfer agent. Our common stock is listed under the ticker symbol LLY on the New York Stock Exchange (NYSE).</w:t>
      </w:r>
    </w:p>
    <w:p>
      <w:pPr>
        <w:spacing w:after="0" w:line="2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jc w:val="center"/>
              <w:ind w:left="288"/>
              <w:spacing w:after="0"/>
              <w:rPr>
                <w:sz w:val="20"/>
                <w:szCs w:val="20"/>
                <w:color w:val="auto"/>
              </w:rPr>
            </w:pPr>
            <w:r>
              <w:rPr>
                <w:rFonts w:ascii="Arial" w:cs="Arial" w:eastAsia="Arial" w:hAnsi="Arial"/>
                <w:sz w:val="14"/>
                <w:szCs w:val="14"/>
                <w:b w:val="1"/>
                <w:bCs w:val="1"/>
                <w:color w:val="auto"/>
              </w:rPr>
              <w:t>Total Number of 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center"/>
              <w:ind w:right="2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5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Purchased as Part of</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jc w:val="center"/>
              <w:ind w:right="241"/>
              <w:spacing w:after="0" w:line="14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Average Price Paid</w:t>
            </w:r>
          </w:p>
        </w:tc>
        <w:tc>
          <w:tcPr>
            <w:tcW w:w="280" w:type="dxa"/>
            <w:vAlign w:val="bottom"/>
          </w:tcPr>
          <w:p>
            <w:pPr>
              <w:spacing w:after="0"/>
              <w:rPr>
                <w:sz w:val="12"/>
                <w:szCs w:val="12"/>
                <w:color w:val="auto"/>
              </w:rPr>
            </w:pPr>
          </w:p>
        </w:tc>
        <w:tc>
          <w:tcPr>
            <w:tcW w:w="2180" w:type="dxa"/>
            <w:vAlign w:val="bottom"/>
          </w:tcPr>
          <w:p>
            <w:pPr>
              <w:jc w:val="center"/>
              <w:ind w:left="288"/>
              <w:spacing w:after="0" w:line="139" w:lineRule="exact"/>
              <w:rPr>
                <w:sz w:val="20"/>
                <w:szCs w:val="20"/>
                <w:color w:val="auto"/>
              </w:rPr>
            </w:pPr>
            <w:r>
              <w:rPr>
                <w:rFonts w:ascii="Arial" w:cs="Arial" w:eastAsia="Arial" w:hAnsi="Arial"/>
                <w:sz w:val="14"/>
                <w:szCs w:val="14"/>
                <w:b w:val="1"/>
                <w:bCs w:val="1"/>
                <w:color w:val="auto"/>
              </w:rPr>
              <w:t>Publicly Announced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jc w:val="center"/>
              <w:ind w:right="241"/>
              <w:spacing w:after="0" w:line="13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4"/>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Plans or Programs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jc w:val="center"/>
              <w:ind w:right="241"/>
              <w:spacing w:after="0" w:line="145"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per Share</w:t>
            </w: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23"/>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October 2022</w:t>
            </w:r>
          </w:p>
        </w:tc>
        <w:tc>
          <w:tcPr>
            <w:tcW w:w="1580" w:type="dxa"/>
            <w:vAlign w:val="bottom"/>
            <w:shd w:val="clear" w:color="auto" w:fill="D8D8D8"/>
          </w:tcPr>
          <w:p>
            <w:pPr>
              <w:spacing w:after="0"/>
              <w:rPr>
                <w:sz w:val="19"/>
                <w:szCs w:val="19"/>
                <w:color w:val="auto"/>
              </w:rPr>
            </w:pPr>
          </w:p>
        </w:tc>
        <w:tc>
          <w:tcPr>
            <w:tcW w:w="188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 $</w:t>
            </w:r>
          </w:p>
        </w:tc>
        <w:tc>
          <w:tcPr>
            <w:tcW w:w="246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DBDBDB"/>
          </w:tcPr>
          <w:p>
            <w:pPr>
              <w:jc w:val="right"/>
              <w:ind w:right="741"/>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November 2022</w:t>
            </w:r>
          </w:p>
        </w:tc>
        <w:tc>
          <w:tcPr>
            <w:tcW w:w="158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60" w:type="dxa"/>
            <w:vAlign w:val="bottom"/>
          </w:tcPr>
          <w:p>
            <w:pPr>
              <w:jc w:val="right"/>
              <w:ind w:right="741"/>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30"/>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2022</w:t>
            </w:r>
          </w:p>
        </w:tc>
        <w:tc>
          <w:tcPr>
            <w:tcW w:w="1580" w:type="dxa"/>
            <w:vAlign w:val="bottom"/>
            <w:tcBorders>
              <w:bottom w:val="single" w:sz="8" w:color="auto"/>
            </w:tcBorders>
            <w:shd w:val="clear" w:color="auto" w:fill="D8D8D8"/>
          </w:tcPr>
          <w:p>
            <w:pPr>
              <w:spacing w:after="0"/>
              <w:rPr>
                <w:sz w:val="19"/>
                <w:szCs w:val="19"/>
                <w:color w:val="auto"/>
              </w:rPr>
            </w:pPr>
          </w:p>
        </w:tc>
        <w:tc>
          <w:tcPr>
            <w:tcW w:w="2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8D8D8"/>
          </w:tcPr>
          <w:p>
            <w:pPr>
              <w:spacing w:after="0"/>
              <w:rPr>
                <w:sz w:val="19"/>
                <w:szCs w:val="19"/>
                <w:color w:val="auto"/>
              </w:rPr>
            </w:pPr>
          </w:p>
        </w:tc>
        <w:tc>
          <w:tcPr>
            <w:tcW w:w="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D8D8D8"/>
          </w:tcPr>
          <w:p>
            <w:pPr>
              <w:spacing w:after="0"/>
              <w:rPr>
                <w:sz w:val="19"/>
                <w:szCs w:val="19"/>
                <w:color w:val="auto"/>
              </w:rPr>
            </w:pPr>
          </w:p>
        </w:tc>
        <w:tc>
          <w:tcPr>
            <w:tcW w:w="36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2460" w:type="dxa"/>
            <w:vAlign w:val="bottom"/>
            <w:shd w:val="clear" w:color="auto" w:fill="D8D8D8"/>
          </w:tcPr>
          <w:p>
            <w:pPr>
              <w:jc w:val="right"/>
              <w:ind w:right="741"/>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During the three months ended December 31, 2022, we did not repurchase any shares under our $5.00 billion share repurchase program authorized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graph compares the return on Lilly stock with that of the Standard &amp; Poor's (S&amp;P) 500 Stock Index and our peer group for the years 2018 through 2022. The graph assumes that, on the last business day of 2017, a person invested $100 each in Lilly stock, the S&amp;P 500 Stock Index, and the peer group's collective common stock. The graph measures total shareholder return, which takes into account both stock price and dividends. It assumes that dividends paid by a company are immediately reinvested in that company's stock.</w:t>
      </w:r>
    </w:p>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auto"/>
        </w:rPr>
        <w:t>Value of $100 Invested on Last Business Day of 2017 Comparison of Five-Year Cumulative Total Shareholder Return Among Lilly, S&amp;P 500 Stock Index, and Peer Group</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67945</wp:posOffset>
            </wp:positionV>
            <wp:extent cx="5340350" cy="3720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035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120" w:type="dxa"/>
        <w:tblCellMar>
          <w:top w:w="0" w:type="dxa"/>
          <w:left w:w="0" w:type="dxa"/>
          <w:bottom w:w="0" w:type="dxa"/>
          <w:right w:w="0" w:type="dxa"/>
        </w:tblCellMar>
      </w:tblPr>
      <w:tr>
        <w:trPr>
          <w:trHeight w:val="197"/>
        </w:trPr>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24"/>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Dec-17</w:t>
            </w:r>
          </w:p>
        </w:tc>
        <w:tc>
          <w:tcPr>
            <w:tcW w:w="4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Dec-18</w:t>
            </w:r>
          </w:p>
        </w:tc>
        <w:tc>
          <w:tcPr>
            <w:tcW w:w="4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140.45</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104.95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95.62</w:t>
            </w:r>
          </w:p>
        </w:tc>
      </w:tr>
      <w:tr>
        <w:trPr>
          <w:trHeight w:val="230"/>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Dec-19</w:t>
            </w:r>
          </w:p>
        </w:tc>
        <w:tc>
          <w:tcPr>
            <w:tcW w:w="48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163.13</w:t>
            </w:r>
          </w:p>
        </w:tc>
        <w:tc>
          <w:tcPr>
            <w:tcW w:w="3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124.15</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125.72</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Dec-20</w:t>
            </w:r>
          </w:p>
        </w:tc>
        <w:tc>
          <w:tcPr>
            <w:tcW w:w="4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213.80</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126.98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148.85</w:t>
            </w:r>
          </w:p>
        </w:tc>
      </w:tr>
      <w:tr>
        <w:trPr>
          <w:trHeight w:val="229"/>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Dec-21</w:t>
            </w:r>
          </w:p>
        </w:tc>
        <w:tc>
          <w:tcPr>
            <w:tcW w:w="48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355.08</w:t>
            </w:r>
          </w:p>
        </w:tc>
        <w:tc>
          <w:tcPr>
            <w:tcW w:w="3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152.56</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191.58</w:t>
            </w:r>
          </w:p>
        </w:tc>
      </w:tr>
      <w:tr>
        <w:trPr>
          <w:trHeight w:val="239"/>
        </w:trPr>
        <w:tc>
          <w:tcPr>
            <w:tcW w:w="820" w:type="dxa"/>
            <w:vAlign w:val="bottom"/>
          </w:tcPr>
          <w:p>
            <w:pPr>
              <w:ind w:left="20"/>
              <w:spacing w:after="0"/>
              <w:rPr>
                <w:sz w:val="20"/>
                <w:szCs w:val="20"/>
                <w:color w:val="auto"/>
              </w:rPr>
            </w:pPr>
            <w:r>
              <w:rPr>
                <w:rFonts w:ascii="Arial" w:cs="Arial" w:eastAsia="Arial" w:hAnsi="Arial"/>
                <w:sz w:val="18"/>
                <w:szCs w:val="18"/>
                <w:color w:val="auto"/>
              </w:rPr>
              <w:t>Dec-22</w:t>
            </w:r>
          </w:p>
        </w:tc>
        <w:tc>
          <w:tcPr>
            <w:tcW w:w="48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476.65</w:t>
            </w:r>
          </w:p>
        </w:tc>
        <w:tc>
          <w:tcPr>
            <w:tcW w:w="30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167.09</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156.88</w:t>
            </w:r>
          </w:p>
        </w:tc>
      </w:tr>
    </w:tbl>
    <w:p>
      <w:pPr>
        <w:spacing w:after="0" w:line="86" w:lineRule="exact"/>
        <w:rPr>
          <w:sz w:val="20"/>
          <w:szCs w:val="20"/>
          <w:color w:val="auto"/>
        </w:rPr>
      </w:pPr>
    </w:p>
    <w:p>
      <w:pPr>
        <w:ind w:left="340" w:right="80" w:hanging="332"/>
        <w:spacing w:after="0" w:line="238" w:lineRule="auto"/>
        <w:tabs>
          <w:tab w:leader="none" w:pos="234" w:val="left"/>
        </w:tabs>
        <w:numPr>
          <w:ilvl w:val="0"/>
          <w:numId w:val="26"/>
        </w:numPr>
        <w:rPr>
          <w:rFonts w:ascii="Arial" w:cs="Arial" w:eastAsia="Arial" w:hAnsi="Arial"/>
          <w:sz w:val="19"/>
          <w:szCs w:val="19"/>
          <w:color w:val="auto"/>
          <w:vertAlign w:val="superscript"/>
        </w:rPr>
      </w:pPr>
      <w:r>
        <w:rPr>
          <w:rFonts w:ascii="Arial" w:cs="Arial" w:eastAsia="Arial" w:hAnsi="Arial"/>
          <w:sz w:val="13"/>
          <w:szCs w:val="13"/>
          <w:color w:val="auto"/>
        </w:rPr>
        <w:t>We constructed the peer group as the industry index for this graph. It is comprised of the following companies in the pharmaceutical and biotechnology industries: AbbVie Inc.; Amgen Inc.; AstraZeneca PLC; Biogen Inc.; Bristol-Myers Squibb Company; Gilead Sciences Inc.; GlaxoSmithKline plc; Johnson &amp; Johnson; Merck &amp; Co., Inc.; Novartis AG; Novo Nordisk A/S; Pfizer Inc.; Roche Holding AG; Sanofi S.A.; and Takeda Pharmaceutical Company Limited. The peer group used for performance benchmarking aligns with the peer group used for executive compensation purposes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6" w:name="page37"/>
    <w:bookmarkEnd w:id="36"/>
    <w:p>
      <w:pPr>
        <w:spacing w:after="0"/>
        <w:rPr>
          <w:sz w:val="20"/>
          <w:szCs w:val="20"/>
          <w:color w:val="auto"/>
        </w:rPr>
      </w:pPr>
      <w:r>
        <w:rPr>
          <w:rFonts w:ascii="Arial" w:cs="Arial" w:eastAsia="Arial" w:hAnsi="Arial"/>
          <w:sz w:val="32"/>
          <w:szCs w:val="32"/>
          <w:b w:val="1"/>
          <w:bCs w:val="1"/>
          <w:i w:val="1"/>
          <w:iCs w:val="1"/>
          <w:color w:val="auto"/>
        </w:rPr>
        <w:t>Item 6. [Reserved]</w:t>
      </w:r>
    </w:p>
    <w:p>
      <w:pPr>
        <w:spacing w:after="0" w:line="200" w:lineRule="exact"/>
        <w:rPr>
          <w:sz w:val="20"/>
          <w:szCs w:val="20"/>
          <w:color w:val="auto"/>
        </w:rPr>
      </w:pPr>
    </w:p>
    <w:p>
      <w:pPr>
        <w:spacing w:after="0" w:line="229" w:lineRule="exact"/>
        <w:rPr>
          <w:sz w:val="20"/>
          <w:szCs w:val="20"/>
          <w:color w:val="auto"/>
        </w:rPr>
      </w:pPr>
    </w:p>
    <w:p>
      <w:pPr>
        <w:ind w:left="1300" w:right="1740" w:hanging="1295"/>
        <w:spacing w:after="0" w:line="304" w:lineRule="auto"/>
        <w:rPr>
          <w:sz w:val="20"/>
          <w:szCs w:val="20"/>
          <w:color w:val="auto"/>
        </w:rPr>
      </w:pPr>
      <w:r>
        <w:rPr>
          <w:rFonts w:ascii="Arial" w:cs="Arial" w:eastAsia="Arial" w:hAnsi="Arial"/>
          <w:sz w:val="32"/>
          <w:szCs w:val="32"/>
          <w:b w:val="1"/>
          <w:bCs w:val="1"/>
          <w:i w:val="1"/>
          <w:iCs w:val="1"/>
          <w:color w:val="auto"/>
        </w:rPr>
        <w:t>Item 7. Management's Discussion and Analysis of Results of Operations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 except per-share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our company's results of operations and financial position. This discussion and analysis should be read in conjunction with Item 8, "Financial Statements and Supplementary Data." Certain statements in this Item 7 constitute forward-looking statements. Various risks and uncertainties, including those discussed in "Forward-Looking Statements" and Item 1A, "Risk Factors," may cause our actual results, financial position, and cash generated from operations to differ materially from these forward-looking statements.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This section provides an overview of our financial results, late-stage pipeline developments, and other matters affecting our company and the pharmaceutical industry.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3"/>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28,541.4</w:t>
            </w:r>
          </w:p>
        </w:tc>
        <w:tc>
          <w:tcPr>
            <w:tcW w:w="50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28,318.4</w:t>
            </w:r>
          </w:p>
        </w:tc>
        <w:tc>
          <w:tcPr>
            <w:tcW w:w="1280" w:type="dxa"/>
            <w:vAlign w:val="bottom"/>
            <w:shd w:val="clear" w:color="auto" w:fill="DBDBDB"/>
          </w:tcPr>
          <w:p>
            <w:pPr>
              <w:jc w:val="center"/>
              <w:ind w:left="1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21,911.6</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21,005.6</w:t>
            </w:r>
          </w:p>
        </w:tc>
        <w:tc>
          <w:tcPr>
            <w:tcW w:w="1280" w:type="dxa"/>
            <w:vAlign w:val="bottom"/>
          </w:tcPr>
          <w:p>
            <w:pPr>
              <w:jc w:val="center"/>
              <w:ind w:left="1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margin as a percent of revenue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76.8 %</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74.2 %</w:t>
            </w: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7,190.8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6,930.7</w:t>
            </w:r>
          </w:p>
        </w:tc>
        <w:tc>
          <w:tcPr>
            <w:tcW w:w="1280" w:type="dxa"/>
            <w:vAlign w:val="bottom"/>
          </w:tcPr>
          <w:p>
            <w:pPr>
              <w:jc w:val="center"/>
              <w:ind w:left="1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selling, and administrative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6,440.4</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6,431.6</w:t>
            </w:r>
          </w:p>
        </w:tc>
        <w:tc>
          <w:tcPr>
            <w:tcW w:w="1280" w:type="dxa"/>
            <w:vAlign w:val="bottom"/>
            <w:shd w:val="clear" w:color="auto" w:fill="DBDBDB"/>
          </w:tcPr>
          <w:p>
            <w:pPr>
              <w:jc w:val="center"/>
              <w:ind w:left="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4"/>
        </w:trPr>
        <w:tc>
          <w:tcPr>
            <w:tcW w:w="6060" w:type="dxa"/>
            <w:vAlign w:val="bottom"/>
          </w:tcPr>
          <w:p>
            <w:pPr>
              <w:ind w:left="20"/>
              <w:spacing w:after="0" w:line="183" w:lineRule="exact"/>
              <w:rPr>
                <w:sz w:val="20"/>
                <w:szCs w:val="20"/>
                <w:color w:val="auto"/>
              </w:rPr>
            </w:pPr>
            <w:r>
              <w:rPr>
                <w:rFonts w:ascii="Arial" w:cs="Arial" w:eastAsia="Arial" w:hAnsi="Arial"/>
                <w:sz w:val="18"/>
                <w:szCs w:val="18"/>
                <w:color w:val="auto"/>
              </w:rPr>
              <w:t>Acquired in-process research and development (IPR&amp;D) and development</w:t>
            </w:r>
          </w:p>
        </w:tc>
        <w:tc>
          <w:tcPr>
            <w:tcW w:w="440" w:type="dxa"/>
            <w:vAlign w:val="bottom"/>
          </w:tcPr>
          <w:p>
            <w:pPr>
              <w:spacing w:after="0"/>
              <w:rPr>
                <w:sz w:val="15"/>
                <w:szCs w:val="15"/>
                <w:color w:val="auto"/>
              </w:rPr>
            </w:pPr>
          </w:p>
        </w:tc>
        <w:tc>
          <w:tcPr>
            <w:tcW w:w="150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908.5</w:t>
            </w:r>
          </w:p>
        </w:tc>
        <w:tc>
          <w:tcPr>
            <w:tcW w:w="500" w:type="dxa"/>
            <w:vAlign w:val="bottom"/>
          </w:tcPr>
          <w:p>
            <w:pPr>
              <w:spacing w:after="0"/>
              <w:rPr>
                <w:sz w:val="15"/>
                <w:szCs w:val="15"/>
                <w:color w:val="auto"/>
              </w:rPr>
            </w:pPr>
          </w:p>
        </w:tc>
        <w:tc>
          <w:tcPr>
            <w:tcW w:w="1440" w:type="dxa"/>
            <w:vAlign w:val="bottom"/>
            <w:vMerge w:val="restart"/>
          </w:tcPr>
          <w:p>
            <w:pPr>
              <w:jc w:val="right"/>
              <w:ind w:right="152"/>
              <w:spacing w:after="0"/>
              <w:rPr>
                <w:sz w:val="20"/>
                <w:szCs w:val="20"/>
                <w:color w:val="auto"/>
              </w:rPr>
            </w:pPr>
            <w:r>
              <w:rPr>
                <w:rFonts w:ascii="Arial" w:cs="Arial" w:eastAsia="Arial" w:hAnsi="Arial"/>
                <w:sz w:val="18"/>
                <w:szCs w:val="18"/>
                <w:color w:val="auto"/>
              </w:rPr>
              <w:t>970.1</w:t>
            </w:r>
          </w:p>
        </w:tc>
        <w:tc>
          <w:tcPr>
            <w:tcW w:w="1280" w:type="dxa"/>
            <w:vAlign w:val="bottom"/>
            <w:vMerge w:val="restart"/>
          </w:tcPr>
          <w:p>
            <w:pPr>
              <w:jc w:val="center"/>
              <w:ind w:left="1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35"/>
        </w:trPr>
        <w:tc>
          <w:tcPr>
            <w:tcW w:w="6060" w:type="dxa"/>
            <w:vAlign w:val="bottom"/>
          </w:tcPr>
          <w:p>
            <w:pPr>
              <w:ind w:left="20"/>
              <w:spacing w:after="0"/>
              <w:rPr>
                <w:sz w:val="20"/>
                <w:szCs w:val="20"/>
                <w:color w:val="auto"/>
              </w:rPr>
            </w:pPr>
            <w:r>
              <w:rPr>
                <w:rFonts w:ascii="Arial" w:cs="Arial" w:eastAsia="Arial" w:hAnsi="Arial"/>
                <w:sz w:val="18"/>
                <w:szCs w:val="18"/>
                <w:color w:val="auto"/>
              </w:rPr>
              <w:t>milestones</w:t>
            </w:r>
          </w:p>
        </w:tc>
        <w:tc>
          <w:tcPr>
            <w:tcW w:w="44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244.6</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316.1</w:t>
            </w:r>
          </w:p>
        </w:tc>
        <w:tc>
          <w:tcPr>
            <w:tcW w:w="1280" w:type="dxa"/>
            <w:vAlign w:val="bottom"/>
            <w:shd w:val="clear" w:color="auto" w:fill="DBDBDB"/>
          </w:tcPr>
          <w:p>
            <w:pPr>
              <w:jc w:val="center"/>
              <w:ind w:left="32"/>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320.9</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201.6</w:t>
            </w:r>
          </w:p>
        </w:tc>
        <w:tc>
          <w:tcPr>
            <w:tcW w:w="1280" w:type="dxa"/>
            <w:vAlign w:val="bottom"/>
          </w:tcPr>
          <w:p>
            <w:pPr>
              <w:jc w:val="center"/>
              <w:ind w:left="32"/>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6,244.8</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5,581.7</w:t>
            </w:r>
          </w:p>
        </w:tc>
        <w:tc>
          <w:tcPr>
            <w:tcW w:w="1280" w:type="dxa"/>
            <w:vAlign w:val="bottom"/>
            <w:shd w:val="clear" w:color="auto" w:fill="DBDBDB"/>
          </w:tcPr>
          <w:p>
            <w:pPr>
              <w:jc w:val="center"/>
              <w:ind w:left="32"/>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47"/>
        </w:trPr>
        <w:tc>
          <w:tcPr>
            <w:tcW w:w="606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440" w:type="dxa"/>
            <w:vAlign w:val="bottom"/>
          </w:tcPr>
          <w:p>
            <w:pPr>
              <w:spacing w:after="0"/>
              <w:rPr>
                <w:sz w:val="21"/>
                <w:szCs w:val="21"/>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6.90</w:t>
            </w:r>
          </w:p>
        </w:tc>
        <w:tc>
          <w:tcPr>
            <w:tcW w:w="50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6.12</w:t>
            </w:r>
          </w:p>
        </w:tc>
        <w:tc>
          <w:tcPr>
            <w:tcW w:w="1280" w:type="dxa"/>
            <w:vAlign w:val="bottom"/>
          </w:tcPr>
          <w:p>
            <w:pPr>
              <w:jc w:val="center"/>
              <w:ind w:left="32"/>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Revenue increased in 2022 driven by increased volume, largely offset by lower realized prices and the unfavorable impact of foreign exchange rates. Research and development expenses increased in 2022, driven primarily by higher development expenses for late-stage assets, partially offset by lower development expenses for COVID -19 antibodies and the favorable impact of foreign exchange rates. Marketing, selling, and administrative expenses in 2022 remained relatively flat compared to 2021 as increased costs associated with launches of new products and indications were offset by the favorable impact of foreign exchange rates.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highlighted items affect comparisons of our 2022 and 2021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and Development Milestones (Note 3 to the consolidated financial statements)</w:t>
      </w:r>
    </w:p>
    <w:p>
      <w:pPr>
        <w:spacing w:after="0" w:line="117" w:lineRule="exact"/>
        <w:rPr>
          <w:sz w:val="20"/>
          <w:szCs w:val="20"/>
          <w:color w:val="auto"/>
        </w:rPr>
      </w:pPr>
    </w:p>
    <w:p>
      <w:pPr>
        <w:ind w:left="660" w:right="14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recognized $908.5 million of acquired IPR&amp;D and development milestones that included the buy-out of substantially all future obligations that were contingent upon the occurrence of certain events linked to the success of our mutant-selective PI3kα inhibitor and a purchase of a Priority Review Voucher.</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recognized charges of $244.6 million primarily related to an intangible asset impairment for GBA1 Gene Therapy (PR001) due to changes in estimated launch timing.</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18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recognized $410.7 million of net investment losses on equity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Sales (See Note 6 to the consolidated financial statements)</w:t>
      </w:r>
    </w:p>
    <w:p>
      <w:pPr>
        <w:spacing w:after="0" w:line="117" w:lineRule="exact"/>
        <w:rPr>
          <w:sz w:val="20"/>
          <w:szCs w:val="20"/>
          <w:color w:val="auto"/>
        </w:rPr>
      </w:pPr>
    </w:p>
    <w:p>
      <w:pPr>
        <w:ind w:left="660" w:right="180" w:hanging="328"/>
        <w:spacing w:after="0" w:line="25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recognized a net inventory impairment charge related to our COVID-19 antibodies of $339.7 million. As part of our response to the COVID-19 pandemic, and at the request of the United States (U.S.) and international governments, we invested in large-scale manufacturing of COVID-19 antibodies at risk, in order to ensure rapid access to patients around the world. As the COVID-19 pandemic evolved during 2021, we incurred a net inventory impairment charge primarily due to the combination of changes to demand from U.S. and international governments, including changes to our agreement with the U.S. government, and near-term expiry dates of COVID-19 antibodies.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and Development Milestones (Note 3 to the consolidated financial statements)</w:t>
      </w:r>
    </w:p>
    <w:p>
      <w:pPr>
        <w:spacing w:after="0" w:line="117" w:lineRule="exact"/>
        <w:rPr>
          <w:sz w:val="20"/>
          <w:szCs w:val="20"/>
          <w:color w:val="auto"/>
        </w:rPr>
      </w:pPr>
    </w:p>
    <w:p>
      <w:pPr>
        <w:ind w:left="66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recognized $970.1 million of acquired IPR&amp;D and development milestones that included charges resulting from business development transactions with Foghorn Therapeutics Inc. (Foghorn), Rigel Pharmaceuticals, Inc. (Rigel), and Precision Biosciences, Inc. (Precision).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jc w:val="both"/>
        <w:ind w:left="660" w:right="40" w:hanging="328"/>
        <w:spacing w:after="0" w:line="23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charges of $316.1 million primarily related to an impairment of a contract-based intangible asset from our acquisition of Loxo Oncology, Inc. (Loxo), an intangible asset impairment resulting from the sale of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 Therapeutics Inc. (Prevail).</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18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a debt extinguishment loss of $405.2 million related to the repurchase of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$176.9 million of net investment gains on equity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Late-Stage Pipeline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45 new medicine candidates in clinical development or under regulatory review, and a larger number of projects in the discovery phase.</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following certain new molecular entities (NMEs) are currently in Phase II or Phase III clinical trials or have been submitted for regulatory review or have received regulatory approval in the U.S., Europe, or Japan. The following table reflects the status of certain NMEs, including certain other developments, up to the time of the filing of this Annual Report on Form 10-K:</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00" w:type="dxa"/>
            <w:vAlign w:val="bottom"/>
            <w:tcBorders>
              <w:top w:val="single" w:sz="8" w:color="auto"/>
              <w:left w:val="single" w:sz="8" w:color="auto"/>
              <w:bottom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23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82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86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49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Diabetes</w:t>
            </w:r>
          </w:p>
        </w:tc>
        <w:tc>
          <w:tcPr>
            <w:tcW w:w="2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Basal Insulin-Fc</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1 and 2 diabetes</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initiated in 2022 and 2023.</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ANGPTL3 siRNA</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Cardiovascular disease</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2022.</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LP(a) Inhibitor</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Cardiovascular disease</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2022.</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LP(a) siRNA</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Cardiovascular disease</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2022.</w:t>
            </w:r>
          </w:p>
        </w:tc>
        <w:tc>
          <w:tcPr>
            <w:tcW w:w="0" w:type="dxa"/>
            <w:vAlign w:val="bottom"/>
          </w:tcPr>
          <w:p>
            <w:pPr>
              <w:spacing w:after="0"/>
              <w:rPr>
                <w:sz w:val="1"/>
                <w:szCs w:val="1"/>
                <w:color w:val="auto"/>
              </w:rPr>
            </w:pPr>
          </w:p>
        </w:tc>
      </w:tr>
      <w:tr>
        <w:trPr>
          <w:trHeight w:val="243"/>
        </w:trPr>
        <w:tc>
          <w:tcPr>
            <w:tcW w:w="23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Orforglipron</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82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21"/>
                <w:szCs w:val="21"/>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were recently completed.</w:t>
            </w:r>
          </w:p>
        </w:tc>
        <w:tc>
          <w:tcPr>
            <w:tcW w:w="0" w:type="dxa"/>
            <w:vAlign w:val="bottom"/>
          </w:tcPr>
          <w:p>
            <w:pPr>
              <w:spacing w:after="0"/>
              <w:rPr>
                <w:sz w:val="1"/>
                <w:szCs w:val="1"/>
                <w:color w:val="auto"/>
              </w:rPr>
            </w:pPr>
          </w:p>
        </w:tc>
      </w:tr>
      <w:tr>
        <w:trPr>
          <w:trHeight w:val="112"/>
        </w:trPr>
        <w:tc>
          <w:tcPr>
            <w:tcW w:w="2340" w:type="dxa"/>
            <w:vAlign w:val="bottom"/>
            <w:tcBorders>
              <w:left w:val="single" w:sz="8" w:color="auto"/>
              <w:right w:val="single" w:sz="8" w:color="auto"/>
            </w:tcBorders>
            <w:gridSpan w:val="2"/>
            <w:vMerge w:val="continue"/>
          </w:tcPr>
          <w:p>
            <w:pPr>
              <w:spacing w:after="0"/>
              <w:rPr>
                <w:sz w:val="9"/>
                <w:szCs w:val="9"/>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820" w:type="dxa"/>
            <w:vAlign w:val="bottom"/>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4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0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3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Retatrutide</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82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21"/>
                <w:szCs w:val="21"/>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were recently completed.</w:t>
            </w:r>
          </w:p>
        </w:tc>
        <w:tc>
          <w:tcPr>
            <w:tcW w:w="0" w:type="dxa"/>
            <w:vAlign w:val="bottom"/>
          </w:tcPr>
          <w:p>
            <w:pPr>
              <w:spacing w:after="0"/>
              <w:rPr>
                <w:sz w:val="1"/>
                <w:szCs w:val="1"/>
                <w:color w:val="auto"/>
              </w:rPr>
            </w:pPr>
          </w:p>
        </w:tc>
      </w:tr>
      <w:tr>
        <w:trPr>
          <w:trHeight w:val="112"/>
        </w:trPr>
        <w:tc>
          <w:tcPr>
            <w:tcW w:w="2340" w:type="dxa"/>
            <w:vAlign w:val="bottom"/>
            <w:tcBorders>
              <w:left w:val="single" w:sz="8" w:color="auto"/>
              <w:right w:val="single" w:sz="8" w:color="auto"/>
            </w:tcBorders>
            <w:gridSpan w:val="2"/>
            <w:vMerge w:val="continue"/>
          </w:tcPr>
          <w:p>
            <w:pPr>
              <w:spacing w:after="0"/>
              <w:rPr>
                <w:sz w:val="9"/>
                <w:szCs w:val="9"/>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820" w:type="dxa"/>
            <w:vAlign w:val="bottom"/>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4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0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Immunology</w:t>
            </w:r>
          </w:p>
        </w:tc>
        <w:tc>
          <w:tcPr>
            <w:tcW w:w="2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(1)</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Atopic dermatitis</w:t>
            </w:r>
          </w:p>
        </w:tc>
        <w:tc>
          <w:tcPr>
            <w:tcW w:w="820" w:type="dxa"/>
            <w:vAlign w:val="bottom"/>
          </w:tcPr>
          <w:p>
            <w:pPr>
              <w:spacing w:after="0"/>
              <w:rPr>
                <w:sz w:val="20"/>
                <w:szCs w:val="20"/>
                <w:color w:val="auto"/>
              </w:rPr>
            </w:pPr>
            <w:r>
              <w:rPr>
                <w:rFonts w:ascii="Arial" w:cs="Arial" w:eastAsia="Arial" w:hAnsi="Arial"/>
                <w:sz w:val="18"/>
                <w:szCs w:val="18"/>
                <w:color w:val="auto"/>
                <w:w w:val="98"/>
              </w:rPr>
              <w:t>Submitted</w:t>
            </w:r>
          </w:p>
        </w:tc>
        <w:tc>
          <w:tcPr>
            <w:tcW w:w="860" w:type="dxa"/>
            <w:vAlign w:val="bottom"/>
            <w:tcBorders>
              <w:right w:val="single" w:sz="8" w:color="auto"/>
            </w:tcBorders>
          </w:tcPr>
          <w:p>
            <w:pPr>
              <w:spacing w:after="0"/>
              <w:rPr>
                <w:sz w:val="22"/>
                <w:szCs w:val="22"/>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the U.S. and Europe in 2022. Phase III trials</w:t>
            </w:r>
          </w:p>
        </w:tc>
        <w:tc>
          <w:tcPr>
            <w:tcW w:w="0" w:type="dxa"/>
            <w:vAlign w:val="bottom"/>
          </w:tcPr>
          <w:p>
            <w:pPr>
              <w:spacing w:after="0"/>
              <w:rPr>
                <w:sz w:val="1"/>
                <w:szCs w:val="1"/>
                <w:color w:val="auto"/>
              </w:rPr>
            </w:pPr>
          </w:p>
        </w:tc>
      </w:tr>
      <w:tr>
        <w:trPr>
          <w:trHeight w:val="148"/>
        </w:trPr>
        <w:tc>
          <w:tcPr>
            <w:tcW w:w="230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are ongoing.</w:t>
            </w:r>
          </w:p>
        </w:tc>
        <w:tc>
          <w:tcPr>
            <w:tcW w:w="0" w:type="dxa"/>
            <w:vAlign w:val="bottom"/>
          </w:tcPr>
          <w:p>
            <w:pPr>
              <w:spacing w:after="0"/>
              <w:rPr>
                <w:sz w:val="1"/>
                <w:szCs w:val="1"/>
                <w:color w:val="auto"/>
              </w:rPr>
            </w:pPr>
          </w:p>
        </w:tc>
      </w:tr>
      <w:tr>
        <w:trPr>
          <w:trHeight w:val="321"/>
        </w:trPr>
        <w:tc>
          <w:tcPr>
            <w:tcW w:w="23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Mirikizumab</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Ulcerative colitis</w:t>
            </w:r>
          </w:p>
        </w:tc>
        <w:tc>
          <w:tcPr>
            <w:tcW w:w="820" w:type="dxa"/>
            <w:vAlign w:val="bottom"/>
          </w:tcPr>
          <w:p>
            <w:pPr>
              <w:spacing w:after="0"/>
              <w:rPr>
                <w:sz w:val="20"/>
                <w:szCs w:val="20"/>
                <w:color w:val="auto"/>
              </w:rPr>
            </w:pPr>
            <w:r>
              <w:rPr>
                <w:rFonts w:ascii="Arial" w:cs="Arial" w:eastAsia="Arial" w:hAnsi="Arial"/>
                <w:sz w:val="18"/>
                <w:szCs w:val="18"/>
                <w:color w:val="auto"/>
                <w:w w:val="98"/>
              </w:rPr>
              <w:t>Submitted</w:t>
            </w:r>
          </w:p>
        </w:tc>
        <w:tc>
          <w:tcPr>
            <w:tcW w:w="86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the U.S., Europe, and Japan in 2022.</w:t>
            </w:r>
          </w:p>
        </w:tc>
        <w:tc>
          <w:tcPr>
            <w:tcW w:w="0" w:type="dxa"/>
            <w:vAlign w:val="bottom"/>
          </w:tcPr>
          <w:p>
            <w:pPr>
              <w:spacing w:after="0"/>
              <w:rPr>
                <w:sz w:val="1"/>
                <w:szCs w:val="1"/>
                <w:color w:val="auto"/>
              </w:rPr>
            </w:pPr>
          </w:p>
        </w:tc>
      </w:tr>
      <w:tr>
        <w:trPr>
          <w:trHeight w:val="90"/>
        </w:trPr>
        <w:tc>
          <w:tcPr>
            <w:tcW w:w="2340" w:type="dxa"/>
            <w:vAlign w:val="bottom"/>
            <w:tcBorders>
              <w:left w:val="single" w:sz="8" w:color="auto"/>
              <w:right w:val="single" w:sz="8" w:color="auto"/>
            </w:tcBorders>
            <w:gridSpan w:val="2"/>
            <w:vMerge w:val="continue"/>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3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Crohn's Disease</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III</w:t>
            </w:r>
          </w:p>
        </w:tc>
        <w:tc>
          <w:tcPr>
            <w:tcW w:w="86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BTLA MAB Agonist</w:t>
            </w:r>
          </w:p>
        </w:tc>
        <w:tc>
          <w:tcPr>
            <w:tcW w:w="232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Systemic lupus</w:t>
            </w:r>
          </w:p>
        </w:tc>
        <w:tc>
          <w:tcPr>
            <w:tcW w:w="82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initiated in 2022.</w:t>
            </w:r>
          </w:p>
        </w:tc>
        <w:tc>
          <w:tcPr>
            <w:tcW w:w="0" w:type="dxa"/>
            <w:vAlign w:val="bottom"/>
          </w:tcPr>
          <w:p>
            <w:pPr>
              <w:spacing w:after="0"/>
              <w:rPr>
                <w:sz w:val="1"/>
                <w:szCs w:val="1"/>
                <w:color w:val="auto"/>
              </w:rPr>
            </w:pPr>
          </w:p>
        </w:tc>
      </w:tr>
      <w:tr>
        <w:trPr>
          <w:trHeight w:val="152"/>
        </w:trPr>
        <w:tc>
          <w:tcPr>
            <w:tcW w:w="2340" w:type="dxa"/>
            <w:vAlign w:val="bottom"/>
            <w:tcBorders>
              <w:left w:val="single" w:sz="8" w:color="auto"/>
              <w:right w:val="single" w:sz="8" w:color="auto"/>
            </w:tcBorders>
            <w:gridSpan w:val="2"/>
            <w:vMerge w:val="continue"/>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erythematosus</w:t>
            </w:r>
          </w:p>
        </w:tc>
        <w:tc>
          <w:tcPr>
            <w:tcW w:w="82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0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40" w:type="dxa"/>
            <w:vAlign w:val="bottom"/>
            <w:tcBorders>
              <w:left w:val="single" w:sz="8" w:color="auto"/>
              <w:right w:val="single" w:sz="8" w:color="auto"/>
            </w:tcBorders>
            <w:gridSpan w:val="2"/>
          </w:tcPr>
          <w:p>
            <w:pPr>
              <w:ind w:left="40"/>
              <w:spacing w:after="0" w:line="171" w:lineRule="exact"/>
              <w:rPr>
                <w:sz w:val="20"/>
                <w:szCs w:val="20"/>
                <w:color w:val="auto"/>
              </w:rPr>
            </w:pPr>
            <w:r>
              <w:rPr>
                <w:rFonts w:ascii="Arial" w:cs="Arial" w:eastAsia="Arial" w:hAnsi="Arial"/>
                <w:sz w:val="18"/>
                <w:szCs w:val="18"/>
                <w:color w:val="auto"/>
              </w:rPr>
              <w:t>CXCR1/2 Ligands</w:t>
            </w: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Hidradenitis suppurativa</w:t>
            </w:r>
          </w:p>
        </w:tc>
        <w:tc>
          <w:tcPr>
            <w:tcW w:w="82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Monoclonal Antibody</w:t>
            </w:r>
          </w:p>
        </w:tc>
        <w:tc>
          <w:tcPr>
            <w:tcW w:w="2320" w:type="dxa"/>
            <w:vAlign w:val="bottom"/>
            <w:tcBorders>
              <w:right w:val="single" w:sz="8" w:color="auto"/>
            </w:tcBorders>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gridSpan w:val="2"/>
            <w:vMerge w:val="continue"/>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3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Peresolimab</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Rheumatoid arthritis</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Rezpegaldesleukin</w:t>
            </w:r>
          </w:p>
        </w:tc>
        <w:tc>
          <w:tcPr>
            <w:tcW w:w="232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Systemic lupus</w:t>
            </w:r>
          </w:p>
        </w:tc>
        <w:tc>
          <w:tcPr>
            <w:tcW w:w="82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86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gridSpan w:val="2"/>
            <w:vMerge w:val="continue"/>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erythematosus</w:t>
            </w:r>
          </w:p>
        </w:tc>
        <w:tc>
          <w:tcPr>
            <w:tcW w:w="820" w:type="dxa"/>
            <w:vAlign w:val="bottom"/>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0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6"/>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rPr>
              <w:t>39</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6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49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49"/>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40" w:type="dxa"/>
            <w:vAlign w:val="bottom"/>
            <w:tcBorders>
              <w:left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U.S. Food and Drug Administration (FDA)</w:t>
            </w:r>
          </w:p>
        </w:tc>
        <w:tc>
          <w:tcPr>
            <w:tcW w:w="0" w:type="dxa"/>
            <w:vAlign w:val="bottom"/>
          </w:tcPr>
          <w:p>
            <w:pPr>
              <w:spacing w:after="0"/>
              <w:rPr>
                <w:sz w:val="1"/>
                <w:szCs w:val="1"/>
                <w:color w:val="auto"/>
              </w:rPr>
            </w:pPr>
          </w:p>
        </w:tc>
      </w:tr>
      <w:tr>
        <w:trPr>
          <w:trHeight w:val="184"/>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Complete Response</w:t>
            </w:r>
          </w:p>
        </w:tc>
        <w:tc>
          <w:tcPr>
            <w:tcW w:w="4920" w:type="dxa"/>
            <w:vAlign w:val="bottom"/>
            <w:tcBorders>
              <w:right w:val="single" w:sz="8" w:color="auto"/>
            </w:tcBorders>
          </w:tcPr>
          <w:p>
            <w:pPr>
              <w:ind w:left="20"/>
              <w:spacing w:after="0" w:line="184" w:lineRule="exact"/>
              <w:rPr>
                <w:sz w:val="20"/>
                <w:szCs w:val="20"/>
                <w:color w:val="auto"/>
              </w:rPr>
            </w:pPr>
            <w:r>
              <w:rPr>
                <w:rFonts w:ascii="Arial" w:cs="Arial" w:eastAsia="Arial" w:hAnsi="Arial"/>
                <w:sz w:val="17"/>
                <w:szCs w:val="17"/>
                <w:color w:val="auto"/>
              </w:rPr>
              <w:t>Breakthrough Therapy designation</w:t>
            </w:r>
            <w:r>
              <w:rPr>
                <w:rFonts w:ascii="Arial" w:cs="Arial" w:eastAsia="Arial" w:hAnsi="Arial"/>
                <w:sz w:val="21"/>
                <w:szCs w:val="21"/>
                <w:color w:val="auto"/>
                <w:vertAlign w:val="superscript"/>
              </w:rPr>
              <w:t>(2)</w:t>
            </w:r>
            <w:r>
              <w:rPr>
                <w:rFonts w:ascii="Arial" w:cs="Arial" w:eastAsia="Arial" w:hAnsi="Arial"/>
                <w:sz w:val="17"/>
                <w:szCs w:val="17"/>
                <w:color w:val="auto"/>
              </w:rPr>
              <w:t>. Submitted in the U.S.</w:t>
            </w:r>
          </w:p>
        </w:tc>
        <w:tc>
          <w:tcPr>
            <w:tcW w:w="0" w:type="dxa"/>
            <w:vAlign w:val="bottom"/>
          </w:tcPr>
          <w:p>
            <w:pPr>
              <w:spacing w:after="0"/>
              <w:rPr>
                <w:sz w:val="1"/>
                <w:szCs w:val="1"/>
                <w:color w:val="auto"/>
              </w:rPr>
            </w:pPr>
          </w:p>
        </w:tc>
      </w:tr>
      <w:tr>
        <w:trPr>
          <w:trHeight w:val="181"/>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Early Alzheimer's disease</w:t>
            </w:r>
          </w:p>
        </w:tc>
        <w:tc>
          <w:tcPr>
            <w:tcW w:w="1680" w:type="dxa"/>
            <w:vAlign w:val="bottom"/>
            <w:tcBorders>
              <w:right w:val="single" w:sz="8" w:color="auto"/>
            </w:tcBorders>
            <w:vMerge w:val="continue"/>
          </w:tcPr>
          <w:p>
            <w:pPr>
              <w:spacing w:after="0"/>
              <w:rPr>
                <w:sz w:val="15"/>
                <w:szCs w:val="15"/>
                <w:color w:val="auto"/>
              </w:rPr>
            </w:pPr>
          </w:p>
        </w:tc>
        <w:tc>
          <w:tcPr>
            <w:tcW w:w="49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in 2022 under the accelerated approval pathway. In January</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Donanemab</w:t>
            </w:r>
          </w:p>
        </w:tc>
        <w:tc>
          <w:tcPr>
            <w:tcW w:w="2320" w:type="dxa"/>
            <w:vAlign w:val="bottom"/>
            <w:tcBorders>
              <w:right w:val="single" w:sz="8" w:color="auto"/>
            </w:tcBorders>
            <w:vMerge w:val="continue"/>
          </w:tcPr>
          <w:p>
            <w:pPr>
              <w:spacing w:after="0"/>
              <w:rPr>
                <w:sz w:val="13"/>
                <w:szCs w:val="13"/>
                <w:color w:val="auto"/>
              </w:rPr>
            </w:pPr>
          </w:p>
        </w:tc>
        <w:tc>
          <w:tcPr>
            <w:tcW w:w="16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Letter</w:t>
            </w:r>
          </w:p>
        </w:tc>
        <w:tc>
          <w:tcPr>
            <w:tcW w:w="49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2023, the FDA issued a complete response letter for the</w:t>
            </w:r>
          </w:p>
        </w:tc>
        <w:tc>
          <w:tcPr>
            <w:tcW w:w="0" w:type="dxa"/>
            <w:vAlign w:val="bottom"/>
          </w:tcPr>
          <w:p>
            <w:pPr>
              <w:spacing w:after="0"/>
              <w:rPr>
                <w:sz w:val="1"/>
                <w:szCs w:val="1"/>
                <w:color w:val="auto"/>
              </w:rPr>
            </w:pPr>
          </w:p>
        </w:tc>
      </w:tr>
      <w:tr>
        <w:trPr>
          <w:trHeight w:val="23"/>
        </w:trPr>
        <w:tc>
          <w:tcPr>
            <w:tcW w:w="2340" w:type="dxa"/>
            <w:vAlign w:val="bottom"/>
            <w:tcBorders>
              <w:left w:val="single" w:sz="8" w:color="auto"/>
              <w:right w:val="single" w:sz="8" w:color="auto"/>
            </w:tcBorders>
            <w:vMerge w:val="continue"/>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680" w:type="dxa"/>
            <w:vAlign w:val="bottom"/>
            <w:tcBorders>
              <w:right w:val="single" w:sz="8" w:color="auto"/>
            </w:tcBorders>
            <w:vMerge w:val="continue"/>
          </w:tcPr>
          <w:p>
            <w:pPr>
              <w:spacing w:after="0"/>
              <w:rPr>
                <w:sz w:val="2"/>
                <w:szCs w:val="2"/>
                <w:color w:val="auto"/>
              </w:rPr>
            </w:pPr>
          </w:p>
        </w:tc>
        <w:tc>
          <w:tcPr>
            <w:tcW w:w="4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340" w:type="dxa"/>
            <w:vAlign w:val="bottom"/>
            <w:tcBorders>
              <w:left w:val="single" w:sz="8" w:color="auto"/>
              <w:right w:val="single" w:sz="8" w:color="auto"/>
            </w:tcBorders>
            <w:vMerge w:val="continue"/>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accelerated approval submission. Phase III trials are</w:t>
            </w:r>
          </w:p>
        </w:tc>
        <w:tc>
          <w:tcPr>
            <w:tcW w:w="0" w:type="dxa"/>
            <w:vAlign w:val="bottom"/>
          </w:tcPr>
          <w:p>
            <w:pPr>
              <w:spacing w:after="0"/>
              <w:rPr>
                <w:sz w:val="1"/>
                <w:szCs w:val="1"/>
                <w:color w:val="auto"/>
              </w:rPr>
            </w:pPr>
          </w:p>
        </w:tc>
      </w:tr>
      <w:tr>
        <w:trPr>
          <w:trHeight w:val="239"/>
        </w:trPr>
        <w:tc>
          <w:tcPr>
            <w:tcW w:w="234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04"/>
        </w:trPr>
        <w:tc>
          <w:tcPr>
            <w:tcW w:w="2340" w:type="dxa"/>
            <w:vAlign w:val="bottom"/>
            <w:tcBorders>
              <w:left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340" w:type="dxa"/>
            <w:vAlign w:val="bottom"/>
            <w:tcBorders>
              <w:left w:val="single" w:sz="8" w:color="auto"/>
              <w:right w:val="single" w:sz="8" w:color="auto"/>
            </w:tcBorders>
          </w:tcPr>
          <w:p>
            <w:pPr>
              <w:spacing w:after="0"/>
              <w:rPr>
                <w:sz w:val="14"/>
                <w:szCs w:val="14"/>
                <w:color w:val="auto"/>
              </w:rPr>
            </w:pPr>
          </w:p>
        </w:tc>
        <w:tc>
          <w:tcPr>
            <w:tcW w:w="23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Preclinical Alzheimer's</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68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Remternetug</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Early Alzheimer's disease</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initiated in 2022.</w:t>
            </w:r>
          </w:p>
        </w:tc>
        <w:tc>
          <w:tcPr>
            <w:tcW w:w="0" w:type="dxa"/>
            <w:vAlign w:val="bottom"/>
          </w:tcPr>
          <w:p>
            <w:pPr>
              <w:spacing w:after="0"/>
              <w:rPr>
                <w:sz w:val="1"/>
                <w:szCs w:val="1"/>
                <w:color w:val="auto"/>
              </w:rPr>
            </w:pPr>
          </w:p>
        </w:tc>
      </w:tr>
      <w:tr>
        <w:trPr>
          <w:trHeight w:val="169"/>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23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Preclinical Alzheimer's</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vMerge w:val="continue"/>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68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4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8"/>
                <w:szCs w:val="18"/>
                <w:color w:val="auto"/>
              </w:rPr>
              <w:t>GBA1 Gene Therapy</w:t>
            </w: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Parkinson's disease</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5"/>
                <w:szCs w:val="15"/>
                <w:color w:val="auto"/>
              </w:rPr>
              <w:t>Granted FDA Fast Track designation</w:t>
            </w:r>
            <w:r>
              <w:rPr>
                <w:rFonts w:ascii="Arial" w:cs="Arial" w:eastAsia="Arial" w:hAnsi="Arial"/>
                <w:sz w:val="19"/>
                <w:szCs w:val="19"/>
                <w:color w:val="auto"/>
                <w:vertAlign w:val="superscript"/>
              </w:rPr>
              <w:t>(3)</w:t>
            </w:r>
            <w:r>
              <w:rPr>
                <w:rFonts w:ascii="Arial" w:cs="Arial" w:eastAsia="Arial" w:hAnsi="Arial"/>
                <w:sz w:val="15"/>
                <w:szCs w:val="15"/>
                <w:color w:val="auto"/>
              </w:rPr>
              <w:t>. Phase II trial is</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(PR001)</w:t>
            </w:r>
          </w:p>
        </w:tc>
        <w:tc>
          <w:tcPr>
            <w:tcW w:w="2320" w:type="dxa"/>
            <w:vAlign w:val="bottom"/>
            <w:tcBorders>
              <w:right w:val="single" w:sz="8" w:color="auto"/>
            </w:tcBorders>
            <w:vMerge w:val="continue"/>
          </w:tcPr>
          <w:p>
            <w:pPr>
              <w:spacing w:after="0"/>
              <w:rPr>
                <w:sz w:val="13"/>
                <w:szCs w:val="13"/>
                <w:color w:val="auto"/>
              </w:rPr>
            </w:pPr>
          </w:p>
        </w:tc>
        <w:tc>
          <w:tcPr>
            <w:tcW w:w="168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4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8"/>
                <w:szCs w:val="18"/>
                <w:color w:val="auto"/>
              </w:rPr>
              <w:t>GRN Gene Therapy</w:t>
            </w: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Frontotemporal dementia</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5"/>
                <w:szCs w:val="15"/>
                <w:color w:val="auto"/>
              </w:rPr>
              <w:t>Granted FDA Fast Track designation</w:t>
            </w:r>
            <w:r>
              <w:rPr>
                <w:rFonts w:ascii="Arial" w:cs="Arial" w:eastAsia="Arial" w:hAnsi="Arial"/>
                <w:sz w:val="19"/>
                <w:szCs w:val="19"/>
                <w:color w:val="auto"/>
                <w:vertAlign w:val="superscript"/>
              </w:rPr>
              <w:t>(3)</w:t>
            </w:r>
            <w:r>
              <w:rPr>
                <w:rFonts w:ascii="Arial" w:cs="Arial" w:eastAsia="Arial" w:hAnsi="Arial"/>
                <w:sz w:val="15"/>
                <w:szCs w:val="15"/>
                <w:color w:val="auto"/>
              </w:rPr>
              <w:t>. Phase II trial is</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(PR006)</w:t>
            </w:r>
          </w:p>
        </w:tc>
        <w:tc>
          <w:tcPr>
            <w:tcW w:w="2320" w:type="dxa"/>
            <w:vAlign w:val="bottom"/>
            <w:tcBorders>
              <w:right w:val="single" w:sz="8" w:color="auto"/>
            </w:tcBorders>
            <w:vMerge w:val="continue"/>
          </w:tcPr>
          <w:p>
            <w:pPr>
              <w:spacing w:after="0"/>
              <w:rPr>
                <w:sz w:val="13"/>
                <w:szCs w:val="13"/>
                <w:color w:val="auto"/>
              </w:rPr>
            </w:pPr>
          </w:p>
        </w:tc>
        <w:tc>
          <w:tcPr>
            <w:tcW w:w="168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O-GlcNAcase Inh</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Alzheimer's disease</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P2X7 Inhibitor</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Pain</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initiated in 2022.</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Pain</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TRPA1 Antagonist</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Pain</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340" w:type="dxa"/>
            <w:vAlign w:val="bottom"/>
            <w:tcBorders>
              <w:left w:val="single" w:sz="8" w:color="auto"/>
              <w:right w:val="single" w:sz="8" w:color="auto"/>
            </w:tcBorders>
          </w:tcPr>
          <w:p>
            <w:pPr>
              <w:spacing w:after="0"/>
              <w:rPr>
                <w:sz w:val="22"/>
                <w:szCs w:val="22"/>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Mantle cell lymphoma</w:t>
            </w:r>
          </w:p>
        </w:tc>
        <w:tc>
          <w:tcPr>
            <w:tcW w:w="1680" w:type="dxa"/>
            <w:vAlign w:val="bottom"/>
            <w:tcBorders>
              <w:right w:val="single" w:sz="8" w:color="auto"/>
            </w:tcBorders>
          </w:tcPr>
          <w:p>
            <w:pPr>
              <w:jc w:val="right"/>
              <w:ind w:right="692"/>
              <w:spacing w:after="0"/>
              <w:rPr>
                <w:sz w:val="20"/>
                <w:szCs w:val="20"/>
                <w:color w:val="auto"/>
              </w:rPr>
            </w:pPr>
            <w:r>
              <w:rPr>
                <w:rFonts w:ascii="Arial" w:cs="Arial" w:eastAsia="Arial" w:hAnsi="Arial"/>
                <w:sz w:val="12"/>
                <w:szCs w:val="12"/>
                <w:color w:val="auto"/>
              </w:rPr>
              <w:t>(4)</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FDA granted accelerated approval</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U.S. in January</w:t>
            </w: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vMerge w:val="continue"/>
          </w:tcPr>
          <w:p>
            <w:pPr>
              <w:spacing w:after="0"/>
              <w:rPr>
                <w:sz w:val="15"/>
                <w:szCs w:val="15"/>
                <w:color w:val="auto"/>
              </w:rPr>
            </w:pPr>
          </w:p>
        </w:tc>
        <w:tc>
          <w:tcPr>
            <w:tcW w:w="1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Approved</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2023. Phase III trial is ongoing.</w:t>
            </w:r>
          </w:p>
        </w:tc>
        <w:tc>
          <w:tcPr>
            <w:tcW w:w="0" w:type="dxa"/>
            <w:vAlign w:val="bottom"/>
          </w:tcPr>
          <w:p>
            <w:pPr>
              <w:spacing w:after="0"/>
              <w:rPr>
                <w:sz w:val="1"/>
                <w:szCs w:val="1"/>
                <w:color w:val="auto"/>
              </w:rPr>
            </w:pPr>
          </w:p>
        </w:tc>
      </w:tr>
      <w:tr>
        <w:trPr>
          <w:trHeight w:val="63"/>
        </w:trPr>
        <w:tc>
          <w:tcPr>
            <w:tcW w:w="2340" w:type="dxa"/>
            <w:vAlign w:val="bottom"/>
            <w:tcBorders>
              <w:left w:val="single" w:sz="8" w:color="auto"/>
              <w:right w:val="single" w:sz="8" w:color="auto"/>
            </w:tcBorders>
            <w:vMerge w:val="restart"/>
          </w:tcPr>
          <w:p>
            <w:pPr>
              <w:ind w:left="40"/>
              <w:spacing w:after="0" w:line="156" w:lineRule="exact"/>
              <w:rPr>
                <w:sz w:val="20"/>
                <w:szCs w:val="20"/>
                <w:color w:val="auto"/>
              </w:rPr>
            </w:pPr>
            <w:r>
              <w:rPr>
                <w:rFonts w:ascii="Arial" w:cs="Arial" w:eastAsia="Arial" w:hAnsi="Arial"/>
                <w:sz w:val="18"/>
                <w:szCs w:val="18"/>
                <w:color w:val="auto"/>
              </w:rPr>
              <w:t>Pirtobrutinib</w:t>
            </w:r>
          </w:p>
        </w:tc>
        <w:tc>
          <w:tcPr>
            <w:tcW w:w="232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4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340" w:type="dxa"/>
            <w:vAlign w:val="bottom"/>
            <w:tcBorders>
              <w:left w:val="single" w:sz="8" w:color="auto"/>
              <w:right w:val="single" w:sz="8" w:color="auto"/>
            </w:tcBorders>
            <w:vMerge w:val="continue"/>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3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5"/>
                <w:szCs w:val="15"/>
                <w:color w:val="auto"/>
              </w:rPr>
              <w:t>(Jaypirca</w:t>
            </w:r>
            <w:r>
              <w:rPr>
                <w:rFonts w:ascii="Arial" w:cs="Arial" w:eastAsia="Arial" w:hAnsi="Arial"/>
                <w:sz w:val="19"/>
                <w:szCs w:val="19"/>
                <w:color w:val="auto"/>
                <w:vertAlign w:val="superscript"/>
              </w:rPr>
              <w:t>TM</w:t>
            </w:r>
            <w:r>
              <w:rPr>
                <w:rFonts w:ascii="Arial" w:cs="Arial" w:eastAsia="Arial" w:hAnsi="Arial"/>
                <w:sz w:val="15"/>
                <w:szCs w:val="15"/>
                <w:color w:val="auto"/>
              </w:rPr>
              <w:t>)</w:t>
            </w:r>
          </w:p>
        </w:tc>
        <w:tc>
          <w:tcPr>
            <w:tcW w:w="23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Chronic lymphocytic</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leukemia</w:t>
            </w:r>
          </w:p>
        </w:tc>
        <w:tc>
          <w:tcPr>
            <w:tcW w:w="168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malignancies</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55"/>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Selpercatinib (Retevmo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680" w:type="dxa"/>
            <w:vAlign w:val="bottom"/>
            <w:tcBorders>
              <w:bottom w:val="single" w:sz="8" w:color="auto"/>
              <w:right w:val="single" w:sz="8" w:color="auto"/>
            </w:tcBorders>
          </w:tcPr>
          <w:p>
            <w:pPr>
              <w:spacing w:after="0" w:line="255" w:lineRule="exact"/>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(4)</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vMerge w:val="continue"/>
          </w:tcPr>
          <w:p>
            <w:pPr>
              <w:spacing w:after="0"/>
              <w:rPr>
                <w:sz w:val="15"/>
                <w:szCs w:val="15"/>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Thyroid cancer</w:t>
            </w:r>
          </w:p>
        </w:tc>
        <w:tc>
          <w:tcPr>
            <w:tcW w:w="1680" w:type="dxa"/>
            <w:vAlign w:val="bottom"/>
            <w:tcBorders>
              <w:right w:val="single" w:sz="8" w:color="auto"/>
            </w:tcBorders>
            <w:vMerge w:val="restart"/>
          </w:tcPr>
          <w:p>
            <w:pPr>
              <w:spacing w:after="0" w:line="250" w:lineRule="exact"/>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(4)</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75"/>
        </w:trPr>
        <w:tc>
          <w:tcPr>
            <w:tcW w:w="2340" w:type="dxa"/>
            <w:vAlign w:val="bottom"/>
            <w:tcBorders>
              <w:left w:val="single" w:sz="8" w:color="auto"/>
              <w:bottom w:val="single" w:sz="8" w:color="auto"/>
              <w:right w:val="single" w:sz="8" w:color="auto"/>
            </w:tcBorders>
          </w:tcPr>
          <w:p>
            <w:pPr>
              <w:spacing w:after="0"/>
              <w:rPr>
                <w:sz w:val="6"/>
                <w:szCs w:val="6"/>
                <w:color w:val="auto"/>
              </w:rPr>
            </w:pPr>
          </w:p>
        </w:tc>
        <w:tc>
          <w:tcPr>
            <w:tcW w:w="2320" w:type="dxa"/>
            <w:vAlign w:val="bottom"/>
            <w:tcBorders>
              <w:bottom w:val="single" w:sz="8" w:color="auto"/>
              <w:right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vMerge w:val="continue"/>
          </w:tcPr>
          <w:p>
            <w:pPr>
              <w:spacing w:after="0"/>
              <w:rPr>
                <w:sz w:val="6"/>
                <w:szCs w:val="6"/>
                <w:color w:val="auto"/>
              </w:rPr>
            </w:pPr>
          </w:p>
        </w:tc>
        <w:tc>
          <w:tcPr>
            <w:tcW w:w="49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Adjuvant Breast Cancer</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initiated in 2022.</w:t>
            </w:r>
          </w:p>
        </w:tc>
        <w:tc>
          <w:tcPr>
            <w:tcW w:w="0" w:type="dxa"/>
            <w:vAlign w:val="bottom"/>
          </w:tcPr>
          <w:p>
            <w:pPr>
              <w:spacing w:after="0"/>
              <w:rPr>
                <w:sz w:val="1"/>
                <w:szCs w:val="1"/>
                <w:color w:val="auto"/>
              </w:rPr>
            </w:pPr>
          </w:p>
        </w:tc>
      </w:tr>
      <w:tr>
        <w:trPr>
          <w:trHeight w:val="90"/>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3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340" w:type="dxa"/>
            <w:vAlign w:val="bottom"/>
            <w:tcBorders>
              <w:left w:val="single" w:sz="8" w:color="auto"/>
              <w:right w:val="single" w:sz="8" w:color="auto"/>
            </w:tcBorders>
            <w:vMerge w:val="continue"/>
          </w:tcPr>
          <w:p>
            <w:pPr>
              <w:spacing w:after="0"/>
              <w:rPr>
                <w:sz w:val="17"/>
                <w:szCs w:val="1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ER+HER2- metastatic</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63"/>
        </w:trPr>
        <w:tc>
          <w:tcPr>
            <w:tcW w:w="2340" w:type="dxa"/>
            <w:vAlign w:val="bottom"/>
            <w:tcBorders>
              <w:left w:val="single" w:sz="8" w:color="auto"/>
              <w:right w:val="single" w:sz="8" w:color="auto"/>
            </w:tcBorders>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4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breast cancer</w:t>
            </w:r>
          </w:p>
        </w:tc>
        <w:tc>
          <w:tcPr>
            <w:tcW w:w="1680" w:type="dxa"/>
            <w:vAlign w:val="bottom"/>
            <w:tcBorders>
              <w:right w:val="single" w:sz="8" w:color="auto"/>
            </w:tcBorders>
            <w:vMerge w:val="continue"/>
          </w:tcPr>
          <w:p>
            <w:pPr>
              <w:spacing w:after="0"/>
              <w:rPr>
                <w:sz w:val="13"/>
                <w:szCs w:val="13"/>
                <w:color w:val="auto"/>
              </w:rPr>
            </w:pPr>
          </w:p>
        </w:tc>
        <w:tc>
          <w:tcPr>
            <w:tcW w:w="4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40" w:type="dxa"/>
            <w:vAlign w:val="bottom"/>
            <w:tcBorders>
              <w:left w:val="single" w:sz="8" w:color="auto"/>
              <w:righ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340" w:type="dxa"/>
            <w:vAlign w:val="bottom"/>
            <w:tcBorders>
              <w:left w:val="single" w:sz="8" w:color="auto"/>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ind w:left="180" w:right="80" w:hanging="172"/>
        <w:spacing w:after="0" w:line="261" w:lineRule="auto"/>
        <w:tabs>
          <w:tab w:leader="none" w:pos="172" w:val="left"/>
        </w:tabs>
        <w:numPr>
          <w:ilvl w:val="0"/>
          <w:numId w:val="34"/>
        </w:numPr>
        <w:rPr>
          <w:rFonts w:ascii="Arial" w:cs="Arial" w:eastAsia="Arial" w:hAnsi="Arial"/>
          <w:sz w:val="9"/>
          <w:szCs w:val="9"/>
          <w:color w:val="auto"/>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ind w:left="140" w:hanging="132"/>
        <w:spacing w:after="0" w:line="228" w:lineRule="auto"/>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facilitate the development and expedite the review of medicines to treat serious conditions and fill an unmet medical need.</w:t>
      </w:r>
    </w:p>
    <w:p>
      <w:pPr>
        <w:ind w:left="160" w:hanging="152"/>
        <w:spacing w:after="0" w:line="204"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7" w:right="319" w:bottom="1440" w:gutter="0" w:footer="0" w:header="0"/>
        </w:sectPr>
      </w:pPr>
    </w:p>
    <w:bookmarkStart w:id="40" w:name="page41"/>
    <w:bookmarkEnd w:id="40"/>
    <w:p>
      <w:pPr>
        <w:ind w:right="320"/>
        <w:spacing w:after="0" w:line="262" w:lineRule="auto"/>
        <w:rPr>
          <w:sz w:val="20"/>
          <w:szCs w:val="20"/>
          <w:color w:val="auto"/>
        </w:rPr>
      </w:pPr>
      <w:r>
        <w:rPr>
          <w:rFonts w:ascii="Arial" w:cs="Arial" w:eastAsia="Arial" w:hAnsi="Arial"/>
          <w:sz w:val="18"/>
          <w:szCs w:val="18"/>
          <w:color w:val="auto"/>
        </w:rPr>
        <w:t>Our pipeline also contains several new indication line extension (NILEX) products. The following certain NILEX products for use in the indication described are currently in Phase II or Phase III clinical trials or have been submitted for regulatory review or have received regulatory approval in the U.S., Europe, or Japan. The following table reflects the status of certain NILEX products, including certain other developments, up to the time of the filing of this Annual Report on Form 10-K:</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7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49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Diabetes</w:t>
            </w:r>
          </w:p>
        </w:tc>
        <w:tc>
          <w:tcPr>
            <w:tcW w:w="2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3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7"/>
                <w:szCs w:val="17"/>
                <w:color w:val="auto"/>
              </w:rPr>
              <w:t>Empagliflozin (Jardiance</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kidney disease</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Submitted</w:t>
            </w:r>
          </w:p>
        </w:tc>
        <w:tc>
          <w:tcPr>
            <w:tcW w:w="4900" w:type="dxa"/>
            <w:vAlign w:val="bottom"/>
            <w:tcBorders>
              <w:right w:val="single" w:sz="8" w:color="auto"/>
            </w:tcBorders>
          </w:tcPr>
          <w:p>
            <w:pPr>
              <w:spacing w:after="0" w:line="195"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Submitted in the</w:t>
            </w: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w:t>
            </w:r>
          </w:p>
        </w:tc>
        <w:tc>
          <w:tcPr>
            <w:tcW w:w="23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4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U.S. and Europe in January 2023.</w:t>
            </w:r>
          </w:p>
        </w:tc>
        <w:tc>
          <w:tcPr>
            <w:tcW w:w="0" w:type="dxa"/>
            <w:vAlign w:val="bottom"/>
          </w:tcPr>
          <w:p>
            <w:pPr>
              <w:spacing w:after="0"/>
              <w:rPr>
                <w:sz w:val="1"/>
                <w:szCs w:val="1"/>
                <w:color w:val="auto"/>
              </w:rPr>
            </w:pP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4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3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Submission initiated</w:t>
            </w:r>
          </w:p>
        </w:tc>
        <w:tc>
          <w:tcPr>
            <w:tcW w:w="490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in 2022. Initiated a</w:t>
            </w:r>
          </w:p>
        </w:tc>
        <w:tc>
          <w:tcPr>
            <w:tcW w:w="0" w:type="dxa"/>
            <w:vAlign w:val="bottom"/>
          </w:tcPr>
          <w:p>
            <w:pPr>
              <w:spacing w:after="0"/>
              <w:rPr>
                <w:sz w:val="1"/>
                <w:szCs w:val="1"/>
                <w:color w:val="auto"/>
              </w:rPr>
            </w:pPr>
          </w:p>
        </w:tc>
      </w:tr>
      <w:tr>
        <w:trPr>
          <w:trHeight w:val="184"/>
        </w:trPr>
        <w:tc>
          <w:tcPr>
            <w:tcW w:w="23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49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rolling submission in the U.S. in 2022. Phase III trials are</w:t>
            </w:r>
          </w:p>
        </w:tc>
        <w:tc>
          <w:tcPr>
            <w:tcW w:w="0" w:type="dxa"/>
            <w:vAlign w:val="bottom"/>
          </w:tcPr>
          <w:p>
            <w:pPr>
              <w:spacing w:after="0"/>
              <w:rPr>
                <w:sz w:val="1"/>
                <w:szCs w:val="1"/>
                <w:color w:val="auto"/>
              </w:rPr>
            </w:pPr>
          </w:p>
        </w:tc>
      </w:tr>
      <w:tr>
        <w:trPr>
          <w:trHeight w:val="244"/>
        </w:trPr>
        <w:tc>
          <w:tcPr>
            <w:tcW w:w="2320" w:type="dxa"/>
            <w:vAlign w:val="bottom"/>
            <w:tcBorders>
              <w:left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4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36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 (Mounjaro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 preserved</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4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53"/>
        </w:trPr>
        <w:tc>
          <w:tcPr>
            <w:tcW w:w="2320" w:type="dxa"/>
            <w:vAlign w:val="bottom"/>
            <w:tcBorders>
              <w:left w:val="single" w:sz="8" w:color="auto"/>
              <w:right w:val="single" w:sz="8" w:color="auto"/>
            </w:tcBorders>
            <w:vMerge w:val="continue"/>
          </w:tcPr>
          <w:p>
            <w:pPr>
              <w:spacing w:after="0"/>
              <w:rPr>
                <w:sz w:val="21"/>
                <w:szCs w:val="21"/>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ejection fraction</w:t>
            </w:r>
          </w:p>
        </w:tc>
        <w:tc>
          <w:tcPr>
            <w:tcW w:w="1700" w:type="dxa"/>
            <w:vAlign w:val="bottom"/>
            <w:tcBorders>
              <w:bottom w:val="single" w:sz="8" w:color="auto"/>
              <w:right w:val="single" w:sz="8" w:color="auto"/>
            </w:tcBorders>
          </w:tcPr>
          <w:p>
            <w:pPr>
              <w:spacing w:after="0"/>
              <w:rPr>
                <w:sz w:val="21"/>
                <w:szCs w:val="21"/>
                <w:color w:val="auto"/>
              </w:rPr>
            </w:pPr>
          </w:p>
        </w:tc>
        <w:tc>
          <w:tcPr>
            <w:tcW w:w="4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3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Obstructive sleep apnea</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0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rPr>
              <w:t>Phase III trial initiated in 2022. Granted FDA Fast Track</w:t>
            </w:r>
          </w:p>
        </w:tc>
        <w:tc>
          <w:tcPr>
            <w:tcW w:w="0" w:type="dxa"/>
            <w:vAlign w:val="bottom"/>
          </w:tcPr>
          <w:p>
            <w:pPr>
              <w:spacing w:after="0"/>
              <w:rPr>
                <w:sz w:val="1"/>
                <w:szCs w:val="1"/>
                <w:color w:val="auto"/>
              </w:rPr>
            </w:pPr>
          </w:p>
        </w:tc>
      </w:tr>
      <w:tr>
        <w:trPr>
          <w:trHeight w:val="243"/>
        </w:trPr>
        <w:tc>
          <w:tcPr>
            <w:tcW w:w="2320" w:type="dxa"/>
            <w:vAlign w:val="bottom"/>
            <w:tcBorders>
              <w:left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vMerge w:val="continue"/>
          </w:tcPr>
          <w:p>
            <w:pPr>
              <w:spacing w:after="0"/>
              <w:rPr>
                <w:sz w:val="21"/>
                <w:szCs w:val="21"/>
                <w:color w:val="auto"/>
              </w:rPr>
            </w:pPr>
          </w:p>
        </w:tc>
        <w:tc>
          <w:tcPr>
            <w:tcW w:w="1700" w:type="dxa"/>
            <w:vAlign w:val="bottom"/>
            <w:tcBorders>
              <w:bottom w:val="single" w:sz="8" w:color="auto"/>
              <w:right w:val="single" w:sz="8" w:color="auto"/>
            </w:tcBorders>
            <w:vMerge w:val="continue"/>
          </w:tcPr>
          <w:p>
            <w:pPr>
              <w:spacing w:after="0"/>
              <w:rPr>
                <w:sz w:val="21"/>
                <w:szCs w:val="21"/>
                <w:color w:val="auto"/>
              </w:rPr>
            </w:pPr>
          </w:p>
        </w:tc>
        <w:tc>
          <w:tcPr>
            <w:tcW w:w="4900" w:type="dxa"/>
            <w:vAlign w:val="bottom"/>
            <w:tcBorders>
              <w:bottom w:val="single" w:sz="8" w:color="auto"/>
              <w:right w:val="single" w:sz="8" w:color="auto"/>
            </w:tcBorders>
          </w:tcPr>
          <w:p>
            <w:pPr>
              <w:spacing w:after="0" w:line="243" w:lineRule="exact"/>
              <w:rPr>
                <w:sz w:val="20"/>
                <w:szCs w:val="20"/>
                <w:color w:val="auto"/>
              </w:rPr>
            </w:pPr>
            <w:r>
              <w:rPr>
                <w:rFonts w:ascii="Arial" w:cs="Arial" w:eastAsia="Arial" w:hAnsi="Arial"/>
                <w:sz w:val="18"/>
                <w:szCs w:val="18"/>
                <w:color w:val="auto"/>
              </w:rPr>
              <w:t>designation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 2022.</w:t>
            </w:r>
          </w:p>
        </w:tc>
        <w:tc>
          <w:tcPr>
            <w:tcW w:w="0" w:type="dxa"/>
            <w:vAlign w:val="bottom"/>
          </w:tcPr>
          <w:p>
            <w:pPr>
              <w:spacing w:after="0"/>
              <w:rPr>
                <w:sz w:val="1"/>
                <w:szCs w:val="1"/>
                <w:color w:val="auto"/>
              </w:rPr>
            </w:pPr>
          </w:p>
        </w:tc>
      </w:tr>
      <w:tr>
        <w:trPr>
          <w:trHeight w:val="322"/>
        </w:trPr>
        <w:tc>
          <w:tcPr>
            <w:tcW w:w="23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Nonalcoholic steatohepatitis</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90"/>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Abemaciclib (Verzenio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Prostate cancer</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4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2"/>
        <w:spacing w:after="0"/>
        <w:tabs>
          <w:tab w:leader="none" w:pos="140" w:val="left"/>
        </w:tabs>
        <w:numPr>
          <w:ilvl w:val="0"/>
          <w:numId w:val="35"/>
        </w:numPr>
        <w:rPr>
          <w:rFonts w:ascii="Arial" w:cs="Arial" w:eastAsia="Arial" w:hAnsi="Arial"/>
          <w:sz w:val="9"/>
          <w:szCs w:val="9"/>
          <w:color w:val="auto"/>
        </w:rPr>
      </w:pPr>
      <w:r>
        <w:rPr>
          <w:rFonts w:ascii="Arial" w:cs="Arial" w:eastAsia="Arial" w:hAnsi="Arial"/>
          <w:sz w:val="14"/>
          <w:szCs w:val="14"/>
          <w:color w:val="auto"/>
        </w:rPr>
        <w:t>Fast Track designation is designed to facilitate the development and expedite the review of medicines to treat serious conditions and fill an unmet medical need.</w:t>
      </w:r>
    </w:p>
    <w:p>
      <w:pPr>
        <w:spacing w:after="0" w:line="3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are many difficulties and uncertainties inherent in pharmaceutical research and development and the introduction of new products, as well as a high rate of failure inherent in new drug discovery and development. To bring a drug from the discovery phase to market can take over a decade and often costs in excess of $ 2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the application of pricing controls, limited scope of approved uses, label changes, changes in the relevant treatment standards or the availability of new or better competitive products, difficulty or excessive costs to manufacture, or infringement of the patents or intellectual property rights of others. Regulatory agencies establish high hurdles for the efficacy and safety of new products and indications. Delays, uncertainties, unpredictabilities, and inconsistencies in drug approval processes across markets and agencies can result in delays in product launches and lost market opportunity. In addition, it can be very difficult to predict revenue growth rates of or variability in demand for new products and indications.</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manage research and development spending across our portfolio of potential new medicines.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any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01"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Following the expiration of patent exclusivity for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Europe and Japan in June 2021, we have faced generic competition that has rapidly and severely eroded revenue from prior levels, and we expect such competition will continue to erode revenues from current levels in these markets. In addition, as a result of the entry of multiple generics in the U.S. following the expiration of patent and pediatric exclusivity in the first half of 2022, we began facing, and expect to continue to face, generic competition that has rapidly and severely eroded revenue from prior levels, and we expect will continue to erode revenue from current levels. This decline in revenue will continue to impact period-over-period financial results comparisons, particularly during the first half of 2023. See Note 16 to the consolidated financial statements for a description of legal proceedings currently pending regarding certain of our patents.</w:t>
      </w:r>
    </w:p>
    <w:p>
      <w:pPr>
        <w:spacing w:after="0" w:line="8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Our compound patents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have expired in the U.S. and major international markets, and we have also introduced lower-priced versions of Humalog as part of our insulin access and affordability solutions. A competitor has a similar version of insulin lispro in the U.S. and in certain European markets. Due to the impact of competition and pricing pressure in the U.S. and certain international markets, we expect that lower revenue for Humalog due to realized price decline will continue over time.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Trends Affecting Pharmaceutical Pricing, Reimbursement, and Access</w:t>
      </w:r>
    </w:p>
    <w:p>
      <w:pPr>
        <w:spacing w:after="0" w:line="11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Reforms, including those that may stem from periods of economic downturn or uncertainty, or as a result of high inflation, emergence or escalation of, and responses to, war or unrest (including the Russia-Ukraine war), or government budgeting priorities (including as exacerbated by the COVID-19 pandemic), may continue to result in added pressure on pricing and reimbursement for our products.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worldwide cost containment efforts by governmental authorities. Such measures include the use of mandated discounts, price reporting requirements, mandated reference prices, restrictive formularies, changes to available intellectual property protections, as well as other efforts. In August 2022, the U.S. government enacted the Inflation Reduction Act of 2022 (IRA). Among other measures, the IRA will require the U.S. Department of Health and Human Services to effectively set prices for certain single-source drugs and biologics reimbursed under Medicare Part B and Part D. Generally, these government prices apply nine (medicines approved under a New Drug Application) or thirteen (medicines approved under a Biologics License Application) years following initial FDA approval and will be capped at a statutory ceiling price that is likely to represent a significant discount from average prices to wholesalers and direct purchasers. It is too soon to tell how the U.S. government will set these prices as the law specifies a ceiling price, but not a minimum or floor price. One or more of our significant products may be selected, which would have the effect of accelerating revenue erosion prior to patent expiry. The effect of reducing prices and reimbursement for certain of our products would significantly impact our business and consolidated results of operations. The establishment of payment limits or other restrictions by drug affordability review boards and other state level actors would similarly impact us.</w:t>
      </w:r>
    </w:p>
    <w:p>
      <w:pPr>
        <w:spacing w:after="0" w:line="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Other IRA provisions provide for rebate obligations on drug manufacturers that increase prices of Medicare Part B and Part D medicines at a rate greater than the rate of inflation and Part D benefit redesign that includes replacing the Part D coverage gap discount program with a new manufacturer discounting program. Manufacturers that fail to comply with the IRA may be subject to various penalties, including civil monetary penalties, which could be significant.</w:t>
      </w:r>
    </w:p>
    <w:p>
      <w:pPr>
        <w:spacing w:after="0" w:line="6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IRA takes effect progressively starting in 2023, with the first government-set prices effective in 2026. The IRA may meaningfully influence our business strategies and those of our competitors. In particular, the nine-year timeline to set prices for medicines approved under a new drug application may reduce the attractiveness of investment in small molecule innovation. The implications to us of a competitor's product being selected for price setting are also uncertain. Provisions of the IRA may be subject to legal challenges or other reformation, and the full impact of the IRA on our business and the pharmaceutical industry remains uncertain.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Additional policies, regulations, legislation, or enforcement, including those proposed and/or pursued by the U.S. Congress, the current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presidential administration, and regulatory authorities worldwide, could adversely impact our business and consolidated results of operations.</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Consolidation and integration of private payors and pharmacy benefit managers in the U.S. has also significantly impacted the market for pharmaceuticals by increasing payor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such as the Centers for Medicare &amp; Medicaid Services' national coverage determination for monoclonal antibodies for the treatment of Alzheimer's Disease, may adversely impact our business and consolidated results of operations. We expect that these actions may intensify and could particularly affect certain products, such as insulin, as governments manage and emerge from the COVID-19 pandemic, which could adversely affect our business. In addition, we are engaged in litigation and investigations related to our 340B program and access to insulin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evolving standards, and increased scrutiny around excipients and potential impurities such as nitrosamines, and similar regulations and standards (and comparable foreign regulations and standards) for our products can lead to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the issues, and reputational harm, any of which would adversely affect our business. Moreover, increased focus on business combinations across industries and jurisdictions can lead to impediments to the completion of business combinations.</w:t>
      </w:r>
    </w:p>
    <w:p>
      <w:pPr>
        <w:spacing w:after="0" w:line="7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See Item 1, "Business—Regulations and Private Payer Actions Affecting Pharmaceutical Pricing, Reimbursement, and Access" and Note 16 to the consolidated financial statements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Supply</w:t>
      </w:r>
    </w:p>
    <w:p>
      <w:pPr>
        <w:spacing w:after="0" w:line="11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faced challenges, and expect to continue to face challenges, meeting strong demand for our incretin products, including due to the limited and fluctuating availability of competitor therapies. In the U.S., given very strong uptake of Mounjaro following its launch in the U.S. for type 2 diabetes in the second quarter of 2022, and as demand for Trulicity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has remained strong, we have experienced intermittent delays in fulfilling certain U.S. orders for these products. Outside the U.S., we have implemented certain actions to minimize the impact on existing Trulicity patients, but we expect to continue to experience intermittent disruptions in our supply of Trulicity in international markets.</w:t>
      </w:r>
    </w:p>
    <w:p>
      <w:pPr>
        <w:spacing w:after="0" w:line="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We anticipate tight supplies of our incretin products will persist until additional manufacturing capacity is operationalized. We expect additional internal and contracted manufacturing capacity will become fully operational around the world in the next several years, with significant expansion in 2023, as part of our ongoing efforts to meet the significant demand for our incretin medicines.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In 2017, the U.S. enacted the Tax Cuts and Jobs Act (the 2017 Tax Act), which contained a provision that requires capitalization and amortization of research and development expenses for tax purposes starting in 2022. Previously, these expenses could be deducted in the year incurred. The implementation of this provision increased our cash payments of income taxes by approximately $1.20 billion in 2022. While the implementation of this provision will continue to increase our cash payments of income taxes, the increase will moderately decrease from 2022 levels over the five-year amortization period.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40"/>
        <w:spacing w:after="0" w:line="257" w:lineRule="auto"/>
        <w:rPr>
          <w:sz w:val="20"/>
          <w:szCs w:val="20"/>
          <w:color w:val="auto"/>
        </w:rPr>
      </w:pPr>
      <w:r>
        <w:rPr>
          <w:rFonts w:ascii="Arial" w:cs="Arial" w:eastAsia="Arial" w:hAnsi="Arial"/>
          <w:sz w:val="18"/>
          <w:szCs w:val="18"/>
          <w:color w:val="auto"/>
        </w:rPr>
        <w:t>The U.S. and countries around the world are actively proposing and enacting tax law changes. Further, actions taken with respect to tax-related matters by associations such as the Organisation for Economic Co-operation and Development and the European Commission could influence tax laws in countries in which we operate. Tax authorities in the U.S. and other jurisdictions in which we do business routinely examine our tax returns and are intensifying their scrutiny and examinations of profit allocations among jurisdictions. Changes to existing U.S. and foreign tax laws and increased scrutiny by tax authorities in the U.S. and other jurisdictions could adversely impact our future consolidated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Rates and Other Impacts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During the year ended December 31, 2022, revenue was unfavorably impacted by 3 percent due to foreign exchange rates. While there is uncertainty in the future movements in foreign exchange rates, fluctuations in these rates have, and we currently expect in the near-term future will, adversely impact our consolidated results of operations and cash flows.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cost inflation, the strain on global transportation, logistics, and labor markets (including as exacerbated by the COVID-19 pandemic and the emergence or escalation of, and responses to, war or unrest, including the Russia-Ukraine war), global economic downturns or uncertainty, and an increase in overall demand in our industry for certain products and materials have had, and may continue to have, a number of impacts on our business, including increased costs and disruptions in the supply of our medicines.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our pipeline and strengthen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discussion regarding our recent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the COVID-19 pandemic evolves, we remain focused on protecting the health, safety, and well-being of our employees; supporting the medical system and our communities; and affordability of and access to our medicines. At the outset of the COVID-19 pandemic, we also focused on researching, developing, and supplying COVID-19 therapies, although we do not currently expect significant further revenue attributable to treatments for COVID-19.</w:t>
      </w:r>
    </w:p>
    <w:p>
      <w:pPr>
        <w:spacing w:after="0" w:line="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COVID-19 pandemic has adversely impacted and may continue to adversely impact our business and operations across markets to varying and fluctuating degrees, including as a result of cost inflation and strain on the global transportation, manufacturing, and labor markets, fewer in-person interactions among patients and healthcare providers and our employees with healthcare professionals in certain markets, pricing pressures, rebates, clawbacks, and other changes in reimbursement policies resulting from the financial strain of the COVID-19 pandemic on government-funded healthcare systems, and risks related to our COVID-19 therapies. The degree to which the COVID-19 pandemic could continue to affect us will depend on developments that are highly uncertain and beyond our knowledge or control. For additional information, see Item 1A, "Risk Factors—Risk Related to Our Business—Public health outbreaks, epidemics, or pandemics, such as the COVID-19 pandemic, have adversely impacted and may in the future adversely impact our business and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additional information on risk factors that could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tcPr>
          <w:p>
            <w:pPr>
              <w:spacing w:after="0"/>
              <w:rPr>
                <w:sz w:val="17"/>
                <w:szCs w:val="17"/>
                <w:color w:val="auto"/>
              </w:rPr>
            </w:pPr>
          </w:p>
        </w:tc>
      </w:tr>
      <w:tr>
        <w:trPr>
          <w:trHeight w:val="197"/>
        </w:trPr>
        <w:tc>
          <w:tcPr>
            <w:tcW w:w="5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8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5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U.S.</w:t>
            </w:r>
          </w:p>
        </w:tc>
        <w:tc>
          <w:tcPr>
            <w:tcW w:w="420" w:type="dxa"/>
            <w:vAlign w:val="bottom"/>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8D8D8"/>
          </w:tcPr>
          <w:p>
            <w:pPr>
              <w:ind w:left="540"/>
              <w:spacing w:after="0"/>
              <w:rPr>
                <w:sz w:val="20"/>
                <w:szCs w:val="20"/>
                <w:color w:val="auto"/>
              </w:rPr>
            </w:pPr>
            <w:r>
              <w:rPr>
                <w:rFonts w:ascii="Arial" w:cs="Arial" w:eastAsia="Arial" w:hAnsi="Arial"/>
                <w:sz w:val="18"/>
                <w:szCs w:val="18"/>
                <w:b w:val="1"/>
                <w:bCs w:val="1"/>
                <w:color w:val="auto"/>
              </w:rPr>
              <w:t>18,190.0</w:t>
            </w:r>
          </w:p>
        </w:tc>
        <w:tc>
          <w:tcPr>
            <w:tcW w:w="52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16,811.0</w:t>
            </w:r>
          </w:p>
        </w:tc>
        <w:tc>
          <w:tcPr>
            <w:tcW w:w="1880" w:type="dxa"/>
            <w:vAlign w:val="bottom"/>
            <w:shd w:val="clear" w:color="auto" w:fill="D8D8D8"/>
          </w:tcPr>
          <w:p>
            <w:pPr>
              <w:jc w:val="center"/>
              <w:ind w:left="55"/>
              <w:spacing w:after="0"/>
              <w:rPr>
                <w:sz w:val="20"/>
                <w:szCs w:val="20"/>
                <w:color w:val="auto"/>
              </w:rPr>
            </w:pPr>
            <w:r>
              <w:rPr>
                <w:rFonts w:ascii="Arial" w:cs="Arial" w:eastAsia="Arial" w:hAnsi="Arial"/>
                <w:sz w:val="18"/>
                <w:szCs w:val="18"/>
                <w:color w:val="auto"/>
                <w:w w:val="99"/>
              </w:rPr>
              <w:t>8</w:t>
            </w:r>
          </w:p>
        </w:tc>
      </w:tr>
      <w:tr>
        <w:trPr>
          <w:trHeight w:val="229"/>
        </w:trPr>
        <w:tc>
          <w:tcPr>
            <w:tcW w:w="57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10,351.3</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11,507.4</w:t>
            </w:r>
          </w:p>
        </w:tc>
        <w:tc>
          <w:tcPr>
            <w:tcW w:w="1880" w:type="dxa"/>
            <w:vAlign w:val="bottom"/>
            <w:tcBorders>
              <w:bottom w:val="single" w:sz="8" w:color="D8D8D8"/>
            </w:tcBorders>
          </w:tcPr>
          <w:p>
            <w:pPr>
              <w:jc w:val="center"/>
              <w:ind w:left="75"/>
              <w:spacing w:after="0"/>
              <w:rPr>
                <w:sz w:val="20"/>
                <w:szCs w:val="20"/>
                <w:color w:val="auto"/>
              </w:rPr>
            </w:pPr>
            <w:r>
              <w:rPr>
                <w:rFonts w:ascii="Arial" w:cs="Arial" w:eastAsia="Arial" w:hAnsi="Arial"/>
                <w:sz w:val="18"/>
                <w:szCs w:val="18"/>
                <w:color w:val="auto"/>
                <w:w w:val="99"/>
              </w:rPr>
              <w:t>(10)</w:t>
            </w:r>
          </w:p>
        </w:tc>
      </w:tr>
      <w:tr>
        <w:trPr>
          <w:trHeight w:val="230"/>
        </w:trPr>
        <w:tc>
          <w:tcPr>
            <w:tcW w:w="57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D8D8D8"/>
          </w:tcPr>
          <w:p>
            <w:pPr>
              <w:ind w:left="540"/>
              <w:spacing w:after="0"/>
              <w:rPr>
                <w:sz w:val="20"/>
                <w:szCs w:val="20"/>
                <w:color w:val="auto"/>
              </w:rPr>
            </w:pPr>
            <w:r>
              <w:rPr>
                <w:rFonts w:ascii="Arial" w:cs="Arial" w:eastAsia="Arial" w:hAnsi="Arial"/>
                <w:sz w:val="18"/>
                <w:szCs w:val="18"/>
                <w:b w:val="1"/>
                <w:bCs w:val="1"/>
                <w:color w:val="auto"/>
              </w:rPr>
              <w:t>28,541.4</w:t>
            </w:r>
          </w:p>
        </w:tc>
        <w:tc>
          <w:tcPr>
            <w:tcW w:w="52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28,318.4</w:t>
            </w:r>
          </w:p>
        </w:tc>
        <w:tc>
          <w:tcPr>
            <w:tcW w:w="1880" w:type="dxa"/>
            <w:vAlign w:val="bottom"/>
            <w:tcBorders>
              <w:bottom w:val="single" w:sz="8" w:color="D8D8D8"/>
            </w:tcBorders>
            <w:shd w:val="clear" w:color="auto" w:fill="D8D8D8"/>
          </w:tcPr>
          <w:p>
            <w:pPr>
              <w:jc w:val="center"/>
              <w:ind w:left="55"/>
              <w:spacing w:after="0"/>
              <w:rPr>
                <w:sz w:val="20"/>
                <w:szCs w:val="20"/>
                <w:color w:val="auto"/>
              </w:rPr>
            </w:pPr>
            <w:r>
              <w:rPr>
                <w:rFonts w:ascii="Arial" w:cs="Arial" w:eastAsia="Arial" w:hAnsi="Arial"/>
                <w:sz w:val="18"/>
                <w:szCs w:val="18"/>
                <w:color w:val="auto"/>
                <w:w w:val="99"/>
              </w:rPr>
              <w:t>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 vs. 2021</w:t>
            </w:r>
          </w:p>
        </w:tc>
        <w:tc>
          <w:tcPr>
            <w:tcW w:w="1700" w:type="dxa"/>
            <w:vAlign w:val="bottom"/>
            <w:tcBorders>
              <w:bottom w:val="single" w:sz="8" w:color="auto"/>
            </w:tcBorders>
          </w:tcPr>
          <w:p>
            <w:pPr>
              <w:spacing w:after="0"/>
              <w:rPr>
                <w:sz w:val="17"/>
                <w:szCs w:val="17"/>
                <w:color w:val="auto"/>
              </w:rPr>
            </w:pPr>
          </w:p>
        </w:tc>
      </w:tr>
      <w:tr>
        <w:trPr>
          <w:trHeight w:val="196"/>
        </w:trPr>
        <w:tc>
          <w:tcPr>
            <w:tcW w:w="5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U.S.</w:t>
            </w: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Outside U.S.</w:t>
            </w:r>
          </w:p>
        </w:tc>
        <w:tc>
          <w:tcPr>
            <w:tcW w:w="17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6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Volume</w:t>
            </w:r>
          </w:p>
        </w:tc>
        <w:tc>
          <w:tcPr>
            <w:tcW w:w="8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11 %</w:t>
            </w:r>
          </w:p>
        </w:tc>
        <w:tc>
          <w:tcPr>
            <w:tcW w:w="1900" w:type="dxa"/>
            <w:vAlign w:val="bottom"/>
            <w:shd w:val="clear" w:color="auto" w:fill="DBDBDB"/>
          </w:tcPr>
          <w:p>
            <w:pPr>
              <w:jc w:val="right"/>
              <w:ind w:right="176"/>
              <w:spacing w:after="0"/>
              <w:rPr>
                <w:sz w:val="20"/>
                <w:szCs w:val="20"/>
                <w:color w:val="auto"/>
              </w:rPr>
            </w:pPr>
            <w:r>
              <w:rPr>
                <w:rFonts w:ascii="Arial" w:cs="Arial" w:eastAsia="Arial" w:hAnsi="Arial"/>
                <w:sz w:val="18"/>
                <w:szCs w:val="18"/>
                <w:color w:val="auto"/>
              </w:rPr>
              <w:t>9 %</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900" w:type="dxa"/>
            <w:vAlign w:val="bottom"/>
          </w:tcPr>
          <w:p>
            <w:pPr>
              <w:jc w:val="right"/>
              <w:ind w:right="176"/>
              <w:spacing w:after="0"/>
              <w:rPr>
                <w:sz w:val="20"/>
                <w:szCs w:val="20"/>
                <w:color w:val="auto"/>
              </w:rPr>
            </w:pPr>
            <w:r>
              <w:rPr>
                <w:rFonts w:ascii="Arial" w:cs="Arial" w:eastAsia="Arial" w:hAnsi="Arial"/>
                <w:sz w:val="18"/>
                <w:szCs w:val="18"/>
                <w:color w:val="auto"/>
              </w:rPr>
              <w:t>(10)%</w:t>
            </w: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exchange rates</w:t>
            </w:r>
          </w:p>
        </w:tc>
        <w:tc>
          <w:tcPr>
            <w:tcW w:w="128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auto"/>
            </w:tcBorders>
            <w:shd w:val="clear" w:color="auto" w:fill="DBDBDB"/>
          </w:tcPr>
          <w:p>
            <w:pPr>
              <w:jc w:val="right"/>
              <w:ind w:right="176"/>
              <w:spacing w:after="0"/>
              <w:rPr>
                <w:sz w:val="20"/>
                <w:szCs w:val="20"/>
                <w:color w:val="auto"/>
              </w:rPr>
            </w:pPr>
            <w:r>
              <w:rPr>
                <w:rFonts w:ascii="Arial" w:cs="Arial" w:eastAsia="Arial" w:hAnsi="Arial"/>
                <w:sz w:val="18"/>
                <w:szCs w:val="18"/>
                <w:color w:val="auto"/>
              </w:rPr>
              <w:t>(8)%</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1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8 %</w:t>
            </w:r>
          </w:p>
        </w:tc>
        <w:tc>
          <w:tcPr>
            <w:tcW w:w="19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0"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In the U.S. the increase in volume in 2022 was primarily driven by Trulicity, Verzenio, Jardiance, Mounjaro, and Taltz</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decreased volume for Alimta, following the entry of multiple generics in the first half of 2022. In the U.S. the decrease in realized prices was primarily driven by Humalog, due to a list price reduction of insulin lispro injection and unfavorable segment mix, and Trulicity and Basaglar</w:t>
      </w:r>
      <w:r>
        <w:rPr>
          <w:rFonts w:ascii="Arial" w:cs="Arial" w:eastAsia="Arial" w:hAnsi="Arial"/>
          <w:sz w:val="23"/>
          <w:szCs w:val="23"/>
          <w:color w:val="auto"/>
          <w:vertAlign w:val="superscript"/>
        </w:rPr>
        <w:t>®</w:t>
      </w:r>
      <w:r>
        <w:rPr>
          <w:rFonts w:ascii="Arial" w:cs="Arial" w:eastAsia="Arial" w:hAnsi="Arial"/>
          <w:sz w:val="18"/>
          <w:szCs w:val="18"/>
          <w:color w:val="auto"/>
        </w:rPr>
        <w:t>, due to unfavorable segment mix and higher contracted rebates. In addition, the decrease in realized prices of Humalog was partially offset by changes to estimates for rebates and discounts in 2021.</w:t>
      </w:r>
    </w:p>
    <w:p>
      <w:pPr>
        <w:spacing w:after="0" w:line="8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Outside the U.S. the increase in volume in 2022 was primarily driven by Verzenio, Trulicity, Jardiance, Tyvyt</w:t>
      </w:r>
      <w:r>
        <w:rPr>
          <w:rFonts w:ascii="Arial" w:cs="Arial" w:eastAsia="Arial" w:hAnsi="Arial"/>
          <w:sz w:val="23"/>
          <w:szCs w:val="23"/>
          <w:color w:val="auto"/>
          <w:vertAlign w:val="superscript"/>
        </w:rPr>
        <w:t>®</w:t>
      </w:r>
      <w:r>
        <w:rPr>
          <w:rFonts w:ascii="Arial" w:cs="Arial" w:eastAsia="Arial" w:hAnsi="Arial"/>
          <w:sz w:val="18"/>
          <w:szCs w:val="18"/>
          <w:color w:val="auto"/>
        </w:rPr>
        <w:t>, and Taltz, partially offset by a decrease in volume due to generic competition for Alimta and 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decreased utilization of COVID-19 antibodies. The decrease in realized prices outside the U.S. was primarily driven by the impact of government pricing in China from National Reimbursement Drug List (NRDL) formulary for certain products, particularly Tyvyt and Verzenio, and volume-based procurement (VBP) for Humalog.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summarizes our revenue activity in 2022 compared with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195"/>
        </w:trPr>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480" w:type="dxa"/>
            <w:vAlign w:val="bottom"/>
          </w:tcPr>
          <w:p>
            <w:pPr>
              <w:spacing w:after="0"/>
              <w:rPr>
                <w:sz w:val="16"/>
                <w:szCs w:val="16"/>
                <w:color w:val="auto"/>
              </w:rPr>
            </w:pPr>
          </w:p>
        </w:tc>
      </w:tr>
      <w:tr>
        <w:trPr>
          <w:trHeight w:val="19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5,688.8</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1,750.9</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7,439.7</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6,471.9</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1,653.2</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830.3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1,349.9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84</w:t>
            </w:r>
          </w:p>
        </w:tc>
      </w:tr>
      <w:tr>
        <w:trPr>
          <w:trHeight w:val="229"/>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Taltz</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1,724.6</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757.4</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2,482.0</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2,212.8</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1,194.5</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871.5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2,066.0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39</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(2)</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1,191.9</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868.7</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2,060.6</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2,453.0</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(16)</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COVID-19 antibodies</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2,008.9</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14.7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2,239.3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730.2</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289.2</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1,019.4</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1,222.6</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351.4</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620.0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1,033.0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(6)</w:t>
            </w:r>
          </w:p>
        </w:tc>
      </w:tr>
      <w:tr>
        <w:trPr>
          <w:trHeight w:val="230"/>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543.7</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384.0</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927.7</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2,061.4</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(55)</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148.2</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682.3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(26)</w:t>
            </w:r>
          </w:p>
        </w:tc>
      </w:tr>
      <w:tr>
        <w:trPr>
          <w:trHeight w:val="229"/>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Basaglar</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470.7</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289.7</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760.4</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892.5</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462.8</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188.1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Forteo</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367.3</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245.8</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613.1</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801.9</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(24)</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35.2</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552.1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(18)</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500.1</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66.4</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566.5</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548.3</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3</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366.6</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115.9</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30.4</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306.5</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336.9</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430.3</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(22)</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Tyvyt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293.3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(30)</w:t>
            </w:r>
          </w:p>
        </w:tc>
      </w:tr>
      <w:tr>
        <w:trPr>
          <w:trHeight w:val="229"/>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Cymbalta</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33.7</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249.6</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283.3</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581.5</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(51)</w:t>
            </w:r>
          </w:p>
        </w:tc>
      </w:tr>
      <w:tr>
        <w:trPr>
          <w:trHeight w:val="230"/>
        </w:trPr>
        <w:tc>
          <w:tcPr>
            <w:tcW w:w="40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687.8</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974.9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w:t>
            </w:r>
          </w:p>
        </w:tc>
        <w:tc>
          <w:tcPr>
            <w:tcW w:w="1480" w:type="dxa"/>
            <w:vAlign w:val="bottom"/>
            <w:tcBorders>
              <w:bottom w:val="single" w:sz="8" w:color="D8D8D8"/>
            </w:tcBorders>
          </w:tcPr>
          <w:p>
            <w:pPr>
              <w:jc w:val="center"/>
              <w:ind w:left="11"/>
              <w:spacing w:after="0"/>
              <w:rPr>
                <w:sz w:val="20"/>
                <w:szCs w:val="20"/>
                <w:color w:val="auto"/>
              </w:rPr>
            </w:pPr>
            <w:r>
              <w:rPr>
                <w:rFonts w:ascii="Arial" w:cs="Arial" w:eastAsia="Arial" w:hAnsi="Arial"/>
                <w:sz w:val="18"/>
                <w:szCs w:val="18"/>
                <w:color w:val="auto"/>
                <w:w w:val="99"/>
              </w:rPr>
              <w:t>(2)</w:t>
            </w:r>
          </w:p>
        </w:tc>
      </w:tr>
      <w:tr>
        <w:trPr>
          <w:trHeight w:val="230"/>
        </w:trPr>
        <w:tc>
          <w:tcPr>
            <w:tcW w:w="40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18,190.0</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10,351.3</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28,541.4</w:t>
            </w:r>
          </w:p>
        </w:tc>
        <w:tc>
          <w:tcPr>
            <w:tcW w:w="100" w:type="dxa"/>
            <w:vAlign w:val="bottom"/>
            <w:tcBorders>
              <w:bottom w:val="single" w:sz="8" w:color="auto"/>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28,318.4</w:t>
            </w:r>
          </w:p>
        </w:tc>
        <w:tc>
          <w:tcPr>
            <w:tcW w:w="1480" w:type="dxa"/>
            <w:vAlign w:val="bottom"/>
            <w:tcBorders>
              <w:bottom w:val="single" w:sz="8" w:color="D8D8D8"/>
            </w:tcBorders>
            <w:shd w:val="clear" w:color="auto" w:fill="D8D8D8"/>
          </w:tcPr>
          <w:p>
            <w:pPr>
              <w:jc w:val="center"/>
              <w:ind w:left="11"/>
              <w:spacing w:after="0"/>
              <w:rPr>
                <w:sz w:val="20"/>
                <w:szCs w:val="20"/>
                <w:color w:val="auto"/>
              </w:rPr>
            </w:pPr>
            <w:r>
              <w:rPr>
                <w:rFonts w:ascii="Arial" w:cs="Arial" w:eastAsia="Arial" w:hAnsi="Arial"/>
                <w:sz w:val="18"/>
                <w:szCs w:val="18"/>
                <w:color w:val="auto"/>
                <w:w w:val="99"/>
              </w:rPr>
              <w:t>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80" w:right="340" w:hanging="172"/>
        <w:spacing w:after="0" w:line="220" w:lineRule="auto"/>
        <w:tabs>
          <w:tab w:leader="none" w:pos="158"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Emergency Use Authorizations (EUAs) or similar regulatory authorizations.</w:t>
      </w:r>
    </w:p>
    <w:p>
      <w:pPr>
        <w:ind w:left="140" w:hanging="132"/>
        <w:spacing w:after="0"/>
        <w:tabs>
          <w:tab w:leader="none" w:pos="140" w:val="left"/>
        </w:tabs>
        <w:numPr>
          <w:ilvl w:val="0"/>
          <w:numId w:val="36"/>
        </w:numPr>
        <w:rPr>
          <w:rFonts w:ascii="Arial" w:cs="Arial" w:eastAsia="Arial" w:hAnsi="Arial"/>
          <w:sz w:val="9"/>
          <w:szCs w:val="9"/>
          <w:color w:val="auto"/>
        </w:rPr>
      </w:pPr>
      <w:r>
        <w:rPr>
          <w:rFonts w:ascii="Arial" w:cs="Arial" w:eastAsia="Arial" w:hAnsi="Arial"/>
          <w:sz w:val="14"/>
          <w:szCs w:val="14"/>
          <w:color w:val="auto"/>
        </w:rPr>
        <w:t>Olumiant revenue includes sales for baricitinib that were made pursuant to EUA or similar regulatory authorizations.</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of Trulicity increased 16 percent in the U.S., driven by increased demand, partially offset by lower realized prices due to unfavorable segment mix and higher contracted rebates. Revenue outside the U.S. increased 12 percent, driven by increased volume, partially offset by the unfavorable impact of foreign exchange rates and, to a lesser extent, lower realized prices. We experienced intermittent delays in fulfilling certain U.S. Trulicity orders during the second half of 2022. Actions to manage strong demand across our incretin portfolio, including measures to minimize existing patient impact in international markets, also affected volume in 2022.</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of Verzenio increased 98 percent in the U.S., primarily driven by increased demand. Revenue outside the U.S. increased 61 percent, driven by increased demand, partially offset by lower realized prices primarily due to the impact of the NRDL formulary in China and the unfavorable impact of foreign exchange rates.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Taltz increased 12 percent in the U.S., driven by increased demand, partially offset by lower realized prices. Revenue outside the U.S. increased 13 percent, driven by increased volume, partially offset by the unfavorable impact of foreign exchange rates and lower realized prices.</w:t>
      </w:r>
    </w:p>
    <w:p>
      <w:pPr>
        <w:spacing w:after="0" w:line="6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Revenue of Jardiance increased 48 percent in the U.S., primarily driven by increased demand. Revenue outside the U.S. increased 28 percent, primarily driven by increased demand, partially offset by the unfavorable impact of foreign exchange rates. See Note 4 to the consolidated financial statements for information regarding our collaboration with Boehringer Ingelheim involving Jardiance.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ind w:right="100"/>
        <w:spacing w:after="0" w:line="257" w:lineRule="auto"/>
        <w:rPr>
          <w:sz w:val="20"/>
          <w:szCs w:val="20"/>
          <w:color w:val="auto"/>
        </w:rPr>
      </w:pPr>
      <w:r>
        <w:rPr>
          <w:rFonts w:ascii="Arial" w:cs="Arial" w:eastAsia="Arial" w:hAnsi="Arial"/>
          <w:sz w:val="18"/>
          <w:szCs w:val="18"/>
          <w:color w:val="auto"/>
        </w:rPr>
        <w:t>Revenue of Humalog decreased 10 percent in the U.S., primarily driven by lower realized prices due to a list price reduction of insulin lispro injection and unfavorable segment mix, partially offset by changes to estimates for rebates and discounts in 2021. Revenue outside the U.S. decreased 23 percent, primarily driven by lower realized prices due to the impact of VBP in China and the unfavorable impact of foreign exchange rates. Due to the impact of competition and pricing pressure in the U.S. and certain international markets, we expect that lower revenue for Humalog due to realized price decline will continue over time. See "—Executive Overview—Other Matters—Patent Matters" for additional information.</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COVID-19 antibodies was $2.01 billion in the U.S. during the year ended December 31, 2022, primarily due to bebtelovimab supplied to the U.S. government. COVID-19 antibodies are not currently authorized for emergency use in the U.S. We do not currently expect significant further revenue attributable to the treatment of COVID-19.</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 of Alimta decreased 56 percent in the U.S., primarily driven by decreased demand due to the entry of multiple generics in the first half of 2022. Revenue outside the U.S. decreased 54 percent, primarily driven by decreased demand due to generic competition. Following the expiration of patent exclusivity for Alimta in Europe and Japan in June 2021, we have faced generic competition that has rapidly and severely eroded revenue from prior levels, and we expect such competition will continue to erode revenues from current levels in these markets. In addition, as a result of the entry of multiple generics in the U.S. following the expiration of patent and pediatric exclusivity in the first half of 2022, we began facing, and expect to continue to face, generic competition that has rapidly and severely eroded revenue from prior levels, and we expect will continue to erode revenue from current levels. See "—Executive Overview—Other Matters—Patent Matters"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Gross Margin, Costs, and Expenses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as a percent of revenue was 76.8 percent in 2022, an increase of 2.6 percentage points compared with 2021, primarily driven by a net inventory impairment charge related to our COVID-19 antibodies recognized in 2021 and the unfavorable effect of foreign exchange rates on international inventories sold in 2021. Additionally, in 2022, favorable product mix, including the impact of lower sales of COVID-19 antibodies and Olumiant for the treatment of COVID-19, were offset by lower realized prices and increased expenses due to inflation and logistics costs.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Research and development expenses increased 4 percent to $7.19 billion in 2022, driven primarily by higher development expenses for late-stage assets, partially offset by lower development expenses for COVID-19 antibodies and the favorable impact of foreign exchange rates.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Marketing, selling, and administrative expenses remained relatively flat at $6.44 billion in 2022, as increased costs associated with launches of new products and indications were offset by the favorable impact of foreign exchange rates.</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have undertaken compensatory actions to improve retention and address wage inflation, which will increase compensation costs and impact our consolidated results of operations.</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recognized acquired IPR&amp;D and development milestones of $908.5 million in 2022 that included the buy-out of substantially all future obligations that were contingent upon the occurrence of certain events linked to the success of our mutant-selective PI3kα inhibitor and a purchase of a Priority Review Voucher. We recognized acquired IPR&amp;D and development milestones of $970.1 million in 2021 that included charges resulting from business development transactions with Foghorn, Rigel, and Precision. See Note 3 to the consolidated financial statements for additional information.</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recognized asset impairment, restructuring, and other special charges of $244.6 million in 2022, primarily related to an intangible asset impairment for GBA1 Gene Therapy (PR001) due to changes in estimated launch timing. We recognized asset impairment, restructuring, and other special charges of $316.1 million in 2021, primarily related to an impairment of a contract-based intangible asset from our acquisition of Loxo, an intangible asset impairment resulting from the sale of the rights to Qbrexza, as well as acquisition and integration costs associated with the acquisition of Prevail.</w:t>
      </w:r>
    </w:p>
    <w:p>
      <w:pPr>
        <w:spacing w:after="0" w:line="7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Other—net, (income) expense was expense of $320.9 million in 2022, primarily driven by net investment losses on equity securities. Other— net, (income) expense was expense of $201.6 million in 2021, primarily driven by a debt extinguishment loss of $405.2 million related to the repurchase of debt, partially offset by net investment gains on equity securities.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effective tax rate was 8.3 percent in 2022, reflecting the favorable tax impact of the implementation of a provision in the 2017 Tax Act that requires capitalization and amortization of research and development expenses for tax purposes starting in 2022, partially offset by the tax impact of the mix of earnings in higher tax jurisdictions. Our effective tax rate was 9.3 percent in 2021, reflecting the favorable tax impacts of acquired IPR&amp;D and development milestone charges, net investment gains on equity securities, and a net discrete tax benefit.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Results—2021</w:t>
      </w:r>
    </w:p>
    <w:p>
      <w:pPr>
        <w:spacing w:after="0" w:line="117" w:lineRule="exact"/>
        <w:rPr>
          <w:sz w:val="20"/>
          <w:szCs w:val="20"/>
          <w:color w:val="auto"/>
        </w:rPr>
      </w:pPr>
    </w:p>
    <w:p>
      <w:pPr>
        <w:ind w:right="18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results of operations pertaining to 2021 and 2020 see Item 7, "Management's Discussion and Analysis of Results of Operations and Financial Condition" in our Annual Report on </w:t>
      </w:r>
      <w:hyperlink r:id="rId60">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believe our available cash and cash equivalents, together with our ability to generate operating cash flow and our access to short-term and long-term borrowings, are sufficient to fund our existing and planned capital requirements, which include:</w:t>
      </w:r>
    </w:p>
    <w:p>
      <w:pPr>
        <w:spacing w:after="0" w:line="4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working capital requirements, including related to employee payroll, clinical trials, manufacturing materials,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repurchases and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repayment of outstanding short-term and long-term borrowings;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contributions to our defined benefit pension and retiree health benefit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milestone and royalty payments;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acquisitions, collaborations, investments, and licensing arrangements.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management continuously evaluates our liquidity and capital resources, including our access to external capital, to ensure we can adequately and efficiently finance our capital requirements. As of December 31, 2022, our material cash requirements primarily related to purchases of goods and services to produce our products and conduct our operations, capital expenditures, dividends, repayment of outstanding borrowings, milestone and royalty payments, the remaining obligations for the one-time repatriation transition tax (also known as the 'Toll Tax') from the 2017 Tax Act, leases, unfunded commitments to invest in venture capital funds, and retirement benefits (see Notes 11, 4, 14, 10, 7, and 15 to the consolidated financial statements). We anticipate our cash requirements related to ordinary course purchases of goods and services will be consistent with our past levels relative to revenues.</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2022, we committed to invest over several years more than $2 billion in two new facilities in Lebanon, Indiana to manufacture existing and future products, more than $1 billion in a new facility in Concord, North Carolina to manufacture parenteral (injectable) products and devices, and more than 400 million euro in a new facility in Limerick, Ireland to expand our manufacturing network for biologic active ingredients. In early 2023, we committed to invest an additional $450 million to expand manufacturing capacity at Research Triangle Park facility in Durham, North Carolina for additional parenteral filling, device assembly, and packaging capacity. These investments, and other capital investments that support our operations, will result in higher capital expenditures for the next several years.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2017 Tax Act contained a provision that requires us to capitalize and amortize research and development expenses for tax purposes starting in 2022, whereas previously we could fully deduct these expenses in the year incurred. The implementation of this provision increased our cash payments of income taxes by approximately $1.20 billion in 2022. While the implementation of this provision will continue to increase our cash payments of income taxes, the increase will moderately decrease from 2022 levels over the five-year amortization period. See "—Executive Overview—Other Matters—Tax Matters" for additional information.</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Cash and cash equivalents decreased to $2.07 billion as of December 31, 2022, compared with $3.82 billion at December 31, 2021. Net cash provided by operating activities was $ 7.08 billion in 2022, compared with $7.26 billion in 2021. Refer to the consolidated statements of cash flows for additional information on the significant sources and uses of cash for the years ended December 31, 2022 and 2021.</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$3.05 billion and $3.30 billion as of December 31, 2022 and 2021, respectively. See Note 7 to the consolidated financial statements for additional information.</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2022, we acquired all shares of Akouos, Inc. (Akouos) for a purchase price that included $12.50 per share in cash (or an aggregate of $327.2 million, net of cash acquired) plus one non-tradable contingent value right (CVR) per share. The CVR entitles Akouos shareholders up to an additional $3.00 per share in cash (or an aggregate of approximately $122 million) payable, subject to certain terms and conditions, upon the achievement of certain specified milestones. This acquisition was funded through cash on hand. See Note 3 to the consolidated financial statements for additional information.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As of December 31, 2022, total debt was $16.24 billion, a decrease of $646.1 million compared with $16.88 billion at December 31,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consolidated financial statements for additional information.</w:t>
      </w:r>
    </w:p>
    <w:p>
      <w:pPr>
        <w:spacing w:after="0" w:line="99"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As of December 31, 2022, we had a total of $7.33 billion of unused committed bank credit facilities, $7.00 billion of which is available to support our commercial paper program. See Note 11 to the consolidated financial statements for additional information. We believe that amounts accessible through existing commercial paper markets should be adequate to fund short-term borrowing needs.</w:t>
      </w:r>
    </w:p>
    <w:p>
      <w:pPr>
        <w:spacing w:after="0" w:line="63"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Dividends of $3.92 per share and $ 3.40 per share were paid in 2022 and 2021, respectively. The quarterly dividend was increased to $1.13 per share effective for the dividend to be paid in the first quarter of 2023, resulting in an indicated annual rate for 2023 of $4.52 per share.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were $1.85 billion during 2022, compared to $1.31 billion in 2021.</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2022, we repurchased $1.50 billion of shares under our $5.00 billion share repurchase program authorized in May 2021. As of December 31, 2022, we had $3.25 billion remaining under this program. See Note 13 to the consolidated financial statements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Overview—Other Matters—Patent Matters" for information regarding recent losses of patent protection.</w:t>
      </w:r>
    </w:p>
    <w:p>
      <w:pPr>
        <w:spacing w:after="0" w:line="11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healthcare legislation; and various international government funding levels.</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normal course of business, our operations are exposed to fluctuations in interest rates, currency values, and fair values of equity securities. These fluctuations impact the costs of financing, investing, and operating. We seek to address a portion of these risks through a controlled program of risk management that includes the use of derivative financial instruments. The objective of this risk management program is to limit the impact on earnings of fluctuations in interest and currency exchange rates. All derivative activities are for purposes other than trading.</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As of December 31, 2022, substantially all of our total long-term debt carries interest at a fixed rate. We have converted approximately 10 percent of our long-term fixed-rate notes to floating rates through the use of interest rate swaps. Based on our overall interest rate exposure at December 31, 2022 and 2021, including derivatives and other interest rate risk-sensitive instruments, a hypothetical 10 percent change in interest rates applied to the fair value of the instruments as of December 31, 2022 and 2021, respectively, would not have a material impact on earnings, cash flows, or fair values of interest rate risk-sensitive instruments over a one-year period.</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Chinese yuan.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(primarily the euro, the Japanese yen, and Chinese yuan).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2022 and 2021,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fair value risk exposure relates primarily to our public equity investments and to equity investments that do not have readily determinable fair values. As of December 31, 2022 and 2021, our carrying values of these investments were $1.16 billion and $1.83 billion, respectively. A hypothetical 20 percent change in fair value of the equity instruments would have impacted other-net, (income) expense by $232.4 million and $365.6 million as of December 31, 2022 and 2021, respectively.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50" w:name="page51"/>
    <w:bookmarkEnd w:id="50"/>
    <w:p>
      <w:pPr>
        <w:spacing w:after="0" w:line="255"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product in the event that regulatory approval for marketing is obtained.</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expense or aggregate milestone payments made could be material to our results of operations or cash flows, respectively, in that period. See Note 4 to the consolidated financial statements for additional information. These arrangements often give us the discretion to unilaterally terminate development of the product, which would allow us to avoid making the contingent payments; however, we are unlikely to cease development if the compound successfully achieves milestone objectives. We view these payments as positive because they signify that the product is successfully moving through development and is now generating or is more likely to generate cash flows from sales of products.</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incretin products, we have entered, and expect to continue to enter, into various agreements for contract manufacturing and for supply of materials. The executed agreements could, under certain circumstances, require us to pay up to approximately $4.5 billion if we do not purchase specified amounts of goods or services over the durations of the agreements, which generally range from 2 to 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0"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auto"/>
        </w:rPr>
        <w:t>APPLICATION OF CRITICAL ACCOUNTING ESTIMATES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75" w:lineRule="exact"/>
        <w:rPr>
          <w:sz w:val="20"/>
          <w:szCs w:val="20"/>
          <w:color w:val="auto"/>
        </w:rPr>
      </w:pPr>
    </w:p>
    <w:p>
      <w:pPr>
        <w:ind w:right="5120"/>
        <w:spacing w:after="0" w:line="375" w:lineRule="auto"/>
        <w:rPr>
          <w:sz w:val="20"/>
          <w:szCs w:val="20"/>
          <w:color w:val="auto"/>
        </w:rPr>
      </w:pPr>
      <w:r>
        <w:rPr>
          <w:rFonts w:ascii="Arial" w:cs="Arial" w:eastAsia="Arial" w:hAnsi="Arial"/>
          <w:sz w:val="18"/>
          <w:szCs w:val="18"/>
          <w:b w:val="1"/>
          <w:bCs w:val="1"/>
          <w:color w:val="auto"/>
        </w:rPr>
        <w:t xml:space="preserve">Revenue Recognition and Sales Return, Rebate, and Discount Accruals </w:t>
      </w:r>
      <w:r>
        <w:rPr>
          <w:rFonts w:ascii="Arial" w:cs="Arial" w:eastAsia="Arial" w:hAnsi="Arial"/>
          <w:sz w:val="18"/>
          <w:szCs w:val="18"/>
          <w:i w:val="1"/>
          <w:iCs w:val="1"/>
          <w:color w:val="auto"/>
        </w:rPr>
        <w:t>Background and Uncertainties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 The largest of our sales rebate and discount amounts include rebates associated with sales covered by managed care, Medicare, Medicaid, and chargeback programs, as well as reductions in revenue related to our patient assistance programs, in the U.S. In determining the appropriate accrual amount, we consider our historical rebate payments for these programs, as well as patient assistance program costs,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w:t>
      </w:r>
    </w:p>
    <w:p>
      <w:pPr>
        <w:spacing w:after="0" w:line="7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Refer to Note 2 to the consolidated financial statements for further information on revenue recognition and sales return, rebate, and discount accruals.</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Revenue recognized from collaborations and other arrangements will include our share of profits from the collaboration, as well as royalties, upfront and milestone payments we receive under these types of contracts.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rebate and discount liabilities are included in sales rebates and discounts on our consolidated balance sheet. Our sales return liability is included in other current liabilities and other noncurrent liabilities on our consolidated balance sheet. As of December 31, 2022, a 5 percent change in our consolidated sales return, rebate, and discount liability would result in a change in revenue of approximately $464 million.</w:t>
      </w:r>
    </w:p>
    <w:p>
      <w:pPr>
        <w:spacing w:after="0" w:line="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portion of our consolidated sales return, rebate, and discount liability resulting from sales of our products in the U.S. was approximately 90 percent as of December 31, 2022 and 2021.</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represents a roll-forward of our most significant U.S. sales return, rebate, and discount liability balances, including managed care, Medicare, Medicaid, chargeback, and patient assistance programs: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224"/>
        </w:trPr>
        <w:tc>
          <w:tcPr>
            <w:tcW w:w="8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Sales return, rebate, and discount liabilities, beginning of year</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6,161.6</w:t>
            </w:r>
          </w:p>
        </w:tc>
        <w:tc>
          <w:tcPr>
            <w:tcW w:w="3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5,400.0</w:t>
            </w:r>
          </w:p>
        </w:tc>
      </w:tr>
      <w:tr>
        <w:trPr>
          <w:trHeight w:val="230"/>
        </w:trPr>
        <w:tc>
          <w:tcPr>
            <w:tcW w:w="8540" w:type="dxa"/>
            <w:vAlign w:val="bottom"/>
          </w:tcPr>
          <w:p>
            <w:pPr>
              <w:ind w:left="220"/>
              <w:spacing w:after="0" w:line="230" w:lineRule="exact"/>
              <w:rPr>
                <w:sz w:val="20"/>
                <w:szCs w:val="20"/>
                <w:color w:val="auto"/>
              </w:rPr>
            </w:pPr>
            <w:r>
              <w:rPr>
                <w:rFonts w:ascii="Arial" w:cs="Arial" w:eastAsia="Arial" w:hAnsi="Arial"/>
                <w:sz w:val="18"/>
                <w:szCs w:val="18"/>
                <w:color w:val="auto"/>
              </w:rPr>
              <w:t>Reduction of net sales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28,398.4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20,106.3</w:t>
            </w:r>
          </w:p>
        </w:tc>
      </w:tr>
      <w:tr>
        <w:trPr>
          <w:trHeight w:val="229"/>
        </w:trPr>
        <w:tc>
          <w:tcPr>
            <w:tcW w:w="85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(26,345.9)</w:t>
            </w:r>
          </w:p>
        </w:tc>
        <w:tc>
          <w:tcPr>
            <w:tcW w:w="32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(19,344.7)</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Sales return, rebate, and discount liabilities,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8,214.1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6,161.6</w:t>
            </w:r>
          </w:p>
        </w:tc>
      </w:tr>
    </w:tbl>
    <w:p>
      <w:pPr>
        <w:spacing w:after="0" w:line="72"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9"/>
          <w:szCs w:val="9"/>
          <w:color w:val="auto"/>
        </w:rPr>
      </w:pPr>
      <w:r>
        <w:rPr>
          <w:rFonts w:ascii="Arial" w:cs="Arial" w:eastAsia="Arial" w:hAnsi="Arial"/>
          <w:sz w:val="14"/>
          <w:szCs w:val="14"/>
          <w:color w:val="auto"/>
        </w:rPr>
        <w:t>Adjustments of the estimates for these returns, rebates, and discounts to actual results were less than 1 percent of consolidated revenue for each of the years presented.</w:t>
      </w:r>
    </w:p>
    <w:p>
      <w:pPr>
        <w:spacing w:after="0" w:line="11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Increase in reduction of net sales in 2022 was primarily driven by our incretin products due to increase in our patient assistance programs and in volume of rebates for managed care, Medicare and Medicaid programs.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Litigation Liabilities and Other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Litigation liabilities and other contingencies are, by their nature, uncertain and based upon complex judgments and probabilities. The factors we consider in developing our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as applicable, and the likelihood of settlement and current state of settlement discussions, if any. In addition, we accrue for certain liability claims incurred, but not filed, to the extent we can formulate a reasonable estimate of their costs based primarily on historical claims experience and data regarding product usage.</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litigation liability insurance, we are self-insured for litigation liability losses for all our currently marketed products. In addition to insurance coverage, we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on our consolidated balance sheet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acquired IPR&amp;D and development milestones on our consolidated statement of operations at the acquisition date, and goodwill is not recorded. See Note 3 to the consolidated financial statements for additional information.</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projections, and discount rate. Depending on the facts and circumstances, we may deem it necessary to engage an independent valuation expert to assist in valuing significant assets and liabilities.</w:t>
      </w:r>
    </w:p>
    <w:p>
      <w:pPr>
        <w:spacing w:after="0" w:line="74"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primarily determined using a discounted cash flow analysis, as described in Note 7 to the consolidated financial statements. Estimating the fair value of contingent consideration requires the use of significant estimates and judgments, including, but not limited to, probability of technical success and the discount 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December 31, 2022, a 5 percent change in the contingent consideration liabilities would result in a change in income before income taxes of $5.5 million.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Impairment of Indefinite-Lived and Long-Lived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68"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Goodwill and indefinite-lived intangible assets are reviewed for impairment at least annually, or more frequently if impairment indicators are present, by first assessing qualitative factors to determine whether it is more likely than not that the fair value of the intangible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"—Executive Overview—Late-Stage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6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 Assumptions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15 to the consolidated financial statements for additional information regarding our retirement benefits.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70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Annually, we determine the fair value of the plan assets in our defined benefit pension and retiree health benefit plans. Approximately 50 percent of our plan assets are in hedge funds and private equity-like investment funds (collectively, alternative assets). We value these alternative investments using significant unobservable inputs or using the net asset value reported by the counterparty, adjusted as necessary. Inputs include underlying net asset values, discounted cash flows valuations, comparable market valuations, and adjustments for currency, credit, liquidity and other risks.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the 2022 discount rate for the U.S. defined benefit pension and retiree health benefit plans (U.S. plans) were to change by a quarter percentage point, income before income taxes would change by $23.8 million. If the 2022 expected return on plan assets for U.S. plans were to change by a quarter percentage point, income before income taxes would change by $33.5 million. If our assumption regarding the 2022 expected age of future retirees for U.S. plans were adjusted by one year, our income before income taxes would be affected by $46.3 million. The U.S. plans, including Puerto Rico, represent approximately 85 percent of each of the total projected benefit obligation and total plan assets at December 31, 2022.</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Adjustments to the fair value of plan assets are not recognized in pension and retiree health benefit expense in the year that the adjustments occur. Such changes are deferred, along with other actuarial gains and losses, and are amortized into expense over the expected remaining service life of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file tax returns based upon our interpretation of tax laws and regulations, and we record estimates in our financial statements based upon these interpretations at the applicable tax rates in the jurisdictions in which we operate. Our tax returns are routinely subject to examination by taxing authorities, which could result in future tax, interest, and penalty assessments. Inherent uncertainties also exist in estimates of many tax positions due to the complexity of tax laws. We recognize the tax benefit from an uncertain tax position only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such as changes to existing tax law, the issuance of regulations by taxing authorities, new information obtained during a tax examination, or resolution of a tax examination. We believe our estimates for uncertain tax positions are both appropriate and sufficient to pay assessments that may result from examinations of our tax returns. We recognize both accrued interest and penalties related to unrecognized tax benefits in income tax expense.</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tax credits, and other tax carryforwards and carrybacks in certain taxing jurisdictions. In evaluating whether we would more likely than not recover these deferred tax assets, we have not assumed future taxable income in the jurisdictions associated with these carryforwards where history does not support such an assumption. Implementation of tax planning strategies to recover these deferred tax assets or to generate future taxable income in these jurisdictions could lead to the reversal of all or a portion of these valuation allowances and a reduction of income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December 31, 2022, a 5 percent change in the amount of uncertain tax positions and the valuation allowance would result in a change in net income of $85.0 million and $38.8 million,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MATTERS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relating to certain legal proceedings can be found in Note 16 to the consolidated financial statements and is incorporated here by reference.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7A.Quantitative and Qualitative Disclosures About Market Risk</w:t>
      </w:r>
    </w:p>
    <w:p>
      <w:pPr>
        <w:spacing w:after="0" w:line="19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You can find quantitative and qualitative disclosures about market risk (e.g.</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rate risk) at Item 7, "Management's Discussion and Analysis - Financial Condition and Liquidity."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55" w:name="page56"/>
    <w:bookmarkEnd w:id="55"/>
    <w:p>
      <w:pPr>
        <w:ind w:right="2800"/>
        <w:spacing w:after="0" w:line="423" w:lineRule="auto"/>
        <w:rPr>
          <w:sz w:val="20"/>
          <w:szCs w:val="20"/>
          <w:color w:val="auto"/>
        </w:rPr>
      </w:pPr>
      <w:r>
        <w:rPr>
          <w:rFonts w:ascii="Arial" w:cs="Arial" w:eastAsia="Arial" w:hAnsi="Arial"/>
          <w:sz w:val="32"/>
          <w:szCs w:val="32"/>
          <w:b w:val="1"/>
          <w:bCs w:val="1"/>
          <w:i w:val="1"/>
          <w:iCs w:val="1"/>
          <w:color w:val="auto"/>
        </w:rPr>
        <w:t xml:space="preserve">Item 8. Financial Statements and Supplementary Data </w:t>
      </w:r>
      <w:r>
        <w:rPr>
          <w:rFonts w:ascii="Arial" w:cs="Arial" w:eastAsia="Arial" w:hAnsi="Arial"/>
          <w:sz w:val="32"/>
          <w:szCs w:val="32"/>
          <w:i w:val="1"/>
          <w:iCs w:val="1"/>
          <w:color w:val="auto"/>
        </w:rPr>
        <w:t>Consolidated Statements of Operations</w:t>
      </w:r>
    </w:p>
    <w:tbl>
      <w:tblPr>
        <w:tblLayout w:type="fixed"/>
        <w:tblInd w:w="20" w:type="dxa"/>
        <w:tblCellMar>
          <w:top w:w="0" w:type="dxa"/>
          <w:left w:w="0" w:type="dxa"/>
          <w:bottom w:w="0" w:type="dxa"/>
          <w:right w:w="0" w:type="dxa"/>
        </w:tblCellMar>
      </w:tblPr>
      <w:tr>
        <w:trPr>
          <w:trHeight w:val="151"/>
        </w:trPr>
        <w:tc>
          <w:tcPr>
            <w:tcW w:w="428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ELI LILLY AND COMPANY AND SUBSIDIARIES</w:t>
            </w: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(Dollars in millions and shares in thousands, except per-</w:t>
            </w:r>
          </w:p>
        </w:tc>
        <w:tc>
          <w:tcPr>
            <w:tcW w:w="25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2"/>
                <w:szCs w:val="12"/>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 data)</w:t>
            </w:r>
          </w:p>
        </w:tc>
        <w:tc>
          <w:tcPr>
            <w:tcW w:w="2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 (Note 2)</w:t>
            </w:r>
          </w:p>
        </w:tc>
        <w:tc>
          <w:tcPr>
            <w:tcW w:w="254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28,541.4</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28,318.4</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24,539.8</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Cost of sales</w:t>
            </w:r>
          </w:p>
        </w:tc>
        <w:tc>
          <w:tcPr>
            <w:tcW w:w="25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6,629.8</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7,312.8</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5,483.3</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7,190.8</w:t>
            </w:r>
          </w:p>
        </w:tc>
        <w:tc>
          <w:tcPr>
            <w:tcW w:w="4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6,930.7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5,976.3</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Marketing, selling, and administrative</w:t>
            </w:r>
          </w:p>
        </w:tc>
        <w:tc>
          <w:tcPr>
            <w:tcW w:w="25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6,440.4</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6,431.6</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6,121.2</w:t>
            </w:r>
          </w:p>
        </w:tc>
        <w:tc>
          <w:tcPr>
            <w:tcW w:w="0" w:type="dxa"/>
            <w:vAlign w:val="bottom"/>
          </w:tcPr>
          <w:p>
            <w:pPr>
              <w:spacing w:after="0"/>
              <w:rPr>
                <w:sz w:val="1"/>
                <w:szCs w:val="1"/>
                <w:color w:val="auto"/>
              </w:rPr>
            </w:pPr>
          </w:p>
        </w:tc>
      </w:tr>
      <w:tr>
        <w:trPr>
          <w:trHeight w:val="184"/>
        </w:trPr>
        <w:tc>
          <w:tcPr>
            <w:tcW w:w="6820" w:type="dxa"/>
            <w:vAlign w:val="bottom"/>
            <w:gridSpan w:val="2"/>
          </w:tcPr>
          <w:p>
            <w:pPr>
              <w:ind w:left="140"/>
              <w:spacing w:after="0" w:line="183" w:lineRule="exact"/>
              <w:rPr>
                <w:sz w:val="20"/>
                <w:szCs w:val="20"/>
                <w:color w:val="auto"/>
              </w:rPr>
            </w:pPr>
            <w:r>
              <w:rPr>
                <w:rFonts w:ascii="Arial" w:cs="Arial" w:eastAsia="Arial" w:hAnsi="Arial"/>
                <w:sz w:val="18"/>
                <w:szCs w:val="18"/>
                <w:color w:val="auto"/>
              </w:rPr>
              <w:t>Acquired in-process research and development and development milestones</w:t>
            </w:r>
          </w:p>
        </w:tc>
        <w:tc>
          <w:tcPr>
            <w:tcW w:w="320" w:type="dxa"/>
            <w:vAlign w:val="bottom"/>
          </w:tcPr>
          <w:p>
            <w:pPr>
              <w:spacing w:after="0"/>
              <w:rPr>
                <w:sz w:val="15"/>
                <w:szCs w:val="15"/>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908.5</w:t>
            </w:r>
          </w:p>
        </w:tc>
        <w:tc>
          <w:tcPr>
            <w:tcW w:w="400" w:type="dxa"/>
            <w:vAlign w:val="bottom"/>
          </w:tcPr>
          <w:p>
            <w:pPr>
              <w:spacing w:after="0"/>
              <w:rPr>
                <w:sz w:val="15"/>
                <w:szCs w:val="15"/>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970.1</w:t>
            </w:r>
          </w:p>
        </w:tc>
        <w:tc>
          <w:tcPr>
            <w:tcW w:w="4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35"/>
        </w:trPr>
        <w:tc>
          <w:tcPr>
            <w:tcW w:w="4280" w:type="dxa"/>
            <w:vAlign w:val="bottom"/>
          </w:tcPr>
          <w:p>
            <w:pPr>
              <w:ind w:left="140"/>
              <w:spacing w:after="0"/>
              <w:rPr>
                <w:sz w:val="20"/>
                <w:szCs w:val="20"/>
                <w:color w:val="auto"/>
              </w:rPr>
            </w:pPr>
            <w:r>
              <w:rPr>
                <w:rFonts w:ascii="Arial" w:cs="Arial" w:eastAsia="Arial" w:hAnsi="Arial"/>
                <w:sz w:val="18"/>
                <w:szCs w:val="18"/>
                <w:color w:val="auto"/>
              </w:rPr>
              <w:t>(Note 3)</w:t>
            </w: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820" w:type="dxa"/>
            <w:vAlign w:val="bottom"/>
            <w:gridSpan w:val="2"/>
            <w:shd w:val="clear" w:color="auto" w:fill="DBDBDB"/>
          </w:tcPr>
          <w:p>
            <w:pPr>
              <w:ind w:left="140"/>
              <w:spacing w:after="0" w:line="183" w:lineRule="exact"/>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244.6</w:t>
            </w:r>
          </w:p>
        </w:tc>
        <w:tc>
          <w:tcPr>
            <w:tcW w:w="40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ind w:right="11"/>
              <w:spacing w:after="0"/>
              <w:rPr>
                <w:sz w:val="20"/>
                <w:szCs w:val="20"/>
                <w:color w:val="auto"/>
              </w:rPr>
            </w:pPr>
            <w:r>
              <w:rPr>
                <w:rFonts w:ascii="Arial" w:cs="Arial" w:eastAsia="Arial" w:hAnsi="Arial"/>
                <w:sz w:val="18"/>
                <w:szCs w:val="18"/>
                <w:color w:val="auto"/>
              </w:rPr>
              <w:t>316.1</w:t>
            </w:r>
          </w:p>
        </w:tc>
        <w:tc>
          <w:tcPr>
            <w:tcW w:w="40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5"/>
        </w:trPr>
        <w:tc>
          <w:tcPr>
            <w:tcW w:w="4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 5)</w:t>
            </w:r>
          </w:p>
        </w:tc>
        <w:tc>
          <w:tcPr>
            <w:tcW w:w="254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100" w:type="dxa"/>
            <w:vAlign w:val="bottom"/>
            <w:vMerge w:val="continue"/>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100" w:type="dxa"/>
            <w:vAlign w:val="bottom"/>
            <w:vMerge w:val="continue"/>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06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Other—net, (income) expense (Note 18)</w:t>
            </w:r>
          </w:p>
        </w:tc>
        <w:tc>
          <w:tcPr>
            <w:tcW w:w="25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320.9</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spacing w:after="0"/>
              <w:rPr>
                <w:sz w:val="19"/>
                <w:szCs w:val="19"/>
                <w:color w:val="auto"/>
              </w:rPr>
            </w:pPr>
          </w:p>
        </w:tc>
        <w:tc>
          <w:tcPr>
            <w:tcW w:w="25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21,735.0</w:t>
            </w:r>
          </w:p>
        </w:tc>
        <w:tc>
          <w:tcPr>
            <w:tcW w:w="4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22,162.9</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17,309.9</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6,806.4</w:t>
            </w:r>
          </w:p>
        </w:tc>
        <w:tc>
          <w:tcPr>
            <w:tcW w:w="4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6,155.5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7,229.9</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 (Note 14)</w:t>
            </w:r>
          </w:p>
        </w:tc>
        <w:tc>
          <w:tcPr>
            <w:tcW w:w="25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561.6</w:t>
            </w:r>
          </w:p>
        </w:tc>
        <w:tc>
          <w:tcPr>
            <w:tcW w:w="4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573.8</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income</w:t>
            </w:r>
          </w:p>
        </w:tc>
        <w:tc>
          <w:tcPr>
            <w:tcW w:w="254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6,244.8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5,581.7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6,193.7</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spacing w:after="0"/>
              <w:rPr>
                <w:sz w:val="21"/>
                <w:szCs w:val="21"/>
                <w:color w:val="auto"/>
              </w:rPr>
            </w:pPr>
          </w:p>
        </w:tc>
        <w:tc>
          <w:tcPr>
            <w:tcW w:w="254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6.93</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6.15</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Diluted</w:t>
            </w:r>
          </w:p>
        </w:tc>
        <w:tc>
          <w:tcPr>
            <w:tcW w:w="25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6.90</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spacing w:after="0"/>
              <w:rPr>
                <w:sz w:val="21"/>
                <w:szCs w:val="21"/>
                <w:color w:val="auto"/>
              </w:rPr>
            </w:pPr>
          </w:p>
        </w:tc>
        <w:tc>
          <w:tcPr>
            <w:tcW w:w="254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5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901,736</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906,963</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907,634</w:t>
            </w:r>
          </w:p>
        </w:tc>
        <w:tc>
          <w:tcPr>
            <w:tcW w:w="0" w:type="dxa"/>
            <w:vAlign w:val="bottom"/>
          </w:tcPr>
          <w:p>
            <w:pPr>
              <w:spacing w:after="0"/>
              <w:rPr>
                <w:sz w:val="1"/>
                <w:szCs w:val="1"/>
                <w:color w:val="auto"/>
              </w:rPr>
            </w:pPr>
          </w:p>
        </w:tc>
      </w:tr>
      <w:tr>
        <w:trPr>
          <w:trHeight w:val="247"/>
        </w:trPr>
        <w:tc>
          <w:tcPr>
            <w:tcW w:w="42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904,619</w:t>
            </w:r>
          </w:p>
        </w:tc>
        <w:tc>
          <w:tcPr>
            <w:tcW w:w="4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911,681</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912,505</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56" w:name="page57"/>
    <w:bookmarkEnd w:id="56"/>
    <w:p>
      <w:pPr>
        <w:spacing w:after="0"/>
        <w:rPr>
          <w:sz w:val="20"/>
          <w:szCs w:val="20"/>
          <w:color w:val="auto"/>
        </w:rPr>
      </w:pPr>
      <w:r>
        <w:rPr>
          <w:rFonts w:ascii="Arial" w:cs="Arial" w:eastAsia="Arial" w:hAnsi="Arial"/>
          <w:sz w:val="32"/>
          <w:szCs w:val="32"/>
          <w:i w:val="1"/>
          <w:iCs w:val="1"/>
          <w:color w:val="auto"/>
        </w:rPr>
        <w:t>Consolidated Statements of Comprehensive Income (Loss)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3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6,244.8</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5,581.7</w:t>
            </w:r>
          </w:p>
        </w:tc>
        <w:tc>
          <w:tcPr>
            <w:tcW w:w="3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6,193.7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(248.1)</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4860" w:type="dxa"/>
            <w:vAlign w:val="bottom"/>
          </w:tcPr>
          <w:p>
            <w:pPr>
              <w:ind w:left="180"/>
              <w:spacing w:after="0"/>
              <w:rPr>
                <w:sz w:val="20"/>
                <w:szCs w:val="20"/>
                <w:color w:val="auto"/>
              </w:rPr>
            </w:pPr>
            <w:r>
              <w:rPr>
                <w:rFonts w:ascii="Arial" w:cs="Arial" w:eastAsia="Arial" w:hAnsi="Arial"/>
                <w:sz w:val="18"/>
                <w:szCs w:val="18"/>
                <w:color w:val="auto"/>
              </w:rPr>
              <w:t>Change in net unrealized gains (losses) on securities</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15)</w:t>
            </w: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616.9</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2,699.4</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32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432.9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151.6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23"/>
        </w:trPr>
        <w:tc>
          <w:tcPr>
            <w:tcW w:w="48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748.5</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2,848.6</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Benefit (provision) for income taxes related to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3"/>
        </w:trPr>
        <w:tc>
          <w:tcPr>
            <w:tcW w:w="4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comprehensive income, net of tax (Note 17)</w:t>
            </w:r>
          </w:p>
        </w:tc>
        <w:tc>
          <w:tcPr>
            <w:tcW w:w="2320" w:type="dxa"/>
            <w:vAlign w:val="bottom"/>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498.5</w:t>
            </w:r>
          </w:p>
        </w:tc>
        <w:tc>
          <w:tcPr>
            <w:tcW w:w="34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2,153.3</w:t>
            </w:r>
          </w:p>
        </w:tc>
        <w:tc>
          <w:tcPr>
            <w:tcW w:w="34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3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6,743.3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7,735.0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6,220.9</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57" w:name="page58"/>
    <w:bookmarkEnd w:id="57"/>
    <w:p>
      <w:pPr>
        <w:spacing w:after="0"/>
        <w:rPr>
          <w:sz w:val="20"/>
          <w:szCs w:val="20"/>
          <w:color w:val="auto"/>
        </w:rPr>
      </w:pPr>
      <w:r>
        <w:rPr>
          <w:rFonts w:ascii="Arial" w:cs="Arial" w:eastAsia="Arial" w:hAnsi="Arial"/>
          <w:sz w:val="29"/>
          <w:szCs w:val="29"/>
          <w:i w:val="1"/>
          <w:iCs w:val="1"/>
          <w:color w:val="auto"/>
        </w:rPr>
        <w:t>Consolidated Balance Sheets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060" w:type="dxa"/>
            <w:vAlign w:val="bottom"/>
            <w:gridSpan w:val="2"/>
            <w:vMerge w:val="restart"/>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vMerge w:val="restart"/>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08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 shares in thousands)</w:t>
            </w:r>
          </w:p>
        </w:tc>
        <w:tc>
          <w:tcPr>
            <w:tcW w:w="206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 (Note 7)</w:t>
            </w:r>
          </w:p>
        </w:tc>
        <w:tc>
          <w:tcPr>
            <w:tcW w:w="206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2,067.0</w:t>
            </w:r>
          </w:p>
        </w:tc>
        <w:tc>
          <w:tcPr>
            <w:tcW w:w="3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3,818.5</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Short-term investments (Note 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144.8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$16.0 (2022)</w:t>
            </w:r>
            <w:r>
              <w:rPr>
                <w:rFonts w:ascii="Arial" w:cs="Arial" w:eastAsia="Arial" w:hAnsi="Arial"/>
                <w:sz w:val="18"/>
                <w:szCs w:val="18"/>
                <w:color w:val="auto"/>
              </w:rPr>
              <w:t xml:space="preserve"> and $22.5 (2021)</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6,896.0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6,672.8</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1,662.9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1,454.4</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Inventories (Note 6)</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4,309.7</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3,886.0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2,954.1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current assets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18,034.5</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18,452.4</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Investments (Note 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2,901.8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3,212.6</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Goodwill (Note 8)</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4,073.0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 intangibles, net (Note 8)</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7,206.6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7,691.9</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 (Note 14)</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2,792.9</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2,489.3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 net (Note 9)</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10,144.0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8,985.1</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noncurrent assets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4,337.0</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4,082.7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assets</w:t>
            </w:r>
          </w:p>
        </w:tc>
        <w:tc>
          <w:tcPr>
            <w:tcW w:w="174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49,489.8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48,806.0</w:t>
            </w:r>
          </w:p>
        </w:tc>
        <w:tc>
          <w:tcPr>
            <w:tcW w:w="0" w:type="dxa"/>
            <w:vAlign w:val="bottom"/>
          </w:tcPr>
          <w:p>
            <w:pPr>
              <w:spacing w:after="0"/>
              <w:rPr>
                <w:sz w:val="1"/>
                <w:szCs w:val="1"/>
                <w:color w:val="auto"/>
              </w:rPr>
            </w:pPr>
          </w:p>
        </w:tc>
      </w:tr>
      <w:tr>
        <w:trPr>
          <w:trHeight w:val="216"/>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Short-term borrowings and current maturities of long-term debt (Note 11)</w:t>
            </w:r>
          </w:p>
        </w:tc>
        <w:tc>
          <w:tcPr>
            <w:tcW w:w="206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1,501.1</w:t>
            </w:r>
          </w:p>
        </w:tc>
        <w:tc>
          <w:tcPr>
            <w:tcW w:w="3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1,538.3</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1,930.6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1,670.6</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Employee compensation</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1,059.8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Sales rebates and discounts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8,784.1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6,845.8</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Dividends payable</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1,017.2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Income taxes payable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475.1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liabilities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2,370.3</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17,138.2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15,052.7</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Other Liabilities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Long-term debt (Note 11)</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14,737.5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15,346.4</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retirement benefits (Note 15)</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1,305.1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1,954.1</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Long-term income taxes payable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3,709.6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3,920.0</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Deferred tax liabilities (Note 14)</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87.3</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1,733.7</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 noncurrent liabilities</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1,736.7</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other liabilities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21,576.2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24,598.5</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16)</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Eli Lilly and Company Shareholders' Equity (Notes 12 and 13)</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220"/>
              <w:spacing w:after="0" w:line="183" w:lineRule="exact"/>
              <w:rPr>
                <w:sz w:val="20"/>
                <w:szCs w:val="20"/>
                <w:color w:val="auto"/>
              </w:rPr>
            </w:pPr>
            <w:r>
              <w:rPr>
                <w:rFonts w:ascii="Arial" w:cs="Arial" w:eastAsia="Arial" w:hAnsi="Arial"/>
                <w:sz w:val="18"/>
                <w:szCs w:val="18"/>
                <w:color w:val="auto"/>
              </w:rPr>
              <w:t>Common stock—no par value</w:t>
            </w: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60" w:type="dxa"/>
            <w:vAlign w:val="bottom"/>
          </w:tcPr>
          <w:p>
            <w:pPr>
              <w:ind w:left="220"/>
              <w:spacing w:after="0" w:line="181" w:lineRule="exact"/>
              <w:rPr>
                <w:sz w:val="20"/>
                <w:szCs w:val="20"/>
                <w:color w:val="auto"/>
              </w:rPr>
            </w:pPr>
            <w:r>
              <w:rPr>
                <w:rFonts w:ascii="Arial" w:cs="Arial" w:eastAsia="Arial" w:hAnsi="Arial"/>
                <w:sz w:val="18"/>
                <w:szCs w:val="18"/>
                <w:color w:val="auto"/>
              </w:rPr>
              <w:t>Authorized shares: 3,200,000</w:t>
            </w: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594.1</w:t>
            </w:r>
          </w:p>
        </w:tc>
        <w:tc>
          <w:tcPr>
            <w:tcW w:w="3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950,632 (2022)</w:t>
            </w:r>
            <w:r>
              <w:rPr>
                <w:rFonts w:ascii="Arial" w:cs="Arial" w:eastAsia="Arial" w:hAnsi="Arial"/>
                <w:sz w:val="18"/>
                <w:szCs w:val="18"/>
                <w:color w:val="auto"/>
              </w:rPr>
              <w:t xml:space="preserve"> and 954,116 (2021)</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Additional paid-in capital</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6,921.4</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6,833.4</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10,042.6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8,958.5</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Employee benefit trust</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(3,013.2)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Accumulated other comprehensive loss (Note 17)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(3,844.6)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(4,343.1)</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Cost of common stock in treasury</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(50.5)</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10,649.8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8,979.2</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Noncontrolling interests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125.6</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equity</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10,775.4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 and equity</w:t>
            </w:r>
          </w:p>
        </w:tc>
        <w:tc>
          <w:tcPr>
            <w:tcW w:w="174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49,489.8</w:t>
            </w:r>
          </w:p>
        </w:tc>
        <w:tc>
          <w:tcPr>
            <w:tcW w:w="38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48,806.0</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2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32"/>
          <w:szCs w:val="32"/>
          <w:i w:val="1"/>
          <w:iCs w:val="1"/>
          <w:color w:val="auto"/>
        </w:rPr>
        <w:t>Consolidated Statements of Shareholders' Equity</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20" w:right="300"/>
        <w:spacing w:after="0" w:line="214" w:lineRule="auto"/>
        <w:rPr>
          <w:sz w:val="20"/>
          <w:szCs w:val="20"/>
          <w:color w:val="auto"/>
        </w:rPr>
      </w:pPr>
      <w:r>
        <w:rPr>
          <w:rFonts w:ascii="Arial" w:cs="Arial" w:eastAsia="Arial" w:hAnsi="Arial"/>
          <w:sz w:val="11"/>
          <w:szCs w:val="11"/>
          <w:b w:val="1"/>
          <w:bCs w:val="1"/>
          <w:color w:val="auto"/>
        </w:rPr>
        <w:t>ELI LILLY AND COMPANY AND SUBSIDIARIES</w:t>
      </w:r>
    </w:p>
    <w:p>
      <w:pPr>
        <w:ind w:left="20"/>
        <w:spacing w:after="0" w:line="272" w:lineRule="auto"/>
        <w:rPr>
          <w:sz w:val="20"/>
          <w:szCs w:val="20"/>
          <w:color w:val="auto"/>
        </w:rPr>
      </w:pPr>
      <w:r>
        <w:rPr>
          <w:rFonts w:ascii="Arial" w:cs="Arial" w:eastAsia="Arial" w:hAnsi="Arial"/>
          <w:sz w:val="10"/>
          <w:szCs w:val="10"/>
          <w:b w:val="1"/>
          <w:bCs w:val="1"/>
          <w:color w:val="auto"/>
        </w:rPr>
        <w:t>(Dollars in millions, except per-share data, and shares in thousands)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860" w:type="dxa"/>
            <w:vAlign w:val="bottom"/>
            <w:tcBorders>
              <w:bottom w:val="single" w:sz="8" w:color="auto"/>
            </w:tcBorders>
            <w:gridSpan w:val="2"/>
          </w:tcPr>
          <w:p>
            <w:pPr>
              <w:ind w:left="540"/>
              <w:spacing w:after="0"/>
              <w:rPr>
                <w:sz w:val="20"/>
                <w:szCs w:val="20"/>
                <w:color w:val="auto"/>
              </w:rPr>
            </w:pPr>
            <w:r>
              <w:rPr>
                <w:rFonts w:ascii="Arial" w:cs="Arial" w:eastAsia="Arial" w:hAnsi="Arial"/>
                <w:sz w:val="11"/>
                <w:szCs w:val="11"/>
                <w:b w:val="1"/>
                <w:bCs w:val="1"/>
                <w:color w:val="auto"/>
              </w:rPr>
              <w:t>Common Stock</w:t>
            </w:r>
          </w:p>
        </w:tc>
        <w:tc>
          <w:tcPr>
            <w:tcW w:w="880" w:type="dxa"/>
            <w:vAlign w:val="bottom"/>
          </w:tcPr>
          <w:p>
            <w:pPr>
              <w:jc w:val="center"/>
              <w:ind w:left="188"/>
              <w:spacing w:after="0"/>
              <w:rPr>
                <w:sz w:val="20"/>
                <w:szCs w:val="20"/>
                <w:color w:val="auto"/>
              </w:rPr>
            </w:pPr>
            <w:r>
              <w:rPr>
                <w:rFonts w:ascii="Arial" w:cs="Arial" w:eastAsia="Arial" w:hAnsi="Arial"/>
                <w:sz w:val="11"/>
                <w:szCs w:val="11"/>
                <w:b w:val="1"/>
                <w:bCs w:val="1"/>
                <w:color w:val="auto"/>
                <w:w w:val="96"/>
              </w:rPr>
              <w:t>Additional</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Common Stock in Treasury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9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Amount</w:t>
            </w:r>
          </w:p>
        </w:tc>
        <w:tc>
          <w:tcPr>
            <w:tcW w:w="880" w:type="dxa"/>
            <w:vAlign w:val="bottom"/>
          </w:tcPr>
          <w:p>
            <w:pPr>
              <w:jc w:val="center"/>
              <w:ind w:left="188"/>
              <w:spacing w:after="0" w:line="89" w:lineRule="exact"/>
              <w:rPr>
                <w:sz w:val="20"/>
                <w:szCs w:val="20"/>
                <w:color w:val="auto"/>
              </w:rPr>
            </w:pPr>
            <w:r>
              <w:rPr>
                <w:rFonts w:ascii="Arial" w:cs="Arial" w:eastAsia="Arial" w:hAnsi="Arial"/>
                <w:sz w:val="10"/>
                <w:szCs w:val="10"/>
                <w:b w:val="1"/>
                <w:bCs w:val="1"/>
                <w:color w:val="auto"/>
              </w:rPr>
              <w:t>Paid-in</w:t>
            </w:r>
          </w:p>
        </w:tc>
        <w:tc>
          <w:tcPr>
            <w:tcW w:w="1100" w:type="dxa"/>
            <w:vAlign w:val="bottom"/>
          </w:tcPr>
          <w:p>
            <w:pPr>
              <w:ind w:left="440"/>
              <w:spacing w:after="0" w:line="89" w:lineRule="exact"/>
              <w:rPr>
                <w:sz w:val="20"/>
                <w:szCs w:val="20"/>
                <w:color w:val="auto"/>
              </w:rPr>
            </w:pPr>
            <w:r>
              <w:rPr>
                <w:rFonts w:ascii="Arial" w:cs="Arial" w:eastAsia="Arial" w:hAnsi="Arial"/>
                <w:sz w:val="10"/>
                <w:szCs w:val="10"/>
                <w:b w:val="1"/>
                <w:bCs w:val="1"/>
                <w:color w:val="auto"/>
              </w:rPr>
              <w:t>Retained</w:t>
            </w:r>
          </w:p>
        </w:tc>
        <w:tc>
          <w:tcPr>
            <w:tcW w:w="1000" w:type="dxa"/>
            <w:vAlign w:val="bottom"/>
          </w:tcPr>
          <w:p>
            <w:pPr>
              <w:jc w:val="center"/>
              <w:ind w:left="49"/>
              <w:spacing w:after="0" w:line="89" w:lineRule="exact"/>
              <w:rPr>
                <w:sz w:val="20"/>
                <w:szCs w:val="20"/>
                <w:color w:val="auto"/>
              </w:rPr>
            </w:pPr>
            <w:r>
              <w:rPr>
                <w:rFonts w:ascii="Arial" w:cs="Arial" w:eastAsia="Arial" w:hAnsi="Arial"/>
                <w:sz w:val="10"/>
                <w:szCs w:val="10"/>
                <w:b w:val="1"/>
                <w:bCs w:val="1"/>
                <w:color w:val="auto"/>
              </w:rPr>
              <w:t>Employee</w:t>
            </w:r>
          </w:p>
        </w:tc>
        <w:tc>
          <w:tcPr>
            <w:tcW w:w="1340" w:type="dxa"/>
            <w:vAlign w:val="bottom"/>
          </w:tcPr>
          <w:p>
            <w:pPr>
              <w:jc w:val="center"/>
              <w:spacing w:after="0" w:line="89" w:lineRule="exact"/>
              <w:rPr>
                <w:sz w:val="20"/>
                <w:szCs w:val="20"/>
                <w:color w:val="auto"/>
              </w:rPr>
            </w:pPr>
            <w:r>
              <w:rPr>
                <w:rFonts w:ascii="Arial" w:cs="Arial" w:eastAsia="Arial" w:hAnsi="Arial"/>
                <w:sz w:val="10"/>
                <w:szCs w:val="10"/>
                <w:b w:val="1"/>
                <w:bCs w:val="1"/>
                <w:color w:val="auto"/>
              </w:rPr>
              <w:t>Accumulated Other</w:t>
            </w:r>
          </w:p>
        </w:tc>
        <w:tc>
          <w:tcPr>
            <w:tcW w:w="8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9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Amount</w:t>
            </w:r>
          </w:p>
        </w:tc>
        <w:tc>
          <w:tcPr>
            <w:tcW w:w="1060" w:type="dxa"/>
            <w:vAlign w:val="bottom"/>
          </w:tcPr>
          <w:p>
            <w:pPr>
              <w:jc w:val="center"/>
              <w:ind w:left="229"/>
              <w:spacing w:after="0" w:line="89"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jc w:val="center"/>
              <w:ind w:left="188"/>
              <w:spacing w:after="0"/>
              <w:rPr>
                <w:sz w:val="20"/>
                <w:szCs w:val="20"/>
                <w:color w:val="auto"/>
              </w:rPr>
            </w:pPr>
            <w:r>
              <w:rPr>
                <w:rFonts w:ascii="Arial" w:cs="Arial" w:eastAsia="Arial" w:hAnsi="Arial"/>
                <w:sz w:val="11"/>
                <w:szCs w:val="11"/>
                <w:b w:val="1"/>
                <w:bCs w:val="1"/>
                <w:color w:val="auto"/>
                <w:w w:val="98"/>
              </w:rPr>
              <w:t>Capital</w:t>
            </w:r>
          </w:p>
        </w:tc>
        <w:tc>
          <w:tcPr>
            <w:tcW w:w="1100" w:type="dxa"/>
            <w:vAlign w:val="bottom"/>
          </w:tcPr>
          <w:p>
            <w:pPr>
              <w:ind w:left="440"/>
              <w:spacing w:after="0"/>
              <w:rPr>
                <w:sz w:val="20"/>
                <w:szCs w:val="20"/>
                <w:color w:val="auto"/>
              </w:rPr>
            </w:pPr>
            <w:r>
              <w:rPr>
                <w:rFonts w:ascii="Arial" w:cs="Arial" w:eastAsia="Arial" w:hAnsi="Arial"/>
                <w:sz w:val="11"/>
                <w:szCs w:val="11"/>
                <w:b w:val="1"/>
                <w:bCs w:val="1"/>
                <w:color w:val="auto"/>
              </w:rPr>
              <w:t>Earnings</w:t>
            </w:r>
          </w:p>
        </w:tc>
        <w:tc>
          <w:tcPr>
            <w:tcW w:w="1000" w:type="dxa"/>
            <w:vAlign w:val="bottom"/>
          </w:tcPr>
          <w:p>
            <w:pPr>
              <w:jc w:val="center"/>
              <w:ind w:left="49"/>
              <w:spacing w:after="0"/>
              <w:rPr>
                <w:sz w:val="20"/>
                <w:szCs w:val="20"/>
                <w:color w:val="auto"/>
              </w:rPr>
            </w:pPr>
            <w:r>
              <w:rPr>
                <w:rFonts w:ascii="Arial" w:cs="Arial" w:eastAsia="Arial" w:hAnsi="Arial"/>
                <w:sz w:val="11"/>
                <w:szCs w:val="11"/>
                <w:b w:val="1"/>
                <w:bCs w:val="1"/>
                <w:color w:val="auto"/>
                <w:w w:val="97"/>
              </w:rPr>
              <w:t>Benefit Trust</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Comprehensive Loss</w:t>
            </w:r>
          </w:p>
        </w:tc>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tcPr>
          <w:p>
            <w:pPr>
              <w:jc w:val="center"/>
              <w:ind w:left="229"/>
              <w:spacing w:after="0"/>
              <w:rPr>
                <w:sz w:val="20"/>
                <w:szCs w:val="20"/>
                <w:color w:val="auto"/>
              </w:rPr>
            </w:pPr>
            <w:r>
              <w:rPr>
                <w:rFonts w:ascii="Arial" w:cs="Arial" w:eastAsia="Arial" w:hAnsi="Arial"/>
                <w:sz w:val="11"/>
                <w:szCs w:val="11"/>
                <w:b w:val="1"/>
                <w:bCs w:val="1"/>
                <w:color w:val="auto"/>
                <w:w w:val="95"/>
              </w:rPr>
              <w:t>Interest</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1920" w:space="160"/>
            <w:col w:w="9160"/>
          </w:cols>
          <w:pgMar w:left="320" w:top="1247"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8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3"/>
                <w:szCs w:val="13"/>
                <w:color w:val="auto"/>
              </w:rPr>
              <w:t>Balance at January 1, 2020</w:t>
            </w:r>
          </w:p>
        </w:tc>
        <w:tc>
          <w:tcPr>
            <w:tcW w:w="94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958,056</w:t>
            </w:r>
          </w:p>
        </w:tc>
        <w:tc>
          <w:tcPr>
            <w:tcW w:w="340" w:type="dxa"/>
            <w:vAlign w:val="bottom"/>
            <w:tcBorders>
              <w:top w:val="single" w:sz="8" w:color="auto"/>
            </w:tcBorders>
            <w:shd w:val="clear" w:color="auto" w:fill="D8D8D8"/>
          </w:tcPr>
          <w:p>
            <w:pPr>
              <w:jc w:val="right"/>
              <w:ind w:right="13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598.8</w:t>
            </w:r>
          </w:p>
        </w:tc>
        <w:tc>
          <w:tcPr>
            <w:tcW w:w="300" w:type="dxa"/>
            <w:vAlign w:val="bottom"/>
            <w:tcBorders>
              <w:top w:val="single" w:sz="8" w:color="auto"/>
            </w:tcBorders>
            <w:shd w:val="clear" w:color="auto" w:fill="D8D8D8"/>
          </w:tcPr>
          <w:p>
            <w:pPr>
              <w:jc w:val="right"/>
              <w:ind w:right="9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D8D8D8"/>
          </w:tcPr>
          <w:p>
            <w:pPr>
              <w:jc w:val="right"/>
              <w:ind w:right="37"/>
              <w:spacing w:after="0"/>
              <w:rPr>
                <w:sz w:val="20"/>
                <w:szCs w:val="20"/>
                <w:color w:val="auto"/>
              </w:rPr>
            </w:pPr>
            <w:r>
              <w:rPr>
                <w:rFonts w:ascii="Arial" w:cs="Arial" w:eastAsia="Arial" w:hAnsi="Arial"/>
                <w:sz w:val="13"/>
                <w:szCs w:val="13"/>
                <w:color w:val="auto"/>
              </w:rPr>
              <w:t>6,685.3</w:t>
            </w:r>
          </w:p>
        </w:tc>
        <w:tc>
          <w:tcPr>
            <w:tcW w:w="28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4,920.4</w:t>
            </w:r>
          </w:p>
        </w:tc>
        <w:tc>
          <w:tcPr>
            <w:tcW w:w="26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Borders>
              <w:top w:val="single" w:sz="8" w:color="auto"/>
            </w:tcBorders>
            <w:shd w:val="clear" w:color="auto" w:fill="D8D8D8"/>
          </w:tcPr>
          <w:p>
            <w:pPr>
              <w:jc w:val="right"/>
              <w:ind w:right="19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D8D8D8"/>
          </w:tcPr>
          <w:p>
            <w:pPr>
              <w:jc w:val="right"/>
              <w:ind w:right="177"/>
              <w:spacing w:after="0"/>
              <w:rPr>
                <w:sz w:val="20"/>
                <w:szCs w:val="20"/>
                <w:color w:val="auto"/>
              </w:rPr>
            </w:pPr>
            <w:r>
              <w:rPr>
                <w:rFonts w:ascii="Arial" w:cs="Arial" w:eastAsia="Arial" w:hAnsi="Arial"/>
                <w:sz w:val="13"/>
                <w:szCs w:val="13"/>
                <w:color w:val="auto"/>
              </w:rPr>
              <w:t>(6,523.6)</w:t>
            </w:r>
          </w:p>
        </w:tc>
        <w:tc>
          <w:tcPr>
            <w:tcW w:w="700" w:type="dxa"/>
            <w:vAlign w:val="bottom"/>
            <w:tcBorders>
              <w:top w:val="single" w:sz="8" w:color="auto"/>
            </w:tcBorders>
            <w:shd w:val="clear" w:color="auto" w:fill="D8D8D8"/>
          </w:tcPr>
          <w:p>
            <w:pPr>
              <w:jc w:val="right"/>
              <w:ind w:right="37"/>
              <w:spacing w:after="0"/>
              <w:rPr>
                <w:sz w:val="20"/>
                <w:szCs w:val="20"/>
                <w:color w:val="auto"/>
              </w:rPr>
            </w:pPr>
            <w:r>
              <w:rPr>
                <w:rFonts w:ascii="Arial" w:cs="Arial" w:eastAsia="Arial" w:hAnsi="Arial"/>
                <w:sz w:val="13"/>
                <w:szCs w:val="13"/>
                <w:color w:val="auto"/>
              </w:rPr>
              <w:t>530</w:t>
            </w:r>
          </w:p>
        </w:tc>
        <w:tc>
          <w:tcPr>
            <w:tcW w:w="28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(60.8)</w:t>
            </w:r>
          </w:p>
        </w:tc>
        <w:tc>
          <w:tcPr>
            <w:tcW w:w="460" w:type="dxa"/>
            <w:vAlign w:val="bottom"/>
            <w:tcBorders>
              <w:top w:val="single" w:sz="8" w:color="auto"/>
            </w:tcBorders>
            <w:shd w:val="clear" w:color="auto" w:fill="D8D8D8"/>
          </w:tcPr>
          <w:p>
            <w:pPr>
              <w:jc w:val="right"/>
              <w:ind w:right="2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6,193.7</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126.6</w:t>
            </w:r>
          </w:p>
        </w:tc>
        <w:tc>
          <w:tcPr>
            <w:tcW w:w="0" w:type="dxa"/>
            <w:vAlign w:val="bottom"/>
          </w:tcPr>
          <w:p>
            <w:pPr>
              <w:spacing w:after="0"/>
              <w:rPr>
                <w:sz w:val="1"/>
                <w:szCs w:val="1"/>
                <w:color w:val="auto"/>
              </w:rPr>
            </w:pPr>
          </w:p>
        </w:tc>
      </w:tr>
      <w:tr>
        <w:trPr>
          <w:trHeight w:val="135"/>
        </w:trPr>
        <w:tc>
          <w:tcPr>
            <w:tcW w:w="2080" w:type="dxa"/>
            <w:vAlign w:val="bottom"/>
            <w:shd w:val="clear" w:color="auto" w:fill="D8D8D8"/>
          </w:tcPr>
          <w:p>
            <w:pPr>
              <w:ind w:left="20"/>
              <w:spacing w:after="0" w:line="136"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tax</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jc w:val="right"/>
              <w:ind w:right="217"/>
              <w:spacing w:after="0"/>
              <w:rPr>
                <w:sz w:val="20"/>
                <w:szCs w:val="20"/>
                <w:color w:val="auto"/>
              </w:rPr>
            </w:pPr>
            <w:r>
              <w:rPr>
                <w:rFonts w:ascii="Arial" w:cs="Arial" w:eastAsia="Arial" w:hAnsi="Arial"/>
                <w:sz w:val="13"/>
                <w:szCs w:val="13"/>
                <w:color w:val="auto"/>
              </w:rPr>
              <w:t>27.2</w:t>
            </w: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80" w:type="dxa"/>
            <w:vAlign w:val="bottom"/>
          </w:tcPr>
          <w:p>
            <w:pPr>
              <w:ind w:left="20"/>
              <w:spacing w:after="0"/>
              <w:rPr>
                <w:sz w:val="20"/>
                <w:szCs w:val="20"/>
                <w:color w:val="auto"/>
              </w:rPr>
            </w:pPr>
            <w:r>
              <w:rPr>
                <w:rFonts w:ascii="Arial" w:cs="Arial" w:eastAsia="Arial" w:hAnsi="Arial"/>
                <w:sz w:val="13"/>
                <w:szCs w:val="13"/>
                <w:color w:val="auto"/>
              </w:rPr>
              <w:t>$3.07</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(2,786.2)</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(3,627)</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(2.3)</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(497.7)</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(3,627)</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500.0</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3,627</w:t>
            </w: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(500.0)</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D8D8D8"/>
          </w:tcPr>
          <w:p>
            <w:pPr>
              <w:ind w:left="20"/>
              <w:spacing w:after="0" w:line="136" w:lineRule="exact"/>
              <w:rPr>
                <w:sz w:val="20"/>
                <w:szCs w:val="20"/>
                <w:color w:val="auto"/>
              </w:rPr>
            </w:pPr>
            <w:r>
              <w:rPr>
                <w:rFonts w:ascii="Arial" w:cs="Arial" w:eastAsia="Arial" w:hAnsi="Arial"/>
                <w:sz w:val="13"/>
                <w:szCs w:val="13"/>
                <w:color w:val="auto"/>
              </w:rPr>
              <w:t>Issuance of stock under employee</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2,648</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1.7</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(212.7)</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(43)</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5.1</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308.1</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340" w:type="dxa"/>
            <w:vAlign w:val="bottom"/>
            <w:tcBorders>
              <w:bottom w:val="single" w:sz="8" w:color="auto"/>
            </w:tcBorders>
            <w:shd w:val="clear" w:color="auto" w:fill="D8D8D8"/>
          </w:tcPr>
          <w:p>
            <w:pPr>
              <w:spacing w:after="0"/>
              <w:rPr>
                <w:sz w:val="15"/>
                <w:szCs w:val="15"/>
                <w:color w:val="auto"/>
              </w:rPr>
            </w:pPr>
          </w:p>
        </w:tc>
        <w:tc>
          <w:tcPr>
            <w:tcW w:w="640" w:type="dxa"/>
            <w:vAlign w:val="bottom"/>
            <w:tcBorders>
              <w:bottom w:val="single" w:sz="8" w:color="auto"/>
            </w:tcBorders>
            <w:shd w:val="clear" w:color="auto" w:fill="D8D8D8"/>
          </w:tcPr>
          <w:p>
            <w:pPr>
              <w:spacing w:after="0"/>
              <w:rPr>
                <w:sz w:val="15"/>
                <w:szCs w:val="15"/>
                <w:color w:val="auto"/>
              </w:rPr>
            </w:pPr>
          </w:p>
        </w:tc>
        <w:tc>
          <w:tcPr>
            <w:tcW w:w="300" w:type="dxa"/>
            <w:vAlign w:val="bottom"/>
            <w:tcBorders>
              <w:bottom w:val="single" w:sz="8" w:color="auto"/>
            </w:tcBorders>
            <w:shd w:val="clear" w:color="auto" w:fill="D8D8D8"/>
          </w:tcPr>
          <w:p>
            <w:pPr>
              <w:spacing w:after="0"/>
              <w:rPr>
                <w:sz w:val="15"/>
                <w:szCs w:val="15"/>
                <w:color w:val="auto"/>
              </w:rPr>
            </w:pPr>
          </w:p>
        </w:tc>
        <w:tc>
          <w:tcPr>
            <w:tcW w:w="68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(2.2)</w:t>
            </w: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26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400" w:type="dxa"/>
            <w:vAlign w:val="bottom"/>
            <w:tcBorders>
              <w:bottom w:val="single" w:sz="8" w:color="auto"/>
            </w:tcBorders>
            <w:shd w:val="clear" w:color="auto" w:fill="D8D8D8"/>
          </w:tcPr>
          <w:p>
            <w:pPr>
              <w:spacing w:after="0"/>
              <w:rPr>
                <w:sz w:val="15"/>
                <w:szCs w:val="15"/>
                <w:color w:val="auto"/>
              </w:rPr>
            </w:pPr>
          </w:p>
        </w:tc>
        <w:tc>
          <w:tcPr>
            <w:tcW w:w="102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46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64"/>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957,077</w:t>
            </w:r>
          </w:p>
        </w:tc>
        <w:tc>
          <w:tcPr>
            <w:tcW w:w="34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598.2</w:t>
            </w:r>
          </w:p>
        </w:tc>
        <w:tc>
          <w:tcPr>
            <w:tcW w:w="3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6,778.5</w:t>
            </w:r>
          </w:p>
        </w:tc>
        <w:tc>
          <w:tcPr>
            <w:tcW w:w="2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7,830.2</w:t>
            </w:r>
          </w:p>
        </w:tc>
        <w:tc>
          <w:tcPr>
            <w:tcW w:w="2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Pr>
          <w:p>
            <w:pPr>
              <w:spacing w:after="0"/>
              <w:rPr>
                <w:sz w:val="14"/>
                <w:szCs w:val="14"/>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(6,496.4)</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487</w:t>
            </w: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(55.7)</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183.6</w:t>
            </w: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5,581.7</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80" w:type="dxa"/>
            <w:vAlign w:val="bottom"/>
          </w:tcPr>
          <w:p>
            <w:pPr>
              <w:ind w:left="20"/>
              <w:spacing w:after="0"/>
              <w:rPr>
                <w:sz w:val="20"/>
                <w:szCs w:val="20"/>
                <w:color w:val="auto"/>
              </w:rPr>
            </w:pPr>
            <w:r>
              <w:rPr>
                <w:rFonts w:ascii="Arial" w:cs="Arial" w:eastAsia="Arial" w:hAnsi="Arial"/>
                <w:sz w:val="13"/>
                <w:szCs w:val="13"/>
                <w:color w:val="auto"/>
              </w:rPr>
              <w:t>tax</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2,153.3</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D8D8D8"/>
          </w:tcPr>
          <w:p>
            <w:pPr>
              <w:ind w:left="20"/>
              <w:spacing w:after="0" w:line="138"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$3.53</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(3,201.7)</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(5,412)</w:t>
            </w:r>
          </w:p>
        </w:tc>
        <w:tc>
          <w:tcPr>
            <w:tcW w:w="3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(1,246.6)</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(5,412)</w:t>
            </w:r>
          </w:p>
        </w:tc>
        <w:tc>
          <w:tcPr>
            <w:tcW w:w="2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1,250.0</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5,412</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(1,250.0)</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rPr>
              <w:t>Issuance of stock under employee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80" w:type="dxa"/>
            <w:vAlign w:val="bottom"/>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2,451</w:t>
            </w:r>
          </w:p>
        </w:tc>
        <w:tc>
          <w:tcPr>
            <w:tcW w:w="34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3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(287.9)</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w:t>
            </w: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342.8</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D8D8D8"/>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74"/>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Balance at December 31, 2021</w:t>
            </w:r>
          </w:p>
        </w:tc>
        <w:tc>
          <w:tcPr>
            <w:tcW w:w="9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954,116</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596.3</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6,833.4</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8,958.5</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jc w:val="right"/>
              <w:ind w:right="177"/>
              <w:spacing w:after="0"/>
              <w:rPr>
                <w:sz w:val="20"/>
                <w:szCs w:val="20"/>
                <w:color w:val="auto"/>
              </w:rPr>
            </w:pPr>
            <w:r>
              <w:rPr>
                <w:rFonts w:ascii="Arial" w:cs="Arial" w:eastAsia="Arial" w:hAnsi="Arial"/>
                <w:sz w:val="13"/>
                <w:szCs w:val="13"/>
                <w:color w:val="auto"/>
              </w:rPr>
              <w:t>(4,343.1)</w:t>
            </w:r>
          </w:p>
        </w:tc>
        <w:tc>
          <w:tcPr>
            <w:tcW w:w="70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463</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(52.7)</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175.6</w:t>
            </w: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6,244.8</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132"/>
        </w:trPr>
        <w:tc>
          <w:tcPr>
            <w:tcW w:w="2080" w:type="dxa"/>
            <w:vAlign w:val="bottom"/>
            <w:shd w:val="clear" w:color="auto" w:fill="D8D8D8"/>
          </w:tcPr>
          <w:p>
            <w:pPr>
              <w:ind w:left="20"/>
              <w:spacing w:after="0" w:line="133"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vMerge w:val="restart"/>
            <w:shd w:val="clear" w:color="auto" w:fill="D8D8D8"/>
          </w:tcPr>
          <w:p>
            <w:pPr>
              <w:jc w:val="right"/>
              <w:ind w:right="217"/>
              <w:spacing w:after="0"/>
              <w:rPr>
                <w:sz w:val="20"/>
                <w:szCs w:val="20"/>
                <w:color w:val="auto"/>
              </w:rPr>
            </w:pPr>
            <w:r>
              <w:rPr>
                <w:rFonts w:ascii="Arial" w:cs="Arial" w:eastAsia="Arial" w:hAnsi="Arial"/>
                <w:sz w:val="13"/>
                <w:szCs w:val="13"/>
                <w:b w:val="1"/>
                <w:bCs w:val="1"/>
                <w:color w:val="auto"/>
              </w:rPr>
              <w:t>498.5</w:t>
            </w:r>
          </w:p>
        </w:tc>
        <w:tc>
          <w:tcPr>
            <w:tcW w:w="7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tax</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vMerge w:val="continue"/>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(3,667.5)</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3"/>
                <w:szCs w:val="13"/>
                <w:color w:val="auto"/>
              </w:rPr>
              <w:t>$4.07</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(5,607)</w:t>
            </w:r>
          </w:p>
        </w:tc>
        <w:tc>
          <w:tcPr>
            <w:tcW w:w="34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(3.5)</w:t>
            </w:r>
          </w:p>
        </w:tc>
        <w:tc>
          <w:tcPr>
            <w:tcW w:w="300" w:type="dxa"/>
            <w:vAlign w:val="bottom"/>
            <w:shd w:val="clear" w:color="auto" w:fill="D8D8D8"/>
          </w:tcPr>
          <w:p>
            <w:pPr>
              <w:spacing w:after="0"/>
              <w:rPr>
                <w:sz w:val="15"/>
                <w:szCs w:val="15"/>
                <w:color w:val="auto"/>
              </w:rPr>
            </w:pPr>
          </w:p>
        </w:tc>
        <w:tc>
          <w:tcPr>
            <w:tcW w:w="6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(1,496.5)</w:t>
            </w: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(5,607)</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1,500.0</w:t>
            </w: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5,607</w:t>
            </w:r>
          </w:p>
        </w:tc>
        <w:tc>
          <w:tcPr>
            <w:tcW w:w="28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(1,500.0)</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80" w:type="dxa"/>
            <w:vAlign w:val="bottom"/>
            <w:shd w:val="clear" w:color="auto" w:fill="D8D8D8"/>
          </w:tcPr>
          <w:p>
            <w:pPr>
              <w:ind w:left="20"/>
              <w:spacing w:after="0" w:line="133" w:lineRule="exact"/>
              <w:rPr>
                <w:sz w:val="20"/>
                <w:szCs w:val="20"/>
                <w:color w:val="auto"/>
              </w:rPr>
            </w:pPr>
            <w:r>
              <w:rPr>
                <w:rFonts w:ascii="Arial" w:cs="Arial" w:eastAsia="Arial" w:hAnsi="Arial"/>
                <w:sz w:val="13"/>
                <w:szCs w:val="13"/>
                <w:color w:val="auto"/>
              </w:rPr>
              <w:t>Issuance of stock under employee</w:t>
            </w:r>
          </w:p>
        </w:tc>
        <w:tc>
          <w:tcPr>
            <w:tcW w:w="94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2,123</w:t>
            </w:r>
          </w:p>
        </w:tc>
        <w:tc>
          <w:tcPr>
            <w:tcW w:w="340" w:type="dxa"/>
            <w:vAlign w:val="bottom"/>
            <w:shd w:val="clear" w:color="auto" w:fill="D8D8D8"/>
          </w:tcPr>
          <w:p>
            <w:pPr>
              <w:spacing w:after="0"/>
              <w:rPr>
                <w:sz w:val="11"/>
                <w:szCs w:val="11"/>
                <w:color w:val="auto"/>
              </w:rPr>
            </w:pPr>
          </w:p>
        </w:tc>
        <w:tc>
          <w:tcPr>
            <w:tcW w:w="64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1.3</w:t>
            </w:r>
          </w:p>
        </w:tc>
        <w:tc>
          <w:tcPr>
            <w:tcW w:w="300" w:type="dxa"/>
            <w:vAlign w:val="bottom"/>
            <w:shd w:val="clear" w:color="auto" w:fill="D8D8D8"/>
          </w:tcPr>
          <w:p>
            <w:pPr>
              <w:spacing w:after="0"/>
              <w:rPr>
                <w:sz w:val="11"/>
                <w:szCs w:val="11"/>
                <w:color w:val="auto"/>
              </w:rPr>
            </w:pPr>
          </w:p>
        </w:tc>
        <w:tc>
          <w:tcPr>
            <w:tcW w:w="680" w:type="dxa"/>
            <w:vAlign w:val="bottom"/>
            <w:vMerge w:val="restart"/>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(283.1)</w:t>
            </w: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70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(13)</w:t>
            </w:r>
          </w:p>
        </w:tc>
        <w:tc>
          <w:tcPr>
            <w:tcW w:w="280" w:type="dxa"/>
            <w:vAlign w:val="bottom"/>
            <w:shd w:val="clear" w:color="auto" w:fill="D8D8D8"/>
          </w:tcPr>
          <w:p>
            <w:pPr>
              <w:spacing w:after="0"/>
              <w:rPr>
                <w:sz w:val="11"/>
                <w:szCs w:val="11"/>
                <w:color w:val="auto"/>
              </w:rPr>
            </w:pPr>
          </w:p>
        </w:tc>
        <w:tc>
          <w:tcPr>
            <w:tcW w:w="72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2.2</w:t>
            </w:r>
          </w:p>
        </w:tc>
        <w:tc>
          <w:tcPr>
            <w:tcW w:w="46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vMerge w:val="continue"/>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40" w:type="dxa"/>
            <w:vAlign w:val="bottom"/>
            <w:vMerge w:val="continue"/>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680" w:type="dxa"/>
            <w:vAlign w:val="bottom"/>
            <w:vMerge w:val="continue"/>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700" w:type="dxa"/>
            <w:vAlign w:val="bottom"/>
            <w:vMerge w:val="continue"/>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vMerge w:val="continue"/>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371.1</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340" w:type="dxa"/>
            <w:vAlign w:val="bottom"/>
            <w:tcBorders>
              <w:bottom w:val="single" w:sz="8" w:color="auto"/>
            </w:tcBorders>
            <w:shd w:val="clear" w:color="auto" w:fill="D8D8D8"/>
          </w:tcPr>
          <w:p>
            <w:pPr>
              <w:spacing w:after="0"/>
              <w:rPr>
                <w:sz w:val="15"/>
                <w:szCs w:val="15"/>
                <w:color w:val="auto"/>
              </w:rPr>
            </w:pPr>
          </w:p>
        </w:tc>
        <w:tc>
          <w:tcPr>
            <w:tcW w:w="640" w:type="dxa"/>
            <w:vAlign w:val="bottom"/>
            <w:tcBorders>
              <w:bottom w:val="single" w:sz="8" w:color="auto"/>
            </w:tcBorders>
            <w:shd w:val="clear" w:color="auto" w:fill="D8D8D8"/>
          </w:tcPr>
          <w:p>
            <w:pPr>
              <w:spacing w:after="0"/>
              <w:rPr>
                <w:sz w:val="15"/>
                <w:szCs w:val="15"/>
                <w:color w:val="auto"/>
              </w:rPr>
            </w:pPr>
          </w:p>
        </w:tc>
        <w:tc>
          <w:tcPr>
            <w:tcW w:w="300" w:type="dxa"/>
            <w:vAlign w:val="bottom"/>
            <w:tcBorders>
              <w:bottom w:val="single" w:sz="8" w:color="auto"/>
            </w:tcBorders>
            <w:shd w:val="clear" w:color="auto" w:fill="D8D8D8"/>
          </w:tcPr>
          <w:p>
            <w:pPr>
              <w:spacing w:after="0"/>
              <w:rPr>
                <w:sz w:val="15"/>
                <w:szCs w:val="15"/>
                <w:color w:val="auto"/>
              </w:rPr>
            </w:pPr>
          </w:p>
        </w:tc>
        <w:tc>
          <w:tcPr>
            <w:tcW w:w="68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3.3</w:t>
            </w:r>
          </w:p>
        </w:tc>
        <w:tc>
          <w:tcPr>
            <w:tcW w:w="26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400" w:type="dxa"/>
            <w:vAlign w:val="bottom"/>
            <w:tcBorders>
              <w:bottom w:val="single" w:sz="8" w:color="auto"/>
            </w:tcBorders>
            <w:shd w:val="clear" w:color="auto" w:fill="D8D8D8"/>
          </w:tcPr>
          <w:p>
            <w:pPr>
              <w:spacing w:after="0"/>
              <w:rPr>
                <w:sz w:val="15"/>
                <w:szCs w:val="15"/>
                <w:color w:val="auto"/>
              </w:rPr>
            </w:pPr>
          </w:p>
        </w:tc>
        <w:tc>
          <w:tcPr>
            <w:tcW w:w="102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46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(29.1)</w:t>
            </w:r>
          </w:p>
        </w:tc>
        <w:tc>
          <w:tcPr>
            <w:tcW w:w="0" w:type="dxa"/>
            <w:vAlign w:val="bottom"/>
          </w:tcPr>
          <w:p>
            <w:pPr>
              <w:spacing w:after="0"/>
              <w:rPr>
                <w:sz w:val="1"/>
                <w:szCs w:val="1"/>
                <w:color w:val="auto"/>
              </w:rPr>
            </w:pPr>
          </w:p>
        </w:tc>
      </w:tr>
      <w:tr>
        <w:trPr>
          <w:trHeight w:val="178"/>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950,632</w:t>
            </w:r>
          </w:p>
        </w:tc>
        <w:tc>
          <w:tcPr>
            <w:tcW w:w="3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594.1</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6,921.4</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10,042.6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(3,844.6)</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450</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(50.5)</w:t>
            </w:r>
          </w:p>
        </w:tc>
        <w:tc>
          <w:tcPr>
            <w:tcW w:w="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125.6</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32"/>
          <w:szCs w:val="32"/>
          <w:i w:val="1"/>
          <w:i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6,244.8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5,581.7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6,193.7</w:t>
            </w: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1,522.5</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1,547.6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Debt extinguishment loss (Note 11)</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405.2</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Change in deferred income taxes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(2,185.2)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Stock-based compensation expense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371.1</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342.8</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Net investment (gains) losses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420.0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(1,438.5)</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Acquired in-process research and development (Note 3)</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420.9</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874.9</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Other non-cash operating activities, net</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304.8</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511.4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184"/>
        </w:trPr>
        <w:tc>
          <w:tcPr>
            <w:tcW w:w="7120" w:type="dxa"/>
            <w:vAlign w:val="bottom"/>
            <w:gridSpan w:val="2"/>
            <w:shd w:val="clear" w:color="auto" w:fill="DBDBDB"/>
          </w:tcPr>
          <w:p>
            <w:pPr>
              <w:ind w:left="360"/>
              <w:spacing w:after="0" w:line="183" w:lineRule="exact"/>
              <w:rPr>
                <w:sz w:val="20"/>
                <w:szCs w:val="20"/>
                <w:color w:val="auto"/>
              </w:rPr>
            </w:pPr>
            <w:r>
              <w:rPr>
                <w:rFonts w:ascii="Arial" w:cs="Arial" w:eastAsia="Arial" w:hAnsi="Arial"/>
                <w:sz w:val="18"/>
                <w:szCs w:val="18"/>
                <w:color w:val="auto"/>
              </w:rPr>
              <w:t>Other changes in operating assets and liabilities, net of acquisitions and</w:t>
            </w: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divestitures:</w:t>
            </w:r>
          </w:p>
        </w:tc>
        <w:tc>
          <w:tcPr>
            <w:tcW w:w="222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Receivables—(increase) decrease</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(299.6)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(1,278.3)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(1,350.2)</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Inventories—(increase) decrease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(599.7)</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(235.9)</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Other assets—(increase) decrease</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(793.5)</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1,515.4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Income taxes payable—increase (decrease)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346.6</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(359.7)</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DBDBDB"/>
            </w:tcBorders>
            <w:gridSpan w:val="2"/>
          </w:tcPr>
          <w:p>
            <w:pPr>
              <w:ind w:left="480"/>
              <w:spacing w:after="0"/>
              <w:rPr>
                <w:sz w:val="20"/>
                <w:szCs w:val="20"/>
                <w:color w:val="auto"/>
              </w:rPr>
            </w:pPr>
            <w:r>
              <w:rPr>
                <w:rFonts w:ascii="Arial" w:cs="Arial" w:eastAsia="Arial" w:hAnsi="Arial"/>
                <w:sz w:val="18"/>
                <w:szCs w:val="18"/>
                <w:color w:val="auto"/>
              </w:rPr>
              <w:t>Accounts payable and other liabilities—increase (decrease)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1,331.7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7,084.4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7,260.7</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6,499.6</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property and equipment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(1,854.3)</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(1,309.8)</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29"/>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121.4</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short-term investments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(107.4)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Proceeds from sales of noncurrent investments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342.2</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noncurrent investments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(600.2)</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(929.9)</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Purchases of in-process research and development</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(629.7)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Cash paid for acquisitions, net of cash acquired (Note 3)</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(327.2)</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Other investing activities, net</w:t>
            </w:r>
          </w:p>
        </w:tc>
        <w:tc>
          <w:tcPr>
            <w:tcW w:w="22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24.3</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(3,261.6)</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(2,762.3)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(2,258.9)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Dividends paid</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(3,535.8)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(3,086.8)</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1,498.0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(1,494.2)</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2,410.8</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2,062.3</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(1,560.0)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(1,905.4)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common stock</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(1,500.0)</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(1,250.0)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Other financing activities, net</w:t>
            </w:r>
          </w:p>
        </w:tc>
        <w:tc>
          <w:tcPr>
            <w:tcW w:w="22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Used for Financing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(5,406.7)</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(4,131.3)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(3,137.1)</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(1,751.5)</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161.4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1,319.6</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2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3,818.5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3,657.1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2220" w:type="dxa"/>
            <w:vAlign w:val="bottom"/>
            <w:tcBorders>
              <w:bottom w:val="single" w:sz="8" w:color="DBDBDB"/>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2,067.0</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3,818.5</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5" w:right="399" w:bottom="1440" w:gutter="0" w:footer="0" w:header="0"/>
        </w:sectPr>
      </w:pPr>
    </w:p>
    <w:bookmarkStart w:id="60" w:name="page61"/>
    <w:bookmarkEnd w:id="60"/>
    <w:p>
      <w:pPr>
        <w:spacing w:after="0"/>
        <w:rPr>
          <w:sz w:val="20"/>
          <w:szCs w:val="20"/>
          <w:color w:val="auto"/>
        </w:rPr>
      </w:pPr>
      <w:r>
        <w:rPr>
          <w:rFonts w:ascii="Arial" w:cs="Arial" w:eastAsia="Arial" w:hAnsi="Arial"/>
          <w:sz w:val="32"/>
          <w:szCs w:val="32"/>
          <w:i w:val="1"/>
          <w:iCs w:val="1"/>
          <w:color w:val="auto"/>
        </w:rPr>
        <w:t>Notes to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 except per-share data)</w:t>
      </w:r>
    </w:p>
    <w:p>
      <w:pPr>
        <w:spacing w:after="0" w:line="99" w:lineRule="exact"/>
        <w:rPr>
          <w:sz w:val="20"/>
          <w:szCs w:val="20"/>
          <w:color w:val="auto"/>
        </w:rPr>
      </w:pPr>
    </w:p>
    <w:p>
      <w:pPr>
        <w:ind w:right="1540"/>
        <w:spacing w:after="0" w:line="375" w:lineRule="auto"/>
        <w:rPr>
          <w:sz w:val="20"/>
          <w:szCs w:val="20"/>
          <w:color w:val="auto"/>
        </w:rPr>
      </w:pPr>
      <w:r>
        <w:rPr>
          <w:rFonts w:ascii="Arial" w:cs="Arial" w:eastAsia="Arial" w:hAnsi="Arial"/>
          <w:sz w:val="18"/>
          <w:szCs w:val="18"/>
          <w:b w:val="1"/>
          <w:bCs w:val="1"/>
          <w:color w:val="auto"/>
        </w:rPr>
        <w:t>Note 1: Summary of Significant Accounting Policies and Implementation of New Financial Accounting Standards Basis of Presentation</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consolidated financial statements include Eli Lilly and Company and all subsidiaries and have been prepared in accordance with accounting principles generally accepted in the United States (GAAP). We consider majority voting interests, as well as effective economic or other control over an entity when deciding whether or not to consolidate an entity. We generally do not have control by means other than voting interests. Where our ownership of consolidated subsidiaries is less than 100 percent, the noncontrolling shareholders' interests are reflected as a separate component of equity. All intercompany balances and transactions have been eliminated.</w:t>
      </w:r>
    </w:p>
    <w:p>
      <w:pPr>
        <w:spacing w:after="0" w:line="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(SEC) and have evaluated subsequent events up to the time of the filing of this Annual Report on Form 10-K.</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 (IPR&amp;D) and Development Milestones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and development milestones include the initial costs of externally developed IPR&amp;D projects, acquired directly in a transaction other than a business combination, that do not have an alternative future use. Additionally, milestone payment obligations related to these transactions that are incurred prior to regulatory approval of the compound are expensed when the event triggering an obligation to pay the milestone occurs.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We calculate basic EPS based on the weighted-average number of common shares outstanding plus the effect of incremental shares from potential participating securities. We calculate diluted EPS based on the weighted-average number of common shares outstanding plus the effect of incremental shares from our stock-based compensation programs.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5" w:right="3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Costs associated with advertising are expensed as incurred and are included in marketing, selling, and administrative expenses. Advertising expenses, comprised primarily of television, radio, print media, and internet advertising, totaled approximately $1.0 billion, $1.2 billion, and $1.1 billion in 2022, 2021, and 2020, respectively, which was less than 5 percent of revenue each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Accounting Standards Update (ASU) 2021-10, </w:t>
      </w:r>
      <w:r>
        <w:rPr>
          <w:rFonts w:ascii="Arial" w:cs="Arial" w:eastAsia="Arial" w:hAnsi="Arial"/>
          <w:sz w:val="18"/>
          <w:szCs w:val="18"/>
          <w:i w:val="1"/>
          <w:iCs w:val="1"/>
          <w:color w:val="auto"/>
        </w:rPr>
        <w:t>Government Assistance</w:t>
      </w:r>
      <w:r>
        <w:rPr>
          <w:rFonts w:ascii="Arial" w:cs="Arial" w:eastAsia="Arial" w:hAnsi="Arial"/>
          <w:sz w:val="18"/>
          <w:szCs w:val="18"/>
          <w:color w:val="auto"/>
        </w:rPr>
        <w:t>, establishes annual disclosure requirements for companies that analogize to a grant or contribution accounting model for government assistance transactions. We adopted the standard as of January 1, 2022. The adoption did not impact our financial statement disclosures.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as further modified by ASU 2021-01 and ASU 2022-06, provides for temporary optional expedients and exceptions in applying current GAAP to contracts, hedging relationships, and other transactions affected by the transition from the use of the London Interbank Offered Rate (LIBOR) to an alternative reference rate. The standard is currently applicable to contracts entered into before January 1, 2025. We adopted the standard in the first quarter of 2022. The adoption did not have a material impact on our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4"/>
        </w:trPr>
        <w:tc>
          <w:tcPr>
            <w:tcW w:w="5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product revenue</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25,462.8</w:t>
            </w:r>
          </w:p>
        </w:tc>
        <w:tc>
          <w:tcPr>
            <w:tcW w:w="4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25,957.9</w:t>
            </w:r>
          </w:p>
        </w:tc>
        <w:tc>
          <w:tcPr>
            <w:tcW w:w="5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22,694.8</w:t>
            </w:r>
          </w:p>
        </w:tc>
      </w:tr>
      <w:tr>
        <w:trPr>
          <w:trHeight w:val="230"/>
        </w:trPr>
        <w:tc>
          <w:tcPr>
            <w:tcW w:w="5860" w:type="dxa"/>
            <w:vAlign w:val="bottom"/>
            <w:tcBorders>
              <w:bottom w:val="single" w:sz="8" w:color="D8D8D8"/>
            </w:tcBorders>
          </w:tcPr>
          <w:p>
            <w:pPr>
              <w:ind w:left="20"/>
              <w:spacing w:after="0" w:line="230" w:lineRule="exact"/>
              <w:rPr>
                <w:sz w:val="20"/>
                <w:szCs w:val="20"/>
                <w:color w:val="auto"/>
              </w:rPr>
            </w:pPr>
            <w:r>
              <w:rPr>
                <w:rFonts w:ascii="Arial" w:cs="Arial" w:eastAsia="Arial" w:hAnsi="Arial"/>
                <w:sz w:val="18"/>
                <w:szCs w:val="18"/>
                <w:color w:val="auto"/>
              </w:rPr>
              <w:t>Collaboration and other revenue</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3,078.6</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2,360.5</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r>
      <w:tr>
        <w:trPr>
          <w:trHeight w:val="230"/>
        </w:trPr>
        <w:tc>
          <w:tcPr>
            <w:tcW w:w="5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28,541.4</w:t>
            </w:r>
          </w:p>
        </w:tc>
        <w:tc>
          <w:tcPr>
            <w:tcW w:w="48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rPr>
              <w:t>28,318.4</w:t>
            </w:r>
          </w:p>
        </w:tc>
        <w:tc>
          <w:tcPr>
            <w:tcW w:w="5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24,539.8</w:t>
            </w:r>
          </w:p>
        </w:tc>
      </w:tr>
    </w:tbl>
    <w:p>
      <w:pPr>
        <w:spacing w:after="0" w:line="85" w:lineRule="exact"/>
        <w:rPr>
          <w:sz w:val="20"/>
          <w:szCs w:val="20"/>
          <w:color w:val="auto"/>
        </w:rPr>
      </w:pPr>
    </w:p>
    <w:p>
      <w:pPr>
        <w:ind w:left="180" w:right="240" w:hanging="172"/>
        <w:spacing w:after="0" w:line="229" w:lineRule="auto"/>
        <w:tabs>
          <w:tab w:leader="none" w:pos="15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$163.4 million, $175.0 million, and $135.6 million during the years ended December 31, 2022, 2021, and 2020, respectively.</w:t>
      </w:r>
    </w:p>
    <w:p>
      <w:pPr>
        <w:spacing w:after="0" w:line="85"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Net Product Revenue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70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discounts, and returns are established in the same period the related product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Most of our products are sold to wholesalers that serve pharmacies, physicians and other healthcare professionals, and hospitals. For the years ended December 31, 2022, 2021, and 2020, our three largest wholesalers each accounted for between 16 percent and 21 percent of consolidated revenue. Further, they each accounted for between 18 percent and 29 percent of accounts receivable as of December 31, 2022 and 2021.</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discounts, and returns. The following describe the most significant of these judgments: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Rebates and Discounts - Background and Uncertainties</w:t>
      </w:r>
    </w:p>
    <w:p>
      <w:pPr>
        <w:spacing w:after="0" w:line="115" w:lineRule="exact"/>
        <w:rPr>
          <w:sz w:val="20"/>
          <w:szCs w:val="20"/>
          <w:color w:val="auto"/>
        </w:rPr>
      </w:pPr>
    </w:p>
    <w:p>
      <w:pPr>
        <w:ind w:left="660" w:right="2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w:t>
      </w:r>
    </w:p>
    <w:p>
      <w:pPr>
        <w:spacing w:after="0" w:line="71"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68"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The largest of our sales rebate and discount amounts include rebates associated with sales covered by managed care, Medicare, Medicaid, and chargeback programs, as well as reductions in revenue related to our patient assistance programs, in the U.S. In determining the appropriate accrual amount, we consider our historical rebate payments for these programs, as well as patient assistance program costs,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revenue reductions related to these programs at the time we record the sale, the reduction related to that sale is typically paid up to six months later. Because of this time lag, in any particular period our net product revenue may incorporate revisions of accruals for several periods.</w:t>
      </w:r>
    </w:p>
    <w:p>
      <w:pPr>
        <w:spacing w:after="0" w:line="76" w:lineRule="exact"/>
        <w:rPr>
          <w:rFonts w:ascii="Arial" w:cs="Arial" w:eastAsia="Arial" w:hAnsi="Arial"/>
          <w:sz w:val="18"/>
          <w:szCs w:val="18"/>
          <w:i w:val="1"/>
          <w:iCs w:val="1"/>
          <w:color w:val="auto"/>
        </w:rPr>
      </w:pPr>
    </w:p>
    <w:p>
      <w:pPr>
        <w:ind w:left="660" w:right="60" w:hanging="328"/>
        <w:spacing w:after="0" w:line="262"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auto"/>
        </w:rPr>
        <w:t>Sales Returns - Background and Uncertainties</w:t>
      </w:r>
    </w:p>
    <w:p>
      <w:pPr>
        <w:spacing w:after="0" w:line="115" w:lineRule="exact"/>
        <w:rPr>
          <w:sz w:val="20"/>
          <w:szCs w:val="20"/>
          <w:color w:val="auto"/>
        </w:rPr>
      </w:pPr>
    </w:p>
    <w:p>
      <w:pPr>
        <w:ind w:left="660" w:right="40" w:hanging="328"/>
        <w:spacing w:after="0" w:line="25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 identified anticipated returns due to known factors such as the loss of patent exclusivity, product recalls and discontinuations, or a changing competitive environment. We maintain a returns policy that allows most U.S. customers to return most of our products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79"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at the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72"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U.S. product returns have been less than 2 percent of our U.S. revenue during each of the past three years and have not fluctuated significantly as a percentage of revenue, although fluctuations are more likely in periods following loss of patent exclusivity for major products in the U.S. market.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Adjustments to Revenue</w:t>
      </w:r>
    </w:p>
    <w:p>
      <w:pPr>
        <w:spacing w:after="0" w:line="1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Adjustments to increase revenue, recognized as a result of changes in estimates for our most significant U.S. sales returns, rebates, and discounts liability balances for products shipped in previous periods, were less than 1 percent of U.S. revenue during each of the years ended December 31, 2022, 2021, and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Other Arrangements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68" w:lineRule="exact"/>
        <w:rPr>
          <w:sz w:val="20"/>
          <w:szCs w:val="20"/>
          <w:color w:val="auto"/>
        </w:rPr>
      </w:pPr>
    </w:p>
    <w:p>
      <w:pPr>
        <w:ind w:left="660" w:right="52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44" w:lineRule="exact"/>
        <w:rPr>
          <w:rFonts w:ascii="Arial" w:cs="Arial" w:eastAsia="Arial" w:hAnsi="Arial"/>
          <w:sz w:val="18"/>
          <w:szCs w:val="18"/>
          <w:color w:val="auto"/>
        </w:rPr>
      </w:pPr>
    </w:p>
    <w:p>
      <w:pPr>
        <w:ind w:left="660" w:right="360" w:hanging="328"/>
        <w:spacing w:after="0" w:line="262"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Royalty revenue from licensees and certain of our collaboration partners, which is based on sales to third-parties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64" w:name="page65"/>
    <w:bookmarkEnd w:id="64"/>
    <w:p>
      <w:pPr>
        <w:ind w:left="660" w:right="140" w:hanging="328"/>
        <w:spacing w:after="0" w:line="255"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76"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158" w:lineRule="exact"/>
        <w:rPr>
          <w:sz w:val="20"/>
          <w:szCs w:val="20"/>
          <w:color w:val="auto"/>
        </w:rPr>
      </w:pPr>
    </w:p>
    <w:p>
      <w:pPr>
        <w:ind w:left="8820"/>
        <w:spacing w:after="0"/>
        <w:tabs>
          <w:tab w:leader="none" w:pos="103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320" w:val="left"/>
          <w:tab w:leader="none" w:pos="9180" w:val="left"/>
          <w:tab w:leader="none" w:pos="9840" w:val="left"/>
          <w:tab w:leader="none" w:pos="10700" w:val="left"/>
        </w:tabs>
        <w:rPr>
          <w:sz w:val="20"/>
          <w:szCs w:val="20"/>
          <w:color w:val="auto"/>
        </w:rPr>
      </w:pPr>
      <w:r>
        <w:rPr>
          <w:rFonts w:ascii="Arial" w:cs="Arial" w:eastAsia="Arial" w:hAnsi="Arial"/>
          <w:sz w:val="18"/>
          <w:szCs w:val="18"/>
          <w:color w:val="auto"/>
        </w:rPr>
        <w:t>Contract liabilities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219.2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262.6</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contract liabilities balances disclosed above as of December 31, 2022 and 2021 were primarily related to the remaining license period of symbolic intellectual property and obligations to perform research and development activities or supply product for a defined period of time.</w:t>
      </w:r>
    </w:p>
    <w:p>
      <w:pPr>
        <w:spacing w:after="0" w:line="4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During the years ended December 31, 2022, 2021, and 2020,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r>
      <w:tr>
        <w:trPr>
          <w:trHeight w:val="224"/>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Revenue—to unaffiliated customers:</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440" w:type="dxa"/>
            <w:vAlign w:val="bottom"/>
          </w:tcPr>
          <w:p>
            <w:pPr>
              <w:ind w:left="480"/>
              <w:spacing w:after="0"/>
              <w:rPr>
                <w:sz w:val="20"/>
                <w:szCs w:val="20"/>
                <w:color w:val="auto"/>
              </w:rPr>
            </w:pPr>
            <w:r>
              <w:rPr>
                <w:rFonts w:ascii="Arial" w:cs="Arial" w:eastAsia="Arial" w:hAnsi="Arial"/>
                <w:sz w:val="18"/>
                <w:szCs w:val="18"/>
                <w:color w:val="auto"/>
              </w:rPr>
              <w:t>Diabetes: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i w:val="1"/>
                <w:iCs w:val="1"/>
                <w:color w:val="auto"/>
                <w:vertAlign w:val="superscript"/>
              </w:rPr>
              <w: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5,688.8</w:t>
            </w:r>
          </w:p>
        </w:tc>
        <w:tc>
          <w:tcPr>
            <w:tcW w:w="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4,914.4</w:t>
            </w:r>
          </w:p>
        </w:tc>
        <w:tc>
          <w:tcPr>
            <w:tcW w:w="3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3,835.9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1,750.9</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1,557.6</w:t>
            </w:r>
          </w:p>
        </w:tc>
        <w:tc>
          <w:tcPr>
            <w:tcW w:w="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1,232.2</w:t>
            </w:r>
          </w:p>
        </w:tc>
      </w:tr>
      <w:tr>
        <w:trPr>
          <w:trHeight w:val="230"/>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1,194.5</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807.3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871.5</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683.5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533.0</w:t>
            </w: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i w:val="1"/>
                <w:iCs w:val="1"/>
                <w:color w:val="auto"/>
                <w:vertAlign w:val="superscript"/>
              </w:rPr>
              <w:t>® (2)</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1,191.9</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1,320.7</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868.7</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1,132.3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1,140.3</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730.2</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832.9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289.2</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389.6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393.2</w:t>
            </w: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470.7</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588.3</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842.3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289.7</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304.2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282.1</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Mounjaro</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366.6</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115.9</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diabetes</w:t>
            </w: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268.4</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255.7</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367.8</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401.6</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344.5</w:t>
            </w:r>
          </w:p>
        </w:tc>
      </w:tr>
      <w:tr>
        <w:trPr>
          <w:trHeight w:val="223"/>
        </w:trPr>
        <w:tc>
          <w:tcPr>
            <w:tcW w:w="3440" w:type="dxa"/>
            <w:vAlign w:val="bottom"/>
          </w:tcPr>
          <w:p>
            <w:pPr>
              <w:ind w:left="680"/>
              <w:spacing w:after="0"/>
              <w:rPr>
                <w:sz w:val="20"/>
                <w:szCs w:val="20"/>
                <w:color w:val="auto"/>
              </w:rPr>
            </w:pPr>
            <w:r>
              <w:rPr>
                <w:rFonts w:ascii="Arial" w:cs="Arial" w:eastAsia="Arial" w:hAnsi="Arial"/>
                <w:sz w:val="18"/>
                <w:szCs w:val="18"/>
                <w:color w:val="auto"/>
              </w:rPr>
              <w:t>Total diabetes</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9,911.1</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8,719.3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7,909.1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4,553.7</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4,468.8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3,925.3</w:t>
            </w:r>
          </w:p>
        </w:tc>
      </w:tr>
      <w:tr>
        <w:trPr>
          <w:trHeight w:val="230"/>
        </w:trPr>
        <w:tc>
          <w:tcPr>
            <w:tcW w:w="3440" w:type="dxa"/>
            <w:vAlign w:val="bottom"/>
            <w:shd w:val="clear" w:color="auto" w:fill="DBDBDB"/>
          </w:tcPr>
          <w:p>
            <w:pPr>
              <w:ind w:left="440"/>
              <w:spacing w:after="0"/>
              <w:rPr>
                <w:sz w:val="20"/>
                <w:szCs w:val="20"/>
                <w:color w:val="auto"/>
              </w:rPr>
            </w:pPr>
            <w:r>
              <w:rPr>
                <w:rFonts w:ascii="Arial" w:cs="Arial" w:eastAsia="Arial" w:hAnsi="Arial"/>
                <w:sz w:val="18"/>
                <w:szCs w:val="18"/>
                <w:color w:val="auto"/>
              </w:rPr>
              <w:t>Oncology:</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1,653.2</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834.9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830.3</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515.0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294.4</w:t>
            </w: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351.4</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358.1</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620.0</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674.8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650.8</w:t>
            </w:r>
          </w:p>
        </w:tc>
      </w:tr>
      <w:tr>
        <w:trPr>
          <w:trHeight w:val="230"/>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543.7</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1,233.9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384.0</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827.5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1,064.7</w:t>
            </w: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500.1</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481.8</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66.4</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66.4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56.3</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293.3</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308.7</w:t>
            </w:r>
          </w:p>
        </w:tc>
      </w:tr>
      <w:tr>
        <w:trPr>
          <w:trHeight w:val="230"/>
        </w:trPr>
        <w:tc>
          <w:tcPr>
            <w:tcW w:w="344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169.7</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120.1</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254.1</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210.7</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152.3</w:t>
            </w:r>
          </w:p>
        </w:tc>
      </w:tr>
      <w:tr>
        <w:trPr>
          <w:trHeight w:val="223"/>
        </w:trPr>
        <w:tc>
          <w:tcPr>
            <w:tcW w:w="3440" w:type="dxa"/>
            <w:vAlign w:val="bottom"/>
          </w:tcPr>
          <w:p>
            <w:pPr>
              <w:ind w:left="68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3,218.1</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3,028.8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2,448.1</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2,712.5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2,527.2</w:t>
            </w:r>
          </w:p>
        </w:tc>
      </w:tr>
      <w:tr>
        <w:trPr>
          <w:trHeight w:val="230"/>
        </w:trPr>
        <w:tc>
          <w:tcPr>
            <w:tcW w:w="34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1,724.6</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1,542.4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757.4</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670.4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i w:val="1"/>
                <w:iCs w:val="1"/>
                <w:color w:val="auto"/>
                <w:vertAlign w:val="superscript"/>
              </w:rPr>
              <w:t>® (3)</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148.2</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324.1</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682.3</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791.0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575.0</w:t>
            </w:r>
          </w:p>
        </w:tc>
      </w:tr>
      <w:tr>
        <w:trPr>
          <w:trHeight w:val="230"/>
        </w:trPr>
        <w:tc>
          <w:tcPr>
            <w:tcW w:w="344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344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Total immunology</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1,892.8</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1,881.8</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1,451.8</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1,479.0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1,089.6</w:t>
            </w:r>
          </w:p>
        </w:tc>
      </w:tr>
      <w:tr>
        <w:trPr>
          <w:trHeight w:val="230"/>
        </w:trPr>
        <w:tc>
          <w:tcPr>
            <w:tcW w:w="3440" w:type="dxa"/>
            <w:vAlign w:val="bottom"/>
          </w:tcPr>
          <w:p>
            <w:pPr>
              <w:ind w:left="48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462.8</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434.5</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188.1</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142.7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30.4</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306.5</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390.7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360.5</w:t>
            </w: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33.7</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249.6</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542.8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725.6</w:t>
            </w:r>
          </w:p>
        </w:tc>
      </w:tr>
      <w:tr>
        <w:trPr>
          <w:trHeight w:val="230"/>
        </w:trPr>
        <w:tc>
          <w:tcPr>
            <w:tcW w:w="344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85.5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189.6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207.5</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r>
      <w:tr>
        <w:trPr>
          <w:trHeight w:val="223"/>
        </w:trPr>
        <w:tc>
          <w:tcPr>
            <w:tcW w:w="344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612.4</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614.8</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933.8</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1,283.7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1,344.0</w:t>
            </w:r>
          </w:p>
        </w:tc>
      </w:tr>
      <w:tr>
        <w:trPr>
          <w:trHeight w:val="230"/>
        </w:trPr>
        <w:tc>
          <w:tcPr>
            <w:tcW w:w="3440" w:type="dxa"/>
            <w:vAlign w:val="bottom"/>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3440" w:type="dxa"/>
            <w:vAlign w:val="bottom"/>
            <w:shd w:val="clear" w:color="auto" w:fill="DBDBDB"/>
          </w:tcPr>
          <w:p>
            <w:pPr>
              <w:ind w:left="800"/>
              <w:spacing w:after="0" w:line="243" w:lineRule="exact"/>
              <w:rPr>
                <w:sz w:val="20"/>
                <w:szCs w:val="20"/>
                <w:color w:val="auto"/>
              </w:rPr>
            </w:pPr>
            <w:r>
              <w:rPr>
                <w:rFonts w:ascii="Arial" w:cs="Arial" w:eastAsia="Arial" w:hAnsi="Arial"/>
                <w:sz w:val="18"/>
                <w:szCs w:val="18"/>
                <w:i w:val="1"/>
                <w:iCs w:val="1"/>
                <w:color w:val="auto"/>
              </w:rPr>
              <w:t>COVID-19 antibodies</w:t>
            </w:r>
            <w:r>
              <w:rPr>
                <w:rFonts w:ascii="Arial" w:cs="Arial" w:eastAsia="Arial" w:hAnsi="Arial"/>
                <w:sz w:val="23"/>
                <w:szCs w:val="23"/>
                <w:i w:val="1"/>
                <w:iCs w:val="1"/>
                <w:color w:val="auto"/>
                <w:vertAlign w:val="superscript"/>
              </w:rPr>
              <w:t>(4)</w:t>
            </w:r>
          </w:p>
        </w:tc>
        <w:tc>
          <w:tcPr>
            <w:tcW w:w="260" w:type="dxa"/>
            <w:vAlign w:val="bottom"/>
            <w:shd w:val="clear" w:color="auto" w:fill="DBDBDB"/>
          </w:tcPr>
          <w:p>
            <w:pPr>
              <w:spacing w:after="0"/>
              <w:rPr>
                <w:sz w:val="21"/>
                <w:szCs w:val="21"/>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2,008.9</w:t>
            </w:r>
          </w:p>
        </w:tc>
        <w:tc>
          <w:tcPr>
            <w:tcW w:w="360" w:type="dxa"/>
            <w:vAlign w:val="bottom"/>
            <w:shd w:val="clear" w:color="auto" w:fill="DBDBDB"/>
          </w:tcPr>
          <w:p>
            <w:pPr>
              <w:spacing w:after="0"/>
              <w:rPr>
                <w:sz w:val="21"/>
                <w:szCs w:val="21"/>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1,978.0</w:t>
            </w:r>
          </w:p>
        </w:tc>
        <w:tc>
          <w:tcPr>
            <w:tcW w:w="34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14.7</w:t>
            </w: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261.4</w:t>
            </w:r>
          </w:p>
        </w:tc>
        <w:tc>
          <w:tcPr>
            <w:tcW w:w="36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367.3</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441.6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245.8</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536.0</w:t>
            </w: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35.2</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552.1</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707.9</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545.4</w:t>
            </w:r>
          </w:p>
        </w:tc>
      </w:tr>
      <w:tr>
        <w:trPr>
          <w:trHeight w:val="230"/>
        </w:trPr>
        <w:tc>
          <w:tcPr>
            <w:tcW w:w="344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144.2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151.3</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233.9</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r>
      <w:tr>
        <w:trPr>
          <w:trHeight w:val="223"/>
        </w:trPr>
        <w:tc>
          <w:tcPr>
            <w:tcW w:w="344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Total other</w:t>
            </w: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2,555.7</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2,566.4</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1,668.4</w:t>
            </w: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964.0</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1,563.5</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1,424.4</w:t>
            </w: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18,190.0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16,811.0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14,229.3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10,351.3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11,507.4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-916305</wp:posOffset>
            </wp:positionV>
            <wp:extent cx="762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60" w:hanging="152"/>
        <w:spacing w:after="0"/>
        <w:tabs>
          <w:tab w:leader="none" w:pos="160" w:val="left"/>
        </w:tabs>
        <w:numPr>
          <w:ilvl w:val="0"/>
          <w:numId w:val="44"/>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ind w:left="180" w:right="300" w:hanging="172"/>
        <w:spacing w:after="0" w:line="229" w:lineRule="auto"/>
        <w:tabs>
          <w:tab w:leader="none" w:pos="158"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4"/>
        </w:trPr>
        <w:tc>
          <w:tcPr>
            <w:tcW w:w="6980" w:type="dxa"/>
            <w:vAlign w:val="bottom"/>
            <w:shd w:val="clear" w:color="auto" w:fill="D8D8D8"/>
          </w:tcPr>
          <w:p>
            <w:pPr>
              <w:ind w:left="20"/>
              <w:spacing w:after="0" w:line="224" w:lineRule="exact"/>
              <w:rPr>
                <w:sz w:val="20"/>
                <w:szCs w:val="20"/>
                <w:color w:val="auto"/>
              </w:rPr>
            </w:pPr>
            <w:r>
              <w:rPr>
                <w:rFonts w:ascii="Arial" w:cs="Arial" w:eastAsia="Arial" w:hAnsi="Arial"/>
                <w:sz w:val="18"/>
                <w:szCs w:val="18"/>
                <w:color w:val="auto"/>
              </w:rPr>
              <w:t>Revenue—to unaffiliated customers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18,190.0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16,811.0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14,229.3</w:t>
            </w:r>
          </w:p>
        </w:tc>
      </w:tr>
      <w:tr>
        <w:trPr>
          <w:trHeight w:val="229"/>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4,299.2</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4,776.8</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4,187.7</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1,747.3</w:t>
            </w:r>
          </w:p>
        </w:tc>
        <w:tc>
          <w:tcPr>
            <w:tcW w:w="4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2,367.0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2,583.1</w:t>
            </w:r>
          </w:p>
        </w:tc>
      </w:tr>
      <w:tr>
        <w:trPr>
          <w:trHeight w:val="229"/>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1,452.8</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1,661.4</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1,116.9</w:t>
            </w:r>
          </w:p>
        </w:tc>
      </w:tr>
      <w:tr>
        <w:trPr>
          <w:trHeight w:val="230"/>
        </w:trPr>
        <w:tc>
          <w:tcPr>
            <w:tcW w:w="69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2,852.0</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2,702.2</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2,422.7</w:t>
            </w:r>
          </w:p>
        </w:tc>
      </w:tr>
      <w:tr>
        <w:trPr>
          <w:trHeight w:val="230"/>
        </w:trPr>
        <w:tc>
          <w:tcPr>
            <w:tcW w:w="69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28,541.4</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28,318.4</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24,539.8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engage in various forms of business development activities to enhance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2022, January 2021, and February 2020, we completed the acquisitions of Akouos, Inc. (Akouos), Prevail Therapeutics Inc. (Prevail), and Dermira, Inc. (Dermira), respectively. These transactions, as further discussed below in Acquisitions of Businesses, were accounted for as business combinations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have been included in our consolidated financial statements from the date of acquisition.</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acquired assets in development in 2022, 2021, and 2020, which are further discussed below in Asset Acquisitions. Upon each acquisition, the cost allocated to acquired IPR&amp;D was immediately expensed if the compound has no alternative future use. Milestone payment obligations incurred prior to regulatory approval of the compound are expensed when the event triggering an obligation to pay the milestone occurs. We recognized acquired IPR&amp;D and development milestone charges of $908.5 million, $970.1 million, and $769.8 million for the years ended December 31, 2022, 2021, and 2020,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Akouos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December 2022, we acquired all shares of Akouos for a purchase price that included $12.50 per share in cash (or an aggregate of $327.2 million, net of cash acquired) plus one non-tradable contingent value right (CVR) per share. The CVR entitles the Akouos shareholders up to an additional $3.00 per share in cash (or an aggregate of approximately $122 million) payable, subject to certain terms and conditions, upon the achievement of certain specified milestones.</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Under the terms of the agreement, we acquired potential gene therapy treatments for hearing loss and other inner ear conditions. The lead gene therapies in clinical development that we acquired included GJB2 (which encodes connexin 26) for a common form of monogenic deafness and hearing loss; AK-OTOF for hearing loss due to mutations in the otoferlin gene; AK-CLRN1 for Usher Type 3A, an autosomal recessive disorder characterized by progressive loss of both hearing and vision; and AK-antiVEGF for vestibular schwannoma.</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access to Akouos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tcBorders>
              <w:top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886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30"/>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181.2</w:t>
            </w:r>
          </w:p>
        </w:tc>
      </w:tr>
      <w:tr>
        <w:trPr>
          <w:trHeight w:val="229"/>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23"/>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547.3</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860" w:type="dxa"/>
            <w:vAlign w:val="bottom"/>
            <w:shd w:val="clear" w:color="auto" w:fill="DBDBDB"/>
          </w:tcPr>
          <w:p>
            <w:pPr>
              <w:ind w:left="260"/>
              <w:spacing w:after="0"/>
              <w:rPr>
                <w:sz w:val="20"/>
                <w:szCs w:val="20"/>
                <w:color w:val="auto"/>
              </w:rPr>
            </w:pPr>
            <w:r>
              <w:rPr>
                <w:rFonts w:ascii="Arial" w:cs="Arial" w:eastAsia="Arial" w:hAnsi="Arial"/>
                <w:sz w:val="18"/>
                <w:szCs w:val="18"/>
                <w:color w:val="auto"/>
              </w:rPr>
              <w:t>Cash acquired</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8860" w:type="dxa"/>
            <w:vAlign w:val="bottom"/>
            <w:tcBorders>
              <w:bottom w:val="single" w:sz="8" w:color="DBDBDB"/>
            </w:tcBorders>
          </w:tcPr>
          <w:p>
            <w:pPr>
              <w:ind w:left="260"/>
              <w:spacing w:after="0" w:line="230" w:lineRule="exact"/>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8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paid, net of cash acquired</w:t>
            </w:r>
          </w:p>
        </w:tc>
        <w:tc>
          <w:tcPr>
            <w:tcW w:w="960" w:type="dxa"/>
            <w:vAlign w:val="bottom"/>
            <w:tcBorders>
              <w:bottom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327.2</w:t>
            </w:r>
          </w:p>
        </w:tc>
      </w:tr>
    </w:tbl>
    <w:p>
      <w:pPr>
        <w:spacing w:after="0" w:line="77"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GJB2.</w:t>
      </w: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goodwill recognized from this acquisition is attributable primarily to future unidentified projects and products and the assembled workforce for Akouos and is not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deductible for tax purposes.</w:t>
      </w:r>
    </w:p>
    <w:p>
      <w:pPr>
        <w:spacing w:after="0" w:line="6"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16"/>
          <w:szCs w:val="16"/>
          <w:color w:val="auto"/>
          <w:vertAlign w:val="superscript"/>
        </w:rPr>
      </w:pPr>
      <w:r>
        <w:rPr>
          <w:rFonts w:ascii="Arial" w:cs="Arial" w:eastAsia="Arial" w:hAnsi="Arial"/>
          <w:sz w:val="12"/>
          <w:szCs w:val="12"/>
          <w:color w:val="auto"/>
        </w:rPr>
        <w:t>See Note 7 for a discussion on the estimation of the CVR liability.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Akouos for the year ended December 31, 2022 were immaterial.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years ended December 31, 2022 and 2021.</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Prevail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$747.4 million, net of cash acquired) plus one non-tradable CVR per share. The CVR entitles Prevail stockholders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 without payment.</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agreement, we acquired potentially disease-modifying AAV9-based gene therapies for patients with neurodegenerative diseases. The acquisition established a new modality for drug discovery and development, extending our research efforts through the creation of a gene therapy program that is being anchored by Prevail's portfolio of assets. The lead gene therapies in clinical development that we acquired were PR001 for patients with Parkinson's disease with GBA1 mutations and neuronopathic Gaucher disease and PR006 for patients with frontotemporal dementia with GRN mutations. Both PR001 and PR006 were granted Fast Track designation from the U.S. Food and Drug Administration (FDA).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tcBorders>
              <w:top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886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824.0</w:t>
            </w:r>
          </w:p>
        </w:tc>
      </w:tr>
      <w:tr>
        <w:trPr>
          <w:trHeight w:val="229"/>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29"/>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 and liabilities, net</w:t>
            </w:r>
          </w:p>
        </w:tc>
        <w:tc>
          <w:tcPr>
            <w:tcW w:w="96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8860" w:type="dxa"/>
            <w:vAlign w:val="bottom"/>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903.8</w:t>
            </w:r>
          </w:p>
        </w:tc>
      </w:tr>
      <w:tr>
        <w:trPr>
          <w:trHeight w:val="229"/>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r>
      <w:tr>
        <w:trPr>
          <w:trHeight w:val="229"/>
        </w:trPr>
        <w:tc>
          <w:tcPr>
            <w:tcW w:w="8860" w:type="dxa"/>
            <w:vAlign w:val="bottom"/>
          </w:tcPr>
          <w:p>
            <w:pPr>
              <w:ind w:left="260"/>
              <w:spacing w:after="0"/>
              <w:rPr>
                <w:sz w:val="20"/>
                <w:szCs w:val="20"/>
                <w:color w:val="auto"/>
              </w:rPr>
            </w:pPr>
            <w:r>
              <w:rPr>
                <w:rFonts w:ascii="Arial" w:cs="Arial" w:eastAsia="Arial" w:hAnsi="Arial"/>
                <w:sz w:val="18"/>
                <w:szCs w:val="18"/>
                <w:color w:val="auto"/>
              </w:rPr>
              <w:t>Cash acquired</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8860" w:type="dxa"/>
            <w:vAlign w:val="bottom"/>
            <w:shd w:val="clear" w:color="auto" w:fill="DBDBDB"/>
          </w:tcPr>
          <w:p>
            <w:pPr>
              <w:ind w:left="260"/>
              <w:spacing w:after="0" w:line="230" w:lineRule="exact"/>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tc>
        <w:tc>
          <w:tcPr>
            <w:tcW w:w="96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r>
    </w:tbl>
    <w:p>
      <w:pPr>
        <w:spacing w:after="0" w:line="77"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PR001. In the third quarter of 2022, we impaired the intangible asset related to PR001. See Note 5 for additional information.</w:t>
      </w:r>
    </w:p>
    <w:p>
      <w:pPr>
        <w:ind w:left="160" w:hanging="152"/>
        <w:spacing w:after="0"/>
        <w:tabs>
          <w:tab w:leader="none" w:pos="160" w:val="left"/>
        </w:tabs>
        <w:numPr>
          <w:ilvl w:val="0"/>
          <w:numId w:val="48"/>
        </w:numPr>
        <w:rPr>
          <w:rFonts w:ascii="Arial" w:cs="Arial" w:eastAsia="Arial" w:hAnsi="Arial"/>
          <w:sz w:val="9"/>
          <w:szCs w:val="9"/>
          <w:color w:val="auto"/>
        </w:rPr>
      </w:pPr>
      <w:r>
        <w:rPr>
          <w:rFonts w:ascii="Arial" w:cs="Arial" w:eastAsia="Arial" w:hAnsi="Arial"/>
          <w:sz w:val="14"/>
          <w:szCs w:val="14"/>
          <w:color w:val="auto"/>
        </w:rPr>
        <w:t>The goodwill recognized from this acquisition is not deductible for tax purposes.</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48"/>
        </w:numPr>
        <w:rPr>
          <w:rFonts w:ascii="Arial" w:cs="Arial" w:eastAsia="Arial" w:hAnsi="Arial"/>
          <w:sz w:val="9"/>
          <w:szCs w:val="9"/>
          <w:color w:val="auto"/>
        </w:rPr>
      </w:pPr>
      <w:r>
        <w:rPr>
          <w:rFonts w:ascii="Arial" w:cs="Arial" w:eastAsia="Arial" w:hAnsi="Arial"/>
          <w:sz w:val="14"/>
          <w:szCs w:val="14"/>
          <w:color w:val="auto"/>
        </w:rPr>
        <w:t>See Note 7 for a discussion on the estimation of the CVR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Prevail for the years ended December 31, 2022 and 2021 were immaterial.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years ended December 31, 2021 and 2020.</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terms of the agreement, we acquired lebrikizumab, a novel, investigational, monoclonal antibody being evaluated for the treatment of moderate-to-severe atopic dermatitis.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 During the year ended December 31, 2021, we sold the rights to Qbrexza. See Note 5 for additional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fair values recognized related to the assets acquired and liabilities assumed in this acquisition included goodwill of $ 86.8 million, other intangibles of $1.20 billion primarily related to lebrikizumab, deferred income tax liabilities of $49.5 million, and long-term debt of $375.5 million. After the acquisition, we repaid $276.2 million of long-term debt assumed as part of our acquisition of Dermira.</w:t>
      </w:r>
    </w:p>
    <w:p>
      <w:pPr>
        <w:spacing w:after="0" w:line="63"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Revenue attributable to assets acquired in the Dermira acquisition did not have a material impact on our consolidated statement of operations for the years ended December 31, 2022, 2021, and 2020. We are unable to provide the results of operations for the years ended December 31, 2022, 2021, and 2020 attributable to Dermira as those operations were substantially integrated into our legacy business.</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Pro forma information has not been included because this acquisition did not have a material impact on our consolidated statements of operations for the year ended December 31, 2020.</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asset acquisitions during 2022, 2021, and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Counterparty</w:t>
            </w:r>
          </w:p>
        </w:tc>
        <w:tc>
          <w:tcPr>
            <w:tcW w:w="35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Compound(s),Therapy, or Asset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Acquisition</w:t>
            </w:r>
          </w:p>
        </w:tc>
        <w:tc>
          <w:tcPr>
            <w:tcW w:w="1740" w:type="dxa"/>
            <w:vAlign w:val="bottom"/>
          </w:tcPr>
          <w:p>
            <w:pPr>
              <w:jc w:val="center"/>
              <w:ind w:right="214"/>
              <w:spacing w:after="0"/>
              <w:rPr>
                <w:sz w:val="20"/>
                <w:szCs w:val="20"/>
                <w:color w:val="auto"/>
              </w:rPr>
            </w:pPr>
            <w:r>
              <w:rPr>
                <w:rFonts w:ascii="Arial" w:cs="Arial" w:eastAsia="Arial" w:hAnsi="Arial"/>
                <w:sz w:val="14"/>
                <w:szCs w:val="14"/>
                <w:b w:val="1"/>
                <w:bCs w:val="1"/>
                <w:color w:val="auto"/>
              </w:rPr>
              <w:t>Phase of</w:t>
            </w:r>
          </w:p>
        </w:tc>
        <w:tc>
          <w:tcPr>
            <w:tcW w:w="1480" w:type="dxa"/>
            <w:vAlign w:val="bottom"/>
          </w:tcPr>
          <w:p>
            <w:pPr>
              <w:jc w:val="right"/>
              <w:ind w:right="194"/>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1"/>
        </w:trPr>
        <w:tc>
          <w:tcPr>
            <w:tcW w:w="306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Month</w:t>
            </w:r>
          </w:p>
        </w:tc>
        <w:tc>
          <w:tcPr>
            <w:tcW w:w="1740" w:type="dxa"/>
            <w:vAlign w:val="bottom"/>
            <w:tcBorders>
              <w:bottom w:val="single" w:sz="8" w:color="auto"/>
            </w:tcBorders>
          </w:tcPr>
          <w:p>
            <w:pPr>
              <w:jc w:val="center"/>
              <w:ind w:right="234"/>
              <w:spacing w:after="0" w:line="201"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BioMarin Pharmaceutical Inc.</w:t>
            </w:r>
          </w:p>
        </w:tc>
        <w:tc>
          <w:tcPr>
            <w:tcW w:w="3540" w:type="dxa"/>
            <w:vAlign w:val="bottom"/>
            <w:tcBorders>
              <w:bottom w:val="single" w:sz="8" w:color="auto"/>
            </w:tcBorders>
            <w:shd w:val="clear" w:color="auto" w:fill="D8D8D8"/>
          </w:tcPr>
          <w:p>
            <w:pPr>
              <w:ind w:left="340"/>
              <w:spacing w:after="0"/>
              <w:rPr>
                <w:sz w:val="20"/>
                <w:szCs w:val="20"/>
                <w:color w:val="auto"/>
              </w:rPr>
            </w:pPr>
            <w:r>
              <w:rPr>
                <w:rFonts w:ascii="Arial" w:cs="Arial" w:eastAsia="Arial" w:hAnsi="Arial"/>
                <w:sz w:val="18"/>
                <w:szCs w:val="18"/>
                <w:color w:val="auto"/>
              </w:rPr>
              <w:t>Priority Review Voucher</w:t>
            </w:r>
          </w:p>
        </w:tc>
        <w:tc>
          <w:tcPr>
            <w:tcW w:w="14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rPr>
              <w:t>February 2022</w:t>
            </w:r>
          </w:p>
        </w:tc>
        <w:tc>
          <w:tcPr>
            <w:tcW w:w="174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8"/>
                <w:szCs w:val="18"/>
                <w:color w:val="auto"/>
              </w:rPr>
              <w:t xml:space="preserve">Not applicable   </w:t>
            </w: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110.0</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Foghorn Therapeutics Inc.</w:t>
            </w:r>
          </w:p>
        </w:tc>
        <w:tc>
          <w:tcPr>
            <w:tcW w:w="3540" w:type="dxa"/>
            <w:vAlign w:val="bottom"/>
            <w:shd w:val="clear" w:color="auto" w:fill="D8D8D8"/>
          </w:tcPr>
          <w:p>
            <w:pPr>
              <w:ind w:left="340"/>
              <w:spacing w:after="0" w:line="169" w:lineRule="exact"/>
              <w:rPr>
                <w:sz w:val="20"/>
                <w:szCs w:val="20"/>
                <w:color w:val="auto"/>
              </w:rPr>
            </w:pPr>
            <w:r>
              <w:rPr>
                <w:rFonts w:ascii="Arial" w:cs="Arial" w:eastAsia="Arial" w:hAnsi="Arial"/>
                <w:sz w:val="18"/>
                <w:szCs w:val="18"/>
                <w:color w:val="auto"/>
              </w:rPr>
              <w:t>Pre-clinical targets that could lead to</w:t>
            </w:r>
          </w:p>
        </w:tc>
        <w:tc>
          <w:tcPr>
            <w:tcW w:w="1420" w:type="dxa"/>
            <w:vAlign w:val="bottom"/>
            <w:shd w:val="clear" w:color="auto" w:fill="D8D8D8"/>
          </w:tcPr>
          <w:p>
            <w:pPr>
              <w:jc w:val="center"/>
              <w:spacing w:after="0" w:line="169" w:lineRule="exact"/>
              <w:rPr>
                <w:sz w:val="20"/>
                <w:szCs w:val="20"/>
                <w:color w:val="auto"/>
              </w:rPr>
            </w:pPr>
            <w:r>
              <w:rPr>
                <w:rFonts w:ascii="Arial" w:cs="Arial" w:eastAsia="Arial" w:hAnsi="Arial"/>
                <w:sz w:val="18"/>
                <w:szCs w:val="18"/>
                <w:color w:val="auto"/>
                <w:w w:val="98"/>
              </w:rPr>
              <w:t>December</w:t>
            </w:r>
          </w:p>
        </w:tc>
        <w:tc>
          <w:tcPr>
            <w:tcW w:w="1740" w:type="dxa"/>
            <w:vAlign w:val="bottom"/>
            <w:vMerge w:val="restart"/>
            <w:shd w:val="clear" w:color="auto" w:fill="D8D8D8"/>
          </w:tcPr>
          <w:p>
            <w:pPr>
              <w:jc w:val="center"/>
              <w:ind w:right="214"/>
              <w:spacing w:after="0"/>
              <w:rPr>
                <w:sz w:val="20"/>
                <w:szCs w:val="20"/>
                <w:color w:val="auto"/>
              </w:rPr>
            </w:pPr>
            <w:r>
              <w:rPr>
                <w:rFonts w:ascii="Arial" w:cs="Arial" w:eastAsia="Arial" w:hAnsi="Arial"/>
                <w:sz w:val="18"/>
                <w:szCs w:val="18"/>
                <w:color w:val="auto"/>
                <w:w w:val="99"/>
              </w:rPr>
              <w:t>Pre-clinical</w:t>
            </w: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153"/>
        </w:trPr>
        <w:tc>
          <w:tcPr>
            <w:tcW w:w="3060" w:type="dxa"/>
            <w:vAlign w:val="bottom"/>
            <w:vMerge w:val="continue"/>
            <w:shd w:val="clear" w:color="auto" w:fill="D8D8D8"/>
          </w:tcPr>
          <w:p>
            <w:pPr>
              <w:spacing w:after="0"/>
              <w:rPr>
                <w:sz w:val="13"/>
                <w:szCs w:val="13"/>
                <w:color w:val="auto"/>
              </w:rPr>
            </w:pPr>
          </w:p>
        </w:tc>
        <w:tc>
          <w:tcPr>
            <w:tcW w:w="3540" w:type="dxa"/>
            <w:vAlign w:val="bottom"/>
            <w:vMerge w:val="restart"/>
            <w:shd w:val="clear" w:color="auto" w:fill="D8D8D8"/>
          </w:tcPr>
          <w:p>
            <w:pPr>
              <w:ind w:left="340"/>
              <w:spacing w:after="0"/>
              <w:rPr>
                <w:sz w:val="20"/>
                <w:szCs w:val="20"/>
                <w:color w:val="auto"/>
              </w:rPr>
            </w:pPr>
            <w:r>
              <w:rPr>
                <w:rFonts w:ascii="Arial" w:cs="Arial" w:eastAsia="Arial" w:hAnsi="Arial"/>
                <w:sz w:val="18"/>
                <w:szCs w:val="18"/>
                <w:color w:val="auto"/>
              </w:rPr>
              <w:t>potential new oncology medicines</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2021</w:t>
            </w:r>
          </w:p>
        </w:tc>
        <w:tc>
          <w:tcPr>
            <w:tcW w:w="1740" w:type="dxa"/>
            <w:vAlign w:val="bottom"/>
            <w:vMerge w:val="continue"/>
            <w:shd w:val="clear" w:color="auto" w:fill="D8D8D8"/>
          </w:tcPr>
          <w:p>
            <w:pPr>
              <w:spacing w:after="0"/>
              <w:rPr>
                <w:sz w:val="13"/>
                <w:szCs w:val="13"/>
                <w:color w:val="auto"/>
              </w:rPr>
            </w:pPr>
          </w:p>
        </w:tc>
        <w:tc>
          <w:tcPr>
            <w:tcW w:w="148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060" w:type="dxa"/>
            <w:vAlign w:val="bottom"/>
            <w:tcBorders>
              <w:bottom w:val="single" w:sz="8" w:color="auto"/>
            </w:tcBorders>
            <w:shd w:val="clear" w:color="auto" w:fill="D8D8D8"/>
          </w:tcPr>
          <w:p>
            <w:pPr>
              <w:spacing w:after="0"/>
              <w:rPr>
                <w:sz w:val="7"/>
                <w:szCs w:val="7"/>
                <w:color w:val="auto"/>
              </w:rPr>
            </w:pPr>
          </w:p>
        </w:tc>
        <w:tc>
          <w:tcPr>
            <w:tcW w:w="3540" w:type="dxa"/>
            <w:vAlign w:val="bottom"/>
            <w:tcBorders>
              <w:bottom w:val="single" w:sz="8" w:color="auto"/>
            </w:tcBorders>
            <w:vMerge w:val="continue"/>
            <w:shd w:val="clear" w:color="auto" w:fill="D8D8D8"/>
          </w:tcPr>
          <w:p>
            <w:pPr>
              <w:spacing w:after="0"/>
              <w:rPr>
                <w:sz w:val="7"/>
                <w:szCs w:val="7"/>
                <w:color w:val="auto"/>
              </w:rPr>
            </w:pPr>
          </w:p>
        </w:tc>
        <w:tc>
          <w:tcPr>
            <w:tcW w:w="1420" w:type="dxa"/>
            <w:vAlign w:val="bottom"/>
            <w:tcBorders>
              <w:bottom w:val="single" w:sz="8" w:color="auto"/>
            </w:tcBorders>
            <w:vMerge w:val="continue"/>
            <w:shd w:val="clear" w:color="auto" w:fill="D8D8D8"/>
          </w:tcPr>
          <w:p>
            <w:pPr>
              <w:spacing w:after="0"/>
              <w:rPr>
                <w:sz w:val="7"/>
                <w:szCs w:val="7"/>
                <w:color w:val="auto"/>
              </w:rPr>
            </w:pPr>
          </w:p>
        </w:tc>
        <w:tc>
          <w:tcPr>
            <w:tcW w:w="1740" w:type="dxa"/>
            <w:vAlign w:val="bottom"/>
            <w:tcBorders>
              <w:bottom w:val="single" w:sz="8" w:color="auto"/>
            </w:tcBorders>
            <w:shd w:val="clear" w:color="auto" w:fill="D8D8D8"/>
          </w:tcPr>
          <w:p>
            <w:pPr>
              <w:spacing w:after="0"/>
              <w:rPr>
                <w:sz w:val="7"/>
                <w:szCs w:val="7"/>
                <w:color w:val="auto"/>
              </w:rPr>
            </w:pPr>
          </w:p>
        </w:tc>
        <w:tc>
          <w:tcPr>
            <w:tcW w:w="1480" w:type="dxa"/>
            <w:vAlign w:val="bottom"/>
            <w:tcBorders>
              <w:bottom w:val="single" w:sz="8" w:color="auto"/>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540" w:type="dxa"/>
            <w:vAlign w:val="bottom"/>
          </w:tcPr>
          <w:p>
            <w:pPr>
              <w:ind w:left="340"/>
              <w:spacing w:after="0" w:line="171" w:lineRule="exact"/>
              <w:rPr>
                <w:sz w:val="20"/>
                <w:szCs w:val="20"/>
                <w:color w:val="auto"/>
              </w:rPr>
            </w:pPr>
            <w:r>
              <w:rPr>
                <w:rFonts w:ascii="Arial" w:cs="Arial" w:eastAsia="Arial" w:hAnsi="Arial"/>
                <w:sz w:val="18"/>
                <w:szCs w:val="18"/>
                <w:color w:val="auto"/>
              </w:rPr>
              <w:t>R552, a receptor-interacting</w:t>
            </w:r>
          </w:p>
        </w:tc>
        <w:tc>
          <w:tcPr>
            <w:tcW w:w="1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Rigel Pharmaceuticals, Inc.</w:t>
            </w:r>
          </w:p>
        </w:tc>
        <w:tc>
          <w:tcPr>
            <w:tcW w:w="3540" w:type="dxa"/>
            <w:vAlign w:val="bottom"/>
          </w:tcPr>
          <w:p>
            <w:pPr>
              <w:ind w:left="340"/>
              <w:spacing w:after="0" w:line="183" w:lineRule="exact"/>
              <w:rPr>
                <w:sz w:val="20"/>
                <w:szCs w:val="20"/>
                <w:color w:val="auto"/>
              </w:rPr>
            </w:pPr>
            <w:r>
              <w:rPr>
                <w:rFonts w:ascii="Arial" w:cs="Arial" w:eastAsia="Arial" w:hAnsi="Arial"/>
                <w:sz w:val="18"/>
                <w:szCs w:val="18"/>
                <w:color w:val="auto"/>
              </w:rPr>
              <w:t>serine/threonine-protein kinase 1</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8"/>
              </w:rPr>
              <w:t>March 2021</w:t>
            </w:r>
          </w:p>
        </w:tc>
        <w:tc>
          <w:tcPr>
            <w:tcW w:w="1740" w:type="dxa"/>
            <w:vAlign w:val="bottom"/>
            <w:vMerge w:val="restart"/>
          </w:tcPr>
          <w:p>
            <w:pPr>
              <w:jc w:val="center"/>
              <w:ind w:right="214"/>
              <w:spacing w:after="0"/>
              <w:rPr>
                <w:sz w:val="20"/>
                <w:szCs w:val="20"/>
                <w:color w:val="auto"/>
              </w:rPr>
            </w:pPr>
            <w:r>
              <w:rPr>
                <w:rFonts w:ascii="Arial" w:cs="Arial" w:eastAsia="Arial" w:hAnsi="Arial"/>
                <w:sz w:val="18"/>
                <w:szCs w:val="18"/>
                <w:color w:val="auto"/>
                <w:w w:val="98"/>
              </w:rPr>
              <w:t>Phase I</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81"/>
        </w:trPr>
        <w:tc>
          <w:tcPr>
            <w:tcW w:w="3060" w:type="dxa"/>
            <w:vAlign w:val="bottom"/>
            <w:vMerge w:val="continue"/>
          </w:tcPr>
          <w:p>
            <w:pPr>
              <w:spacing w:after="0"/>
              <w:rPr>
                <w:sz w:val="15"/>
                <w:szCs w:val="15"/>
                <w:color w:val="auto"/>
              </w:rPr>
            </w:pPr>
          </w:p>
        </w:tc>
        <w:tc>
          <w:tcPr>
            <w:tcW w:w="3540" w:type="dxa"/>
            <w:vAlign w:val="bottom"/>
          </w:tcPr>
          <w:p>
            <w:pPr>
              <w:ind w:left="340"/>
              <w:spacing w:after="0" w:line="181" w:lineRule="exact"/>
              <w:rPr>
                <w:sz w:val="20"/>
                <w:szCs w:val="20"/>
                <w:color w:val="auto"/>
              </w:rPr>
            </w:pPr>
            <w:r>
              <w:rPr>
                <w:rFonts w:ascii="Arial" w:cs="Arial" w:eastAsia="Arial" w:hAnsi="Arial"/>
                <w:sz w:val="18"/>
                <w:szCs w:val="18"/>
                <w:color w:val="auto"/>
              </w:rPr>
              <w:t>(RIPK1) inhibitor, for the potential</w:t>
            </w:r>
          </w:p>
        </w:tc>
        <w:tc>
          <w:tcPr>
            <w:tcW w:w="142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3540" w:type="dxa"/>
            <w:vAlign w:val="bottom"/>
          </w:tcPr>
          <w:p>
            <w:pPr>
              <w:ind w:left="340"/>
              <w:spacing w:after="0" w:line="176" w:lineRule="exact"/>
              <w:rPr>
                <w:sz w:val="20"/>
                <w:szCs w:val="20"/>
                <w:color w:val="auto"/>
              </w:rPr>
            </w:pPr>
            <w:r>
              <w:rPr>
                <w:rFonts w:ascii="Arial" w:cs="Arial" w:eastAsia="Arial" w:hAnsi="Arial"/>
                <w:sz w:val="18"/>
                <w:szCs w:val="18"/>
                <w:color w:val="auto"/>
              </w:rPr>
              <w:t>treatment of autoimmune and</w:t>
            </w:r>
          </w:p>
        </w:tc>
        <w:tc>
          <w:tcPr>
            <w:tcW w:w="1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inflammatory diseases</w:t>
            </w:r>
          </w:p>
        </w:tc>
        <w:tc>
          <w:tcPr>
            <w:tcW w:w="1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Precision Biosciences, Inc.</w:t>
            </w:r>
          </w:p>
        </w:tc>
        <w:tc>
          <w:tcPr>
            <w:tcW w:w="3540" w:type="dxa"/>
            <w:vAlign w:val="bottom"/>
            <w:shd w:val="clear" w:color="auto" w:fill="D8D8D8"/>
          </w:tcPr>
          <w:p>
            <w:pPr>
              <w:ind w:left="340"/>
              <w:spacing w:after="0" w:line="171" w:lineRule="exact"/>
              <w:rPr>
                <w:sz w:val="20"/>
                <w:szCs w:val="20"/>
                <w:color w:val="auto"/>
              </w:rPr>
            </w:pPr>
            <w:r>
              <w:rPr>
                <w:rFonts w:ascii="Arial" w:cs="Arial" w:eastAsia="Arial" w:hAnsi="Arial"/>
                <w:sz w:val="18"/>
                <w:szCs w:val="18"/>
                <w:color w:val="auto"/>
              </w:rPr>
              <w:t>Potential in vivo therapies for genetic</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January 2021</w:t>
            </w:r>
          </w:p>
        </w:tc>
        <w:tc>
          <w:tcPr>
            <w:tcW w:w="1740" w:type="dxa"/>
            <w:vAlign w:val="bottom"/>
            <w:vMerge w:val="restart"/>
            <w:shd w:val="clear" w:color="auto" w:fill="D8D8D8"/>
          </w:tcPr>
          <w:p>
            <w:pPr>
              <w:jc w:val="center"/>
              <w:ind w:right="214"/>
              <w:spacing w:after="0"/>
              <w:rPr>
                <w:sz w:val="20"/>
                <w:szCs w:val="20"/>
                <w:color w:val="auto"/>
              </w:rPr>
            </w:pPr>
            <w:r>
              <w:rPr>
                <w:rFonts w:ascii="Arial" w:cs="Arial" w:eastAsia="Arial" w:hAnsi="Arial"/>
                <w:sz w:val="18"/>
                <w:szCs w:val="18"/>
                <w:color w:val="auto"/>
                <w:w w:val="99"/>
              </w:rPr>
              <w:t>Pre-clinical</w:t>
            </w: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153"/>
        </w:trPr>
        <w:tc>
          <w:tcPr>
            <w:tcW w:w="3060" w:type="dxa"/>
            <w:vAlign w:val="bottom"/>
            <w:vMerge w:val="continue"/>
            <w:shd w:val="clear" w:color="auto" w:fill="D8D8D8"/>
          </w:tcPr>
          <w:p>
            <w:pPr>
              <w:spacing w:after="0"/>
              <w:rPr>
                <w:sz w:val="13"/>
                <w:szCs w:val="13"/>
                <w:color w:val="auto"/>
              </w:rPr>
            </w:pPr>
          </w:p>
        </w:tc>
        <w:tc>
          <w:tcPr>
            <w:tcW w:w="3540" w:type="dxa"/>
            <w:vAlign w:val="bottom"/>
            <w:vMerge w:val="restart"/>
            <w:shd w:val="clear" w:color="auto" w:fill="D8D8D8"/>
          </w:tcPr>
          <w:p>
            <w:pPr>
              <w:ind w:left="340"/>
              <w:spacing w:after="0"/>
              <w:rPr>
                <w:sz w:val="20"/>
                <w:szCs w:val="20"/>
                <w:color w:val="auto"/>
              </w:rPr>
            </w:pPr>
            <w:r>
              <w:rPr>
                <w:rFonts w:ascii="Arial" w:cs="Arial" w:eastAsia="Arial" w:hAnsi="Arial"/>
                <w:sz w:val="18"/>
                <w:szCs w:val="18"/>
                <w:color w:val="auto"/>
              </w:rPr>
              <w:t>disorders</w:t>
            </w:r>
          </w:p>
        </w:tc>
        <w:tc>
          <w:tcPr>
            <w:tcW w:w="1420" w:type="dxa"/>
            <w:vAlign w:val="bottom"/>
            <w:vMerge w:val="continue"/>
            <w:shd w:val="clear" w:color="auto" w:fill="D8D8D8"/>
          </w:tcPr>
          <w:p>
            <w:pPr>
              <w:spacing w:after="0"/>
              <w:rPr>
                <w:sz w:val="13"/>
                <w:szCs w:val="13"/>
                <w:color w:val="auto"/>
              </w:rPr>
            </w:pPr>
          </w:p>
        </w:tc>
        <w:tc>
          <w:tcPr>
            <w:tcW w:w="1740" w:type="dxa"/>
            <w:vAlign w:val="bottom"/>
            <w:vMerge w:val="continue"/>
            <w:shd w:val="clear" w:color="auto" w:fill="D8D8D8"/>
          </w:tcPr>
          <w:p>
            <w:pPr>
              <w:spacing w:after="0"/>
              <w:rPr>
                <w:sz w:val="13"/>
                <w:szCs w:val="13"/>
                <w:color w:val="auto"/>
              </w:rPr>
            </w:pPr>
          </w:p>
        </w:tc>
        <w:tc>
          <w:tcPr>
            <w:tcW w:w="148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060" w:type="dxa"/>
            <w:vAlign w:val="bottom"/>
            <w:tcBorders>
              <w:bottom w:val="single" w:sz="8" w:color="auto"/>
            </w:tcBorders>
            <w:shd w:val="clear" w:color="auto" w:fill="D8D8D8"/>
          </w:tcPr>
          <w:p>
            <w:pPr>
              <w:spacing w:after="0"/>
              <w:rPr>
                <w:sz w:val="7"/>
                <w:szCs w:val="7"/>
                <w:color w:val="auto"/>
              </w:rPr>
            </w:pPr>
          </w:p>
        </w:tc>
        <w:tc>
          <w:tcPr>
            <w:tcW w:w="3540" w:type="dxa"/>
            <w:vAlign w:val="bottom"/>
            <w:tcBorders>
              <w:bottom w:val="single" w:sz="8" w:color="auto"/>
            </w:tcBorders>
            <w:vMerge w:val="continue"/>
            <w:shd w:val="clear" w:color="auto" w:fill="D8D8D8"/>
          </w:tcPr>
          <w:p>
            <w:pPr>
              <w:spacing w:after="0"/>
              <w:rPr>
                <w:sz w:val="7"/>
                <w:szCs w:val="7"/>
                <w:color w:val="auto"/>
              </w:rPr>
            </w:pPr>
          </w:p>
        </w:tc>
        <w:tc>
          <w:tcPr>
            <w:tcW w:w="1420" w:type="dxa"/>
            <w:vAlign w:val="bottom"/>
            <w:tcBorders>
              <w:bottom w:val="single" w:sz="8" w:color="auto"/>
            </w:tcBorders>
            <w:shd w:val="clear" w:color="auto" w:fill="D8D8D8"/>
          </w:tcPr>
          <w:p>
            <w:pPr>
              <w:spacing w:after="0"/>
              <w:rPr>
                <w:sz w:val="7"/>
                <w:szCs w:val="7"/>
                <w:color w:val="auto"/>
              </w:rPr>
            </w:pPr>
          </w:p>
        </w:tc>
        <w:tc>
          <w:tcPr>
            <w:tcW w:w="1740" w:type="dxa"/>
            <w:vAlign w:val="bottom"/>
            <w:tcBorders>
              <w:bottom w:val="single" w:sz="8" w:color="auto"/>
            </w:tcBorders>
            <w:shd w:val="clear" w:color="auto" w:fill="D8D8D8"/>
          </w:tcPr>
          <w:p>
            <w:pPr>
              <w:spacing w:after="0"/>
              <w:rPr>
                <w:sz w:val="7"/>
                <w:szCs w:val="7"/>
                <w:color w:val="auto"/>
              </w:rPr>
            </w:pPr>
          </w:p>
        </w:tc>
        <w:tc>
          <w:tcPr>
            <w:tcW w:w="1480" w:type="dxa"/>
            <w:vAlign w:val="bottom"/>
            <w:tcBorders>
              <w:bottom w:val="single" w:sz="8" w:color="auto"/>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06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D8D8D8"/>
          </w:tcPr>
          <w:p>
            <w:pPr>
              <w:spacing w:after="0"/>
              <w:rPr>
                <w:sz w:val="14"/>
                <w:szCs w:val="14"/>
                <w:color w:val="auto"/>
              </w:rPr>
            </w:pPr>
          </w:p>
        </w:tc>
        <w:tc>
          <w:tcPr>
            <w:tcW w:w="3540" w:type="dxa"/>
            <w:vAlign w:val="bottom"/>
            <w:shd w:val="clear" w:color="auto" w:fill="D8D8D8"/>
          </w:tcPr>
          <w:p>
            <w:pPr>
              <w:ind w:left="340"/>
              <w:spacing w:after="0" w:line="169" w:lineRule="exact"/>
              <w:rPr>
                <w:sz w:val="20"/>
                <w:szCs w:val="20"/>
                <w:color w:val="auto"/>
              </w:rPr>
            </w:pPr>
            <w:r>
              <w:rPr>
                <w:rFonts w:ascii="Arial" w:cs="Arial" w:eastAsia="Arial" w:hAnsi="Arial"/>
                <w:sz w:val="18"/>
                <w:szCs w:val="18"/>
                <w:color w:val="auto"/>
              </w:rPr>
              <w:t>Sintilimab injection, an anti-PD-1</w:t>
            </w:r>
          </w:p>
        </w:tc>
        <w:tc>
          <w:tcPr>
            <w:tcW w:w="1420" w:type="dxa"/>
            <w:vAlign w:val="bottom"/>
            <w:shd w:val="clear" w:color="auto" w:fill="D8D8D8"/>
          </w:tcPr>
          <w:p>
            <w:pPr>
              <w:spacing w:after="0"/>
              <w:rPr>
                <w:sz w:val="14"/>
                <w:szCs w:val="14"/>
                <w:color w:val="auto"/>
              </w:rPr>
            </w:pPr>
          </w:p>
        </w:tc>
        <w:tc>
          <w:tcPr>
            <w:tcW w:w="1740" w:type="dxa"/>
            <w:vAlign w:val="bottom"/>
            <w:shd w:val="clear" w:color="auto" w:fill="D8D8D8"/>
          </w:tcPr>
          <w:p>
            <w:pPr>
              <w:spacing w:after="0"/>
              <w:rPr>
                <w:sz w:val="14"/>
                <w:szCs w:val="14"/>
                <w:color w:val="auto"/>
              </w:rPr>
            </w:pPr>
          </w:p>
        </w:tc>
        <w:tc>
          <w:tcPr>
            <w:tcW w:w="14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Innovent Biologics, Inc. (Innovent)</w:t>
            </w:r>
          </w:p>
        </w:tc>
        <w:tc>
          <w:tcPr>
            <w:tcW w:w="3540" w:type="dxa"/>
            <w:vAlign w:val="bottom"/>
            <w:shd w:val="clear" w:color="auto" w:fill="D8D8D8"/>
          </w:tcPr>
          <w:p>
            <w:pPr>
              <w:ind w:left="340"/>
              <w:spacing w:after="0" w:line="183" w:lineRule="exact"/>
              <w:rPr>
                <w:sz w:val="20"/>
                <w:szCs w:val="20"/>
                <w:color w:val="auto"/>
              </w:rPr>
            </w:pPr>
            <w:r>
              <w:rPr>
                <w:rFonts w:ascii="Arial" w:cs="Arial" w:eastAsia="Arial" w:hAnsi="Arial"/>
                <w:sz w:val="18"/>
                <w:szCs w:val="18"/>
                <w:color w:val="auto"/>
              </w:rPr>
              <w:t>monoclonal antibody immuno-oncology</w:t>
            </w:r>
          </w:p>
        </w:tc>
        <w:tc>
          <w:tcPr>
            <w:tcW w:w="14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October 2020</w:t>
            </w:r>
          </w:p>
        </w:tc>
        <w:tc>
          <w:tcPr>
            <w:tcW w:w="1740" w:type="dxa"/>
            <w:vAlign w:val="bottom"/>
            <w:vMerge w:val="restart"/>
            <w:shd w:val="clear" w:color="auto" w:fill="D8D8D8"/>
          </w:tcPr>
          <w:p>
            <w:pPr>
              <w:jc w:val="center"/>
              <w:ind w:right="214"/>
              <w:spacing w:after="0"/>
              <w:rPr>
                <w:sz w:val="20"/>
                <w:szCs w:val="20"/>
                <w:color w:val="auto"/>
              </w:rPr>
            </w:pPr>
            <w:r>
              <w:rPr>
                <w:rFonts w:ascii="Arial" w:cs="Arial" w:eastAsia="Arial" w:hAnsi="Arial"/>
                <w:sz w:val="18"/>
                <w:szCs w:val="18"/>
                <w:color w:val="auto"/>
              </w:rPr>
              <w:t>Phase III</w:t>
            </w: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44"/>
        </w:trPr>
        <w:tc>
          <w:tcPr>
            <w:tcW w:w="3060" w:type="dxa"/>
            <w:vAlign w:val="bottom"/>
            <w:vMerge w:val="continue"/>
            <w:shd w:val="clear" w:color="auto" w:fill="D8D8D8"/>
          </w:tcPr>
          <w:p>
            <w:pPr>
              <w:spacing w:after="0"/>
              <w:rPr>
                <w:sz w:val="12"/>
                <w:szCs w:val="12"/>
                <w:color w:val="auto"/>
              </w:rPr>
            </w:pPr>
          </w:p>
        </w:tc>
        <w:tc>
          <w:tcPr>
            <w:tcW w:w="3540" w:type="dxa"/>
            <w:vAlign w:val="bottom"/>
            <w:vMerge w:val="restart"/>
            <w:shd w:val="clear" w:color="auto" w:fill="D8D8D8"/>
          </w:tcPr>
          <w:p>
            <w:pPr>
              <w:ind w:left="340"/>
              <w:spacing w:after="0" w:line="181" w:lineRule="exact"/>
              <w:rPr>
                <w:sz w:val="20"/>
                <w:szCs w:val="20"/>
                <w:color w:val="auto"/>
              </w:rPr>
            </w:pPr>
            <w:r>
              <w:rPr>
                <w:rFonts w:ascii="Arial" w:cs="Arial" w:eastAsia="Arial" w:hAnsi="Arial"/>
                <w:sz w:val="18"/>
                <w:szCs w:val="18"/>
                <w:color w:val="auto"/>
              </w:rPr>
              <w:t>medicine, for geographies outside of</w:t>
            </w:r>
          </w:p>
        </w:tc>
        <w:tc>
          <w:tcPr>
            <w:tcW w:w="1420" w:type="dxa"/>
            <w:vAlign w:val="bottom"/>
            <w:vMerge w:val="continue"/>
            <w:shd w:val="clear" w:color="auto" w:fill="D8D8D8"/>
          </w:tcPr>
          <w:p>
            <w:pPr>
              <w:spacing w:after="0"/>
              <w:rPr>
                <w:sz w:val="12"/>
                <w:szCs w:val="12"/>
                <w:color w:val="auto"/>
              </w:rPr>
            </w:pPr>
          </w:p>
        </w:tc>
        <w:tc>
          <w:tcPr>
            <w:tcW w:w="1740" w:type="dxa"/>
            <w:vAlign w:val="bottom"/>
            <w:vMerge w:val="continue"/>
            <w:shd w:val="clear" w:color="auto" w:fill="D8D8D8"/>
          </w:tcPr>
          <w:p>
            <w:pPr>
              <w:spacing w:after="0"/>
              <w:rPr>
                <w:sz w:val="12"/>
                <w:szCs w:val="12"/>
                <w:color w:val="auto"/>
              </w:rPr>
            </w:pPr>
          </w:p>
        </w:tc>
        <w:tc>
          <w:tcPr>
            <w:tcW w:w="148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060" w:type="dxa"/>
            <w:vAlign w:val="bottom"/>
            <w:shd w:val="clear" w:color="auto" w:fill="D8D8D8"/>
          </w:tcPr>
          <w:p>
            <w:pPr>
              <w:spacing w:after="0"/>
              <w:rPr>
                <w:sz w:val="3"/>
                <w:szCs w:val="3"/>
                <w:color w:val="auto"/>
              </w:rPr>
            </w:pPr>
          </w:p>
        </w:tc>
        <w:tc>
          <w:tcPr>
            <w:tcW w:w="3540" w:type="dxa"/>
            <w:vAlign w:val="bottom"/>
            <w:vMerge w:val="continue"/>
            <w:shd w:val="clear" w:color="auto" w:fill="D8D8D8"/>
          </w:tcPr>
          <w:p>
            <w:pPr>
              <w:spacing w:after="0"/>
              <w:rPr>
                <w:sz w:val="3"/>
                <w:szCs w:val="3"/>
                <w:color w:val="auto"/>
              </w:rPr>
            </w:pPr>
          </w:p>
        </w:tc>
        <w:tc>
          <w:tcPr>
            <w:tcW w:w="1420" w:type="dxa"/>
            <w:vAlign w:val="bottom"/>
            <w:shd w:val="clear" w:color="auto" w:fill="D8D8D8"/>
          </w:tcPr>
          <w:p>
            <w:pPr>
              <w:spacing w:after="0"/>
              <w:rPr>
                <w:sz w:val="3"/>
                <w:szCs w:val="3"/>
                <w:color w:val="auto"/>
              </w:rPr>
            </w:pPr>
          </w:p>
        </w:tc>
        <w:tc>
          <w:tcPr>
            <w:tcW w:w="1740" w:type="dxa"/>
            <w:vAlign w:val="bottom"/>
            <w:shd w:val="clear" w:color="auto" w:fill="D8D8D8"/>
          </w:tcPr>
          <w:p>
            <w:pPr>
              <w:spacing w:after="0"/>
              <w:rPr>
                <w:sz w:val="3"/>
                <w:szCs w:val="3"/>
                <w:color w:val="auto"/>
              </w:rPr>
            </w:pPr>
          </w:p>
        </w:tc>
        <w:tc>
          <w:tcPr>
            <w:tcW w:w="148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tcBorders>
              <w:bottom w:val="single" w:sz="8" w:color="auto"/>
            </w:tcBorders>
            <w:shd w:val="clear" w:color="auto" w:fill="D8D8D8"/>
          </w:tcPr>
          <w:p>
            <w:pPr>
              <w:spacing w:after="0"/>
              <w:rPr>
                <w:sz w:val="19"/>
                <w:szCs w:val="19"/>
                <w:color w:val="auto"/>
              </w:rPr>
            </w:pPr>
          </w:p>
        </w:tc>
        <w:tc>
          <w:tcPr>
            <w:tcW w:w="3540" w:type="dxa"/>
            <w:vAlign w:val="bottom"/>
            <w:tcBorders>
              <w:bottom w:val="single" w:sz="8" w:color="auto"/>
            </w:tcBorders>
            <w:shd w:val="clear" w:color="auto" w:fill="D8D8D8"/>
          </w:tcPr>
          <w:p>
            <w:pPr>
              <w:ind w:left="340"/>
              <w:spacing w:after="0" w:line="230" w:lineRule="exact"/>
              <w:rPr>
                <w:sz w:val="20"/>
                <w:szCs w:val="20"/>
                <w:color w:val="auto"/>
              </w:rPr>
            </w:pPr>
            <w:r>
              <w:rPr>
                <w:rFonts w:ascii="Arial" w:cs="Arial" w:eastAsia="Arial" w:hAnsi="Arial"/>
                <w:sz w:val="18"/>
                <w:szCs w:val="18"/>
                <w:color w:val="auto"/>
              </w:rPr>
              <w:t>China</w:t>
            </w:r>
            <w:r>
              <w:rPr>
                <w:rFonts w:ascii="Arial" w:cs="Arial" w:eastAsia="Arial" w:hAnsi="Arial"/>
                <w:sz w:val="23"/>
                <w:szCs w:val="23"/>
                <w:color w:val="auto"/>
                <w:vertAlign w:val="superscript"/>
              </w:rPr>
              <w:t>(2)</w:t>
            </w:r>
          </w:p>
        </w:tc>
        <w:tc>
          <w:tcPr>
            <w:tcW w:w="1420" w:type="dxa"/>
            <w:vAlign w:val="bottom"/>
            <w:tcBorders>
              <w:bottom w:val="single" w:sz="8" w:color="auto"/>
            </w:tcBorders>
            <w:shd w:val="clear" w:color="auto" w:fill="D8D8D8"/>
          </w:tcPr>
          <w:p>
            <w:pPr>
              <w:spacing w:after="0"/>
              <w:rPr>
                <w:sz w:val="19"/>
                <w:szCs w:val="19"/>
                <w:color w:val="auto"/>
              </w:rPr>
            </w:pPr>
          </w:p>
        </w:tc>
        <w:tc>
          <w:tcPr>
            <w:tcW w:w="1740" w:type="dxa"/>
            <w:vAlign w:val="bottom"/>
            <w:tcBorders>
              <w:bottom w:val="single" w:sz="8" w:color="auto"/>
            </w:tcBorders>
            <w:shd w:val="clear" w:color="auto" w:fill="D8D8D8"/>
          </w:tcPr>
          <w:p>
            <w:pPr>
              <w:spacing w:after="0"/>
              <w:rPr>
                <w:sz w:val="19"/>
                <w:szCs w:val="19"/>
                <w:color w:val="auto"/>
              </w:rPr>
            </w:pPr>
          </w:p>
        </w:tc>
        <w:tc>
          <w:tcPr>
            <w:tcW w:w="1480" w:type="dxa"/>
            <w:vAlign w:val="bottom"/>
            <w:tcBorders>
              <w:bottom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Petra Pharma Corporation (Petra)</w:t>
            </w:r>
          </w:p>
        </w:tc>
        <w:tc>
          <w:tcPr>
            <w:tcW w:w="3540" w:type="dxa"/>
            <w:vAlign w:val="bottom"/>
          </w:tcPr>
          <w:p>
            <w:pPr>
              <w:ind w:left="340"/>
              <w:spacing w:after="0" w:line="204" w:lineRule="exact"/>
              <w:rPr>
                <w:sz w:val="20"/>
                <w:szCs w:val="20"/>
                <w:color w:val="auto"/>
              </w:rPr>
            </w:pPr>
            <w:r>
              <w:rPr>
                <w:rFonts w:ascii="Arial" w:cs="Arial" w:eastAsia="Arial" w:hAnsi="Arial"/>
                <w:sz w:val="18"/>
                <w:szCs w:val="18"/>
                <w:color w:val="auto"/>
              </w:rPr>
              <w:t>Mutant-selective PI3K</w:t>
            </w:r>
            <w:r>
              <w:rPr>
                <w:rFonts w:ascii="Calibri" w:cs="Calibri" w:eastAsia="Calibri" w:hAnsi="Calibri"/>
                <w:sz w:val="19"/>
                <w:szCs w:val="19"/>
                <w:color w:val="auto"/>
              </w:rPr>
              <w:t>α</w:t>
            </w:r>
            <w:r>
              <w:rPr>
                <w:rFonts w:ascii="Arial" w:cs="Arial" w:eastAsia="Arial" w:hAnsi="Arial"/>
                <w:sz w:val="18"/>
                <w:szCs w:val="18"/>
                <w:color w:val="auto"/>
              </w:rPr>
              <w:t xml:space="preserve"> inhibitor that</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8"/>
              </w:rPr>
              <w:t>May 2020</w:t>
            </w:r>
          </w:p>
        </w:tc>
        <w:tc>
          <w:tcPr>
            <w:tcW w:w="1740" w:type="dxa"/>
            <w:vAlign w:val="bottom"/>
            <w:vMerge w:val="restart"/>
          </w:tcPr>
          <w:p>
            <w:pPr>
              <w:jc w:val="center"/>
              <w:ind w:right="214"/>
              <w:spacing w:after="0"/>
              <w:rPr>
                <w:sz w:val="20"/>
                <w:szCs w:val="20"/>
                <w:color w:val="auto"/>
              </w:rPr>
            </w:pPr>
            <w:r>
              <w:rPr>
                <w:rFonts w:ascii="Arial" w:cs="Arial" w:eastAsia="Arial" w:hAnsi="Arial"/>
                <w:sz w:val="18"/>
                <w:szCs w:val="18"/>
                <w:color w:val="auto"/>
                <w:w w:val="99"/>
              </w:rPr>
              <w:t>Pre-clinical</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131"/>
        </w:trPr>
        <w:tc>
          <w:tcPr>
            <w:tcW w:w="3060" w:type="dxa"/>
            <w:vAlign w:val="bottom"/>
            <w:vMerge w:val="continue"/>
          </w:tcPr>
          <w:p>
            <w:pPr>
              <w:spacing w:after="0"/>
              <w:rPr>
                <w:sz w:val="11"/>
                <w:szCs w:val="11"/>
                <w:color w:val="auto"/>
              </w:rPr>
            </w:pPr>
          </w:p>
        </w:tc>
        <w:tc>
          <w:tcPr>
            <w:tcW w:w="3540" w:type="dxa"/>
            <w:vAlign w:val="bottom"/>
            <w:vMerge w:val="restart"/>
          </w:tcPr>
          <w:p>
            <w:pPr>
              <w:ind w:left="340"/>
              <w:spacing w:after="0"/>
              <w:rPr>
                <w:sz w:val="20"/>
                <w:szCs w:val="20"/>
                <w:color w:val="auto"/>
              </w:rPr>
            </w:pPr>
            <w:r>
              <w:rPr>
                <w:rFonts w:ascii="Arial" w:cs="Arial" w:eastAsia="Arial" w:hAnsi="Arial"/>
                <w:sz w:val="18"/>
                <w:szCs w:val="18"/>
                <w:color w:val="auto"/>
              </w:rPr>
              <w:t>could lead to potential new medicine</w:t>
            </w:r>
          </w:p>
        </w:tc>
        <w:tc>
          <w:tcPr>
            <w:tcW w:w="1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06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Disarm Therapeutics, Inc.</w:t>
            </w:r>
          </w:p>
        </w:tc>
        <w:tc>
          <w:tcPr>
            <w:tcW w:w="3540" w:type="dxa"/>
            <w:vAlign w:val="bottom"/>
          </w:tcPr>
          <w:p>
            <w:pPr>
              <w:ind w:left="340"/>
              <w:spacing w:after="0" w:line="169" w:lineRule="exact"/>
              <w:rPr>
                <w:sz w:val="20"/>
                <w:szCs w:val="20"/>
                <w:color w:val="auto"/>
              </w:rPr>
            </w:pPr>
            <w:r>
              <w:rPr>
                <w:rFonts w:ascii="Arial" w:cs="Arial" w:eastAsia="Arial" w:hAnsi="Arial"/>
                <w:sz w:val="18"/>
                <w:szCs w:val="18"/>
                <w:color w:val="auto"/>
              </w:rPr>
              <w:t>Disease-modifying therapeutics</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October 2020</w:t>
            </w:r>
          </w:p>
        </w:tc>
        <w:tc>
          <w:tcPr>
            <w:tcW w:w="1740" w:type="dxa"/>
            <w:vAlign w:val="bottom"/>
            <w:vMerge w:val="restart"/>
          </w:tcPr>
          <w:p>
            <w:pPr>
              <w:jc w:val="center"/>
              <w:ind w:right="214"/>
              <w:spacing w:after="0"/>
              <w:rPr>
                <w:sz w:val="20"/>
                <w:szCs w:val="20"/>
                <w:color w:val="auto"/>
              </w:rPr>
            </w:pPr>
            <w:r>
              <w:rPr>
                <w:rFonts w:ascii="Arial" w:cs="Arial" w:eastAsia="Arial" w:hAnsi="Arial"/>
                <w:sz w:val="18"/>
                <w:szCs w:val="18"/>
                <w:color w:val="auto"/>
                <w:w w:val="99"/>
              </w:rPr>
              <w:t>Pre-clinical</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02"/>
        </w:trPr>
        <w:tc>
          <w:tcPr>
            <w:tcW w:w="3060" w:type="dxa"/>
            <w:vAlign w:val="bottom"/>
            <w:vMerge w:val="continue"/>
          </w:tcPr>
          <w:p>
            <w:pPr>
              <w:spacing w:after="0"/>
              <w:rPr>
                <w:sz w:val="17"/>
                <w:szCs w:val="17"/>
                <w:color w:val="auto"/>
              </w:rPr>
            </w:pPr>
          </w:p>
        </w:tc>
        <w:tc>
          <w:tcPr>
            <w:tcW w:w="3540" w:type="dxa"/>
            <w:vAlign w:val="bottom"/>
          </w:tcPr>
          <w:p>
            <w:pPr>
              <w:ind w:left="340"/>
              <w:spacing w:after="0" w:line="201" w:lineRule="exact"/>
              <w:rPr>
                <w:sz w:val="20"/>
                <w:szCs w:val="20"/>
                <w:color w:val="auto"/>
              </w:rPr>
            </w:pPr>
            <w:r>
              <w:rPr>
                <w:rFonts w:ascii="Arial" w:cs="Arial" w:eastAsia="Arial" w:hAnsi="Arial"/>
                <w:sz w:val="18"/>
                <w:szCs w:val="18"/>
                <w:color w:val="auto"/>
              </w:rPr>
              <w:t>program for patients with axonal</w:t>
            </w:r>
          </w:p>
        </w:tc>
        <w:tc>
          <w:tcPr>
            <w:tcW w:w="142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386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ind w:left="3400"/>
        <w:spacing w:after="0"/>
        <w:rPr>
          <w:sz w:val="20"/>
          <w:szCs w:val="20"/>
          <w:color w:val="auto"/>
        </w:rPr>
      </w:pPr>
      <w:r>
        <w:rPr>
          <w:rFonts w:ascii="Arial" w:cs="Arial" w:eastAsia="Arial" w:hAnsi="Arial"/>
          <w:sz w:val="18"/>
          <w:szCs w:val="18"/>
          <w:color w:val="auto"/>
        </w:rPr>
        <w:t>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7"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ind w:left="160" w:hanging="152"/>
        <w:spacing w:after="0"/>
        <w:tabs>
          <w:tab w:leader="none" w:pos="160" w:val="left"/>
        </w:tabs>
        <w:numPr>
          <w:ilvl w:val="0"/>
          <w:numId w:val="49"/>
        </w:numPr>
        <w:rPr>
          <w:rFonts w:ascii="Arial" w:cs="Arial" w:eastAsia="Arial" w:hAnsi="Arial"/>
          <w:sz w:val="9"/>
          <w:szCs w:val="9"/>
          <w:color w:val="auto"/>
        </w:rPr>
      </w:pPr>
      <w:r>
        <w:rPr>
          <w:rFonts w:ascii="Arial" w:cs="Arial" w:eastAsia="Arial" w:hAnsi="Arial"/>
          <w:sz w:val="14"/>
          <w:szCs w:val="14"/>
          <w:color w:val="auto"/>
        </w:rPr>
        <w:t>In 2022, we terminated our license for sintilimab injection for geographies outside of China and reverted rights to Innovent.</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our acquisition of Petra, we were required to make milestone payments to Petra shareholders contingent upon the occurrence of certain future events linked to the success of the mutant-selective PI3Kα inhibitor. In 2022, we entered into agreements with substantially all Petra shareholders to acquire their rights to receive any future milestone payments in exchange for a one-time payment. As a result of these agreements, we recognized a charge of $333.8 million as a development milestone in 2022. Any remaining contingent milestones payments linked to the success of the mutant-selective PI3Kα are not expected to be material. We did not recognize other significant development milestones during the years ended December 31, 2022, 2021, and 2020.</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17" w:lineRule="exact"/>
        <w:rPr>
          <w:sz w:val="20"/>
          <w:szCs w:val="20"/>
          <w:color w:val="auto"/>
        </w:rPr>
      </w:pPr>
    </w:p>
    <w:p>
      <w:pPr>
        <w:jc w:val="both"/>
        <w:ind w:right="300"/>
        <w:spacing w:after="0" w:line="235"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basal insulin, Basaglar. Glyxambi, Synjardy, and Trijardy XR are included in the Jardiance product family.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Jentadueto is included in the Trajenta product family.</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The milestones pertaining to Jardiance and Trajenta are being amortized through their respective term under the collaboration, which, depending on country or region, is determined based on the latest to occur of (a) a defined number of years following launch date, (b) the expiration of the compound patent, or</w:t>
      </w:r>
    </w:p>
    <w:p>
      <w:pPr>
        <w:spacing w:after="0" w:line="3" w:lineRule="exact"/>
        <w:rPr>
          <w:sz w:val="20"/>
          <w:szCs w:val="20"/>
          <w:color w:val="auto"/>
        </w:rPr>
      </w:pPr>
    </w:p>
    <w:p>
      <w:pPr>
        <w:ind w:right="200" w:firstLine="8"/>
        <w:spacing w:after="0" w:line="258" w:lineRule="auto"/>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expiration of marketing authorization exclusivity. The milestones pertaining to Basaglar are being amortized through 2029. The table below summarizes the net milestones capitalized with respect to the Jardiance and Trajenta families of products and the net milestones deferred with respect to Basaglar as of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Net Milestones Capitalized (Deferred)</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r>
      <w:tr>
        <w:trPr>
          <w:trHeight w:val="195"/>
        </w:trPr>
        <w:tc>
          <w:tcPr>
            <w:tcW w:w="7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224"/>
        </w:trPr>
        <w:tc>
          <w:tcPr>
            <w:tcW w:w="7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Jardiance</w:t>
            </w:r>
          </w:p>
        </w:tc>
        <w:tc>
          <w:tcPr>
            <w:tcW w:w="1380" w:type="dxa"/>
            <w:vAlign w:val="bottom"/>
            <w:shd w:val="clear" w:color="auto" w:fill="DDDDDD"/>
          </w:tcPr>
          <w:p>
            <w:pPr>
              <w:jc w:val="right"/>
              <w:ind w:right="1182"/>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116.2</w:t>
            </w:r>
          </w:p>
        </w:tc>
        <w:tc>
          <w:tcPr>
            <w:tcW w:w="1420" w:type="dxa"/>
            <w:vAlign w:val="bottom"/>
            <w:shd w:val="clear" w:color="auto" w:fill="DDDDDD"/>
          </w:tcPr>
          <w:p>
            <w:pPr>
              <w:jc w:val="right"/>
              <w:ind w:right="121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Trajenta</w:t>
            </w:r>
          </w:p>
        </w:tc>
        <w:tc>
          <w:tcPr>
            <w:tcW w:w="1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63.5</w:t>
            </w: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29"/>
        </w:trPr>
        <w:tc>
          <w:tcPr>
            <w:tcW w:w="7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Basaglar</w:t>
            </w:r>
          </w:p>
        </w:tc>
        <w:tc>
          <w:tcPr>
            <w:tcW w:w="1380" w:type="dxa"/>
            <w:vAlign w:val="bottom"/>
            <w:shd w:val="clear" w:color="auto" w:fill="DDDDDD"/>
          </w:tcPr>
          <w:p>
            <w:pPr>
              <w:spacing w:after="0"/>
              <w:rPr>
                <w:sz w:val="19"/>
                <w:szCs w:val="19"/>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(130.6)</w:t>
            </w:r>
          </w:p>
        </w:tc>
        <w:tc>
          <w:tcPr>
            <w:tcW w:w="14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(149.3)</w:t>
            </w:r>
          </w:p>
        </w:tc>
      </w:tr>
    </w:tbl>
    <w:p>
      <w:pPr>
        <w:spacing w:after="0" w:line="85"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16"/>
          <w:szCs w:val="16"/>
          <w:color w:val="auto"/>
          <w:vertAlign w:val="superscript"/>
        </w:rPr>
      </w:pPr>
      <w:r>
        <w:rPr>
          <w:rFonts w:ascii="Arial" w:cs="Arial" w:eastAsia="Arial" w:hAnsi="Arial"/>
          <w:sz w:val="12"/>
          <w:szCs w:val="12"/>
          <w:color w:val="auto"/>
        </w:rPr>
        <w:t>This represents the amounts that have been capitalized (deferred) from the start of this collaboration through the end of the reporting period, net of amount amortized.</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Jardiance product family, we and Boehringer Ingelheim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Basaglar in the U.S. We record our sales of Basaglar to third parties as net product revenue with the royalty payments made to Boehringer Ingelheim recorded as cost of sales.</w:t>
      </w:r>
    </w:p>
    <w:p>
      <w:pPr>
        <w:spacing w:after="0" w:line="7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following table summarizes our collaboration and other revenue recognized with respect to the Jardiance and Trajenta families of products and net product revenue recognized with respect to Basaglar: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3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Jardiance</w:t>
            </w:r>
          </w:p>
        </w:tc>
        <w:tc>
          <w:tcPr>
            <w:tcW w:w="3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2,066.0</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1,490.8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1,153.8</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Basaglar</w:t>
            </w:r>
          </w:p>
        </w:tc>
        <w:tc>
          <w:tcPr>
            <w:tcW w:w="3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760.4</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892.5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1,124.4</w:t>
            </w:r>
          </w:p>
        </w:tc>
      </w:tr>
      <w:tr>
        <w:trPr>
          <w:trHeight w:val="230"/>
        </w:trPr>
        <w:tc>
          <w:tcPr>
            <w:tcW w:w="3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Trajenta</w:t>
            </w:r>
          </w:p>
        </w:tc>
        <w:tc>
          <w:tcPr>
            <w:tcW w:w="3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383.7</w:t>
            </w:r>
          </w:p>
        </w:tc>
        <w:tc>
          <w:tcPr>
            <w:tcW w:w="4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372.5</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358.5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100"/>
        <w:spacing w:after="0" w:line="262" w:lineRule="auto"/>
        <w:rPr>
          <w:sz w:val="20"/>
          <w:szCs w:val="20"/>
          <w:color w:val="auto"/>
        </w:rPr>
      </w:pPr>
      <w:r>
        <w:rPr>
          <w:rFonts w:ascii="Arial" w:cs="Arial" w:eastAsia="Arial" w:hAnsi="Arial"/>
          <w:sz w:val="18"/>
          <w:szCs w:val="18"/>
          <w:color w:val="auto"/>
        </w:rPr>
        <w:t>In connection with the regulatory approvals of Olumiant in the U.S., Europe, and Japan, as well as achievement of a sales-based milestone, milestone payments of $330.0 million and $260.0 million were capitalized as intangible assets as of December 31, 2022 and 2021, respectively, and are being amortized to cost of sales through the term of the collaboration. This represents the cumulative amounts that have been capitalized from the start of this collaboration through the end of each reporting period.</w:t>
      </w:r>
    </w:p>
    <w:p>
      <w:pPr>
        <w:spacing w:after="0" w:line="6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As of December 31, 2022, Incyte is eligible to receive up to $100.0 million of additional payments from us in potential sales-based milestones.</w:t>
      </w:r>
    </w:p>
    <w:p>
      <w:pPr>
        <w:spacing w:after="0" w:line="4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 with respect to Olumiant:</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76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24"/>
        </w:trPr>
        <w:tc>
          <w:tcPr>
            <w:tcW w:w="3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Olumiant</w:t>
            </w:r>
          </w:p>
        </w:tc>
        <w:tc>
          <w:tcPr>
            <w:tcW w:w="388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830.5</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1,115.1</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638.9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Antibodies</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has the right to receive tiered royalty payments on worldwide net sales of bamlanivimab and bebtelovimab with percentages ranging in the mid-teens to mid-twenties. Royalty payments made to AbCellera are recorded as cost of sales.</w:t>
      </w:r>
    </w:p>
    <w:p>
      <w:pPr>
        <w:spacing w:after="0" w:line="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a license and collaboration agreement with Shanghai Junshi Biosciences Co., Ltd. (Junshi Biosciences) to co-develop therapeutic antibodies for the potential prevention and treatment of COVID-19, including etesevimab, for which we hold development and commercialization rights outside of mainland China and the Special Administrative Regions of Hong Kong and Macau. Junshi Biosciences received royalty payments in the mid-teens on our net sales of etesevimab.</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Pursuant to EUAs or similar regulatory authorizations, we recognized $ 2.02 billion, $2.24 billion, and $871.2 million of net product revenue associated with our sales of our COVID-19 antibodies during the years ended December 31, 2022, 2021, and 2020,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Tyvyt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collaboration agreement with Innovent to jointly develop and commercialize sintilimab injection in China, where it is branded and trademarked as Tyvyt. 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 in China with respect to Tyvyt:</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24"/>
        </w:trPr>
        <w:tc>
          <w:tcPr>
            <w:tcW w:w="6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Tyvyt</w:t>
            </w:r>
          </w:p>
        </w:tc>
        <w:tc>
          <w:tcPr>
            <w:tcW w:w="860" w:type="dxa"/>
            <w:vAlign w:val="bottom"/>
            <w:shd w:val="clear" w:color="auto" w:fill="D4D4D4"/>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4D4D4"/>
          </w:tcPr>
          <w:p>
            <w:pPr>
              <w:jc w:val="right"/>
              <w:ind w:right="10"/>
              <w:spacing w:after="0"/>
              <w:rPr>
                <w:sz w:val="20"/>
                <w:szCs w:val="20"/>
                <w:color w:val="auto"/>
              </w:rPr>
            </w:pPr>
            <w:r>
              <w:rPr>
                <w:rFonts w:ascii="Arial" w:cs="Arial" w:eastAsia="Arial" w:hAnsi="Arial"/>
                <w:sz w:val="18"/>
                <w:szCs w:val="18"/>
                <w:b w:val="1"/>
                <w:bCs w:val="1"/>
                <w:color w:val="auto"/>
                <w:w w:val="97"/>
              </w:rPr>
              <w:t>293.3</w:t>
            </w:r>
          </w:p>
        </w:tc>
        <w:tc>
          <w:tcPr>
            <w:tcW w:w="960" w:type="dxa"/>
            <w:vAlign w:val="bottom"/>
            <w:shd w:val="clear" w:color="auto" w:fill="D4D4D4"/>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4D4D4"/>
          </w:tcPr>
          <w:p>
            <w:pPr>
              <w:jc w:val="right"/>
              <w:ind w:right="10"/>
              <w:spacing w:after="0"/>
              <w:rPr>
                <w:sz w:val="20"/>
                <w:szCs w:val="20"/>
                <w:color w:val="auto"/>
              </w:rPr>
            </w:pPr>
            <w:r>
              <w:rPr>
                <w:rFonts w:ascii="Arial" w:cs="Arial" w:eastAsia="Arial" w:hAnsi="Arial"/>
                <w:sz w:val="18"/>
                <w:szCs w:val="18"/>
                <w:color w:val="auto"/>
                <w:w w:val="97"/>
              </w:rPr>
              <w:t>418.1</w:t>
            </w:r>
          </w:p>
        </w:tc>
        <w:tc>
          <w:tcPr>
            <w:tcW w:w="420" w:type="dxa"/>
            <w:vAlign w:val="bottom"/>
            <w:shd w:val="clear" w:color="auto" w:fill="D4D4D4"/>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308.7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Lebrikizumab</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 worldwide license agreement with F. Hoffmann-La Roche Ltd and Genentech, Inc. (collectively, Roche), which provides us the worldwide development and commercialization rights to lebrikizumab. Roche has the right to receive tiered royalty payments on future worldwide net sales ranging in percentages from high single digits to high teens if the product is successfully commercialized. As of December 31, 2022, Roche is eligible to receive up to $165.0 million of additional payments from us contingent upon the achievement of success-based regulatory milestones and up to $1.03 billion in a series of sales-based milestones, contingent upon the commercial success of lebrikizumab. During the year ended December 31, 2022, milestone payments to Roche were not material.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ind w:right="40"/>
        <w:spacing w:after="0" w:line="255"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December 31, 2022, we are eligible to receive additional payments of $65.0 million from Almirall contingent upon the achievement of success-based regulatory milestones and up to $1.25 billion in a series of sales-based milestones, contingent upon the commercial success of lebrikizumab. There were no remaining contract liabilities as of December 31, 2022. As of December 31, 2021 and 2020, contract liabilities were not material. During the years ended December 31, 2022, 2021, and 2020, collaboration and other revenue recognized was not material.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Asset impairment (gain) and other special charges</w:t>
            </w:r>
          </w:p>
        </w:tc>
        <w:tc>
          <w:tcPr>
            <w:tcW w:w="860" w:type="dxa"/>
            <w:vAlign w:val="bottom"/>
            <w:shd w:val="clear" w:color="auto" w:fill="D8D8D8"/>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221.6</w:t>
            </w:r>
          </w:p>
        </w:tc>
        <w:tc>
          <w:tcPr>
            <w:tcW w:w="960" w:type="dxa"/>
            <w:vAlign w:val="bottom"/>
            <w:shd w:val="clear" w:color="auto" w:fill="D8D8D8"/>
          </w:tcPr>
          <w:p>
            <w:pPr>
              <w:jc w:val="right"/>
              <w:ind w:right="676"/>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303.1</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68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Severance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23.0</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r>
      <w:tr>
        <w:trPr>
          <w:trHeight w:val="230"/>
        </w:trPr>
        <w:tc>
          <w:tcPr>
            <w:tcW w:w="6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860" w:type="dxa"/>
            <w:vAlign w:val="bottom"/>
            <w:tcBorders>
              <w:bottom w:val="single" w:sz="8" w:color="auto"/>
            </w:tcBorders>
            <w:shd w:val="clear" w:color="auto" w:fill="D8D8D8"/>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244.6</w:t>
            </w:r>
          </w:p>
        </w:tc>
        <w:tc>
          <w:tcPr>
            <w:tcW w:w="960" w:type="dxa"/>
            <w:vAlign w:val="bottom"/>
            <w:tcBorders>
              <w:bottom w:val="single" w:sz="8" w:color="auto"/>
            </w:tcBorders>
            <w:shd w:val="clear" w:color="auto" w:fill="D8D8D8"/>
          </w:tcPr>
          <w:p>
            <w:pPr>
              <w:jc w:val="right"/>
              <w:ind w:right="6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97"/>
              </w:rPr>
              <w:t>316.1</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131.2</w:t>
            </w:r>
          </w:p>
        </w:tc>
      </w:tr>
    </w:tbl>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 impairment, restructuring, and other special charges recognized during the year ended December 31, 2022 were primarily related to an intangible asset impairment for GBA1 Gene Therapy (PR001), acquired in the Prevail acquisition, as a result of changes in key assumptions used in the valuation due to delays in estimated launch timing.</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During the year ended December 31, 2021, we recognized $128.0 million of intangible asset impairment as a result of the decision by Bayer AG to discontinue the development of a Phase I molecule related to a contract-based intangible asset from our acquisition of Loxo Oncology, Inc. Additionally, we recognized $108.1 million of intangible asset impairment from the sale of the rights to Qbrexza, as well as acquisition and integration costs associated with the acquisition of Prevail.</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Severance costs recognized during the year ended December 31, 2020 were incurred as a result of actions taken worldwide to reduce our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4"/>
        </w:trPr>
        <w:tc>
          <w:tcPr>
            <w:tcW w:w="83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901.2</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761.9</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2,597.7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2,372.7</w:t>
            </w:r>
          </w:p>
        </w:tc>
      </w:tr>
      <w:tr>
        <w:trPr>
          <w:trHeight w:val="230"/>
        </w:trPr>
        <w:tc>
          <w:tcPr>
            <w:tcW w:w="8320" w:type="dxa"/>
            <w:vAlign w:val="bottom"/>
            <w:shd w:val="clear" w:color="auto" w:fill="D8D8D8"/>
          </w:tcPr>
          <w:p>
            <w:pPr>
              <w:ind w:left="2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801.9</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717.2</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4,300.8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3,851.8</w:t>
            </w:r>
          </w:p>
        </w:tc>
      </w:tr>
      <w:tr>
        <w:trPr>
          <w:trHeight w:val="230"/>
        </w:trPr>
        <w:tc>
          <w:tcPr>
            <w:tcW w:w="83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Increase to LIFO cost</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8.9</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4,309.7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3,886.0</w:t>
            </w:r>
          </w:p>
        </w:tc>
      </w:tr>
    </w:tbl>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Inventories valued under the LIFO method comprised $1.23 billion and $1.36 billion of total inventories at December 31, 2022 and 2021, respectively.</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recognized a net inventory impairment charge related to our COVID-19 antibodies of $339.7 million during the year ended December 31, 2021 in cost of sales in our consolidated statements of operations. As part of our response to the COVID-19 pandemic, and at the request of the U.S. and international governments, we invested in large-scale manufacturing of COVID-19 antibodies at risk, in order to ensure rapid access to patients around the world. As the COVID-19 pandemic evolved during 2021, we incurred a net inventory impairment charge primarily due to the combination of changes to demand from U.S. and international governments, </w:t>
      </w:r>
      <w:r>
        <w:rPr>
          <w:rFonts w:ascii="Arial" w:cs="Arial" w:eastAsia="Arial" w:hAnsi="Arial"/>
          <w:sz w:val="18"/>
          <w:szCs w:val="18"/>
          <w:color w:val="212121"/>
        </w:rPr>
        <w:t>including changes to our agreement with</w:t>
      </w:r>
      <w:r>
        <w:rPr>
          <w:rFonts w:ascii="Arial" w:cs="Arial" w:eastAsia="Arial" w:hAnsi="Arial"/>
          <w:sz w:val="18"/>
          <w:szCs w:val="18"/>
          <w:color w:val="auto"/>
        </w:rPr>
        <w:t xml:space="preserve"> </w:t>
      </w:r>
      <w:r>
        <w:rPr>
          <w:rFonts w:ascii="Arial" w:cs="Arial" w:eastAsia="Arial" w:hAnsi="Arial"/>
          <w:sz w:val="18"/>
          <w:szCs w:val="18"/>
          <w:color w:val="212121"/>
        </w:rPr>
        <w:t>the U.S. government, and near-term expiry dates of COVID-19 antibodies.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for the years ended December 31, 2022, 2021, and 2020 were not material.</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net gains (losses) recognized in our consolidated statements of operations for equity securities were $ (410.7) million, $176.9 million, and $1.44 billion for the years ended December 31, 2022, 2021, and 2020, respectively. The net gains (losses) recognized for the years ended December 31, 2022, 2021, and 2020 on equity securities sold during the respective periods were not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760"/>
        <w:spacing w:after="0" w:line="287" w:lineRule="auto"/>
        <w:rPr>
          <w:sz w:val="20"/>
          <w:szCs w:val="20"/>
          <w:color w:val="auto"/>
        </w:rPr>
      </w:pPr>
      <w:r>
        <w:rPr>
          <w:rFonts w:ascii="Arial" w:cs="Arial" w:eastAsia="Arial" w:hAnsi="Arial"/>
          <w:sz w:val="18"/>
          <w:szCs w:val="18"/>
          <w:color w:val="auto"/>
        </w:rPr>
        <w:t>As of December 31, 2022, we had approximately $957 million of unfunded commitments to invest in venture capital funds, which we anticipate will be paid over a period of up to 10 years.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years ended December 31, 2022, 2021, and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980" w:type="dxa"/>
            <w:vAlign w:val="bottom"/>
          </w:tcPr>
          <w:p>
            <w:pPr>
              <w:jc w:val="center"/>
              <w:ind w:right="8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40" w:type="dxa"/>
            <w:vAlign w:val="bottom"/>
          </w:tcPr>
          <w:p>
            <w:pPr>
              <w:jc w:val="center"/>
              <w:ind w:right="282"/>
              <w:spacing w:after="0" w:line="147" w:lineRule="exact"/>
              <w:rPr>
                <w:sz w:val="20"/>
                <w:szCs w:val="20"/>
                <w:color w:val="auto"/>
              </w:rPr>
            </w:pPr>
            <w:r>
              <w:rPr>
                <w:rFonts w:ascii="Arial" w:cs="Arial" w:eastAsia="Arial" w:hAnsi="Arial"/>
                <w:sz w:val="14"/>
                <w:szCs w:val="14"/>
                <w:b w:val="1"/>
                <w:bCs w:val="1"/>
                <w:color w:val="auto"/>
                <w:w w:val="98"/>
              </w:rPr>
              <w:t>1-5</w:t>
            </w:r>
          </w:p>
        </w:tc>
        <w:tc>
          <w:tcPr>
            <w:tcW w:w="280" w:type="dxa"/>
            <w:vAlign w:val="bottom"/>
          </w:tcPr>
          <w:p>
            <w:pPr>
              <w:spacing w:after="0"/>
              <w:rPr>
                <w:sz w:val="12"/>
                <w:szCs w:val="12"/>
                <w:color w:val="auto"/>
              </w:rPr>
            </w:pPr>
          </w:p>
        </w:tc>
        <w:tc>
          <w:tcPr>
            <w:tcW w:w="960" w:type="dxa"/>
            <w:vAlign w:val="bottom"/>
          </w:tcPr>
          <w:p>
            <w:pPr>
              <w:jc w:val="right"/>
              <w:ind w:right="402"/>
              <w:spacing w:after="0" w:line="147" w:lineRule="exact"/>
              <w:rPr>
                <w:sz w:val="20"/>
                <w:szCs w:val="20"/>
                <w:color w:val="auto"/>
              </w:rPr>
            </w:pPr>
            <w:r>
              <w:rPr>
                <w:rFonts w:ascii="Arial" w:cs="Arial" w:eastAsia="Arial" w:hAnsi="Arial"/>
                <w:sz w:val="14"/>
                <w:szCs w:val="14"/>
                <w:b w:val="1"/>
                <w:bCs w:val="1"/>
                <w:color w:val="auto"/>
              </w:rPr>
              <w:t>6-10</w:t>
            </w:r>
          </w:p>
        </w:tc>
        <w:tc>
          <w:tcPr>
            <w:tcW w:w="200" w:type="dxa"/>
            <w:vAlign w:val="bottom"/>
          </w:tcPr>
          <w:p>
            <w:pPr>
              <w:spacing w:after="0"/>
              <w:rPr>
                <w:sz w:val="12"/>
                <w:szCs w:val="12"/>
                <w:color w:val="auto"/>
              </w:rPr>
            </w:pPr>
          </w:p>
        </w:tc>
        <w:tc>
          <w:tcPr>
            <w:tcW w:w="108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rPr>
              <w:t>More Than 10</w:t>
            </w:r>
          </w:p>
        </w:tc>
        <w:tc>
          <w:tcPr>
            <w:tcW w:w="0" w:type="dxa"/>
            <w:vAlign w:val="bottom"/>
          </w:tcPr>
          <w:p>
            <w:pPr>
              <w:spacing w:after="0"/>
              <w:rPr>
                <w:sz w:val="1"/>
                <w:szCs w:val="1"/>
                <w:color w:val="auto"/>
              </w:rPr>
            </w:pPr>
          </w:p>
        </w:tc>
      </w:tr>
      <w:tr>
        <w:trPr>
          <w:trHeight w:val="185"/>
        </w:trPr>
        <w:tc>
          <w:tcPr>
            <w:tcW w:w="4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4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646.3</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86.2</w:t>
            </w:r>
          </w:p>
        </w:tc>
        <w:tc>
          <w:tcPr>
            <w:tcW w:w="40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02"/>
              <w:spacing w:after="0"/>
              <w:rPr>
                <w:sz w:val="20"/>
                <w:szCs w:val="20"/>
                <w:color w:val="auto"/>
              </w:rPr>
            </w:pPr>
            <w:r>
              <w:rPr>
                <w:rFonts w:ascii="Arial" w:cs="Arial" w:eastAsia="Arial" w:hAnsi="Arial"/>
                <w:sz w:val="18"/>
                <w:szCs w:val="18"/>
                <w:color w:val="auto"/>
              </w:rPr>
              <w:t>242.0</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8D8D8"/>
          </w:tcPr>
          <w:p>
            <w:pPr>
              <w:jc w:val="right"/>
              <w:ind w:right="22"/>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24"/>
        </w:trPr>
        <w:tc>
          <w:tcPr>
            <w:tcW w:w="6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Unrealized gross gains</w:t>
            </w:r>
          </w:p>
        </w:tc>
        <w:tc>
          <w:tcPr>
            <w:tcW w:w="292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0.6</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29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49.2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292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46.8</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250.7</w:t>
            </w:r>
          </w:p>
        </w:tc>
      </w:tr>
      <w:tr>
        <w:trPr>
          <w:trHeight w:val="247"/>
        </w:trPr>
        <w:tc>
          <w:tcPr>
            <w:tcW w:w="628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2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568.7</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290.2</w:t>
            </w:r>
          </w:p>
        </w:tc>
      </w:tr>
    </w:tbl>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2022, the available-for-sale securities in an unrealized loss position include primarily fixed-rate debt securities of varying maturities, which are sensitive to changes in the yield curve and other market conditions. Approximately 99 percent of the fixed-rate debt securities in a loss position are investment-grade debt securities. As of December 31, 2022,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4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Proceeds from sales</w:t>
            </w:r>
          </w:p>
        </w:tc>
        <w:tc>
          <w:tcPr>
            <w:tcW w:w="302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132.9</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174.7</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264.8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30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Realized gross losses on sales</w:t>
            </w:r>
          </w:p>
        </w:tc>
        <w:tc>
          <w:tcPr>
            <w:tcW w:w="302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9.7</w:t>
            </w:r>
          </w:p>
        </w:tc>
        <w:tc>
          <w:tcPr>
            <w:tcW w:w="4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1.7</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8.2</w:t>
            </w:r>
          </w:p>
        </w:tc>
      </w:tr>
    </w:tbl>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certain fair value information at December 31, 2022 and 2021 for investment assets measured at fair value on a recurring basis, as well as the carrying amount and amortized cost of certain other investments: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jc w:val="center"/>
              <w:ind w:right="22"/>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060" w:type="dxa"/>
            <w:vAlign w:val="bottom"/>
          </w:tcPr>
          <w:p>
            <w:pPr>
              <w:jc w:val="center"/>
              <w:ind w:right="142"/>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0"/>
                <w:szCs w:val="10"/>
                <w:color w:val="auto"/>
              </w:rPr>
            </w:pPr>
          </w:p>
        </w:tc>
        <w:tc>
          <w:tcPr>
            <w:tcW w:w="108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9"/>
              </w:rPr>
              <w:t>Significant</w:t>
            </w: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ind w:right="142"/>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380"/>
              <w:spacing w:after="0"/>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0"/>
                <w:szCs w:val="10"/>
                <w:color w:val="auto"/>
              </w:rPr>
            </w:pPr>
          </w:p>
        </w:tc>
        <w:tc>
          <w:tcPr>
            <w:tcW w:w="10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tcPr>
          <w:p>
            <w:pPr>
              <w:spacing w:after="0"/>
              <w:rPr>
                <w:sz w:val="10"/>
                <w:szCs w:val="10"/>
                <w:color w:val="auto"/>
              </w:rPr>
            </w:pPr>
          </w:p>
        </w:tc>
        <w:tc>
          <w:tcPr>
            <w:tcW w:w="108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400" w:type="dxa"/>
            <w:vAlign w:val="bottom"/>
          </w:tcPr>
          <w:p>
            <w:pPr>
              <w:spacing w:after="0"/>
              <w:rPr>
                <w:sz w:val="10"/>
                <w:szCs w:val="10"/>
                <w:color w:val="auto"/>
              </w:rPr>
            </w:pPr>
          </w:p>
        </w:tc>
        <w:tc>
          <w:tcPr>
            <w:tcW w:w="960" w:type="dxa"/>
            <w:vAlign w:val="bottom"/>
            <w:vMerge w:val="restart"/>
          </w:tcPr>
          <w:p>
            <w:pPr>
              <w:jc w:val="right"/>
              <w:ind w:right="42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16"/>
                <w:szCs w:val="16"/>
                <w:b w:val="1"/>
                <w:bCs w:val="1"/>
                <w:color w:val="auto"/>
                <w:vertAlign w:val="superscript"/>
              </w:rPr>
              <w:t>(1)</w:t>
            </w:r>
          </w:p>
        </w:tc>
        <w:tc>
          <w:tcPr>
            <w:tcW w:w="12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060" w:type="dxa"/>
            <w:vAlign w:val="bottom"/>
          </w:tcPr>
          <w:p>
            <w:pPr>
              <w:jc w:val="center"/>
              <w:ind w:right="142"/>
              <w:spacing w:after="0" w:line="135"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tcPr>
          <w:p>
            <w:pPr>
              <w:spacing w:after="0"/>
              <w:rPr>
                <w:sz w:val="11"/>
                <w:szCs w:val="11"/>
                <w:color w:val="auto"/>
              </w:rPr>
            </w:pPr>
          </w:p>
        </w:tc>
        <w:tc>
          <w:tcPr>
            <w:tcW w:w="10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4"/>
              </w:rPr>
              <w:t>(Level 3)</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10"/>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D4D4D4"/>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657.4</w:t>
            </w:r>
          </w:p>
        </w:tc>
        <w:tc>
          <w:tcPr>
            <w:tcW w:w="26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b w:val="1"/>
                <w:bCs w:val="1"/>
                <w:color w:val="auto"/>
              </w:rPr>
              <w:t>657.4</w:t>
            </w:r>
          </w:p>
        </w:tc>
        <w:tc>
          <w:tcPr>
            <w:tcW w:w="12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650.4</w:t>
            </w:r>
          </w:p>
        </w:tc>
        <w:tc>
          <w:tcPr>
            <w:tcW w:w="280" w:type="dxa"/>
            <w:vAlign w:val="bottom"/>
            <w:tcBorders>
              <w:bottom w:val="single" w:sz="8" w:color="D4D4D4"/>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7.0</w:t>
            </w:r>
          </w:p>
        </w:tc>
        <w:tc>
          <w:tcPr>
            <w:tcW w:w="24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D4D4D4"/>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657.4</w:t>
            </w:r>
          </w:p>
        </w:tc>
        <w:tc>
          <w:tcPr>
            <w:tcW w:w="0" w:type="dxa"/>
            <w:vAlign w:val="bottom"/>
          </w:tcPr>
          <w:p>
            <w:pPr>
              <w:spacing w:after="0"/>
              <w:rPr>
                <w:sz w:val="1"/>
                <w:szCs w:val="1"/>
                <w:color w:val="auto"/>
              </w:rPr>
            </w:pPr>
          </w:p>
        </w:tc>
      </w:tr>
      <w:tr>
        <w:trPr>
          <w:trHeight w:val="203"/>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26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400" w:type="dxa"/>
            <w:vAlign w:val="bottom"/>
            <w:shd w:val="clear" w:color="auto" w:fill="D4D4D4"/>
          </w:tcPr>
          <w:p>
            <w:pPr>
              <w:spacing w:after="0"/>
              <w:rPr>
                <w:sz w:val="17"/>
                <w:szCs w:val="17"/>
                <w:color w:val="auto"/>
              </w:rPr>
            </w:pPr>
          </w:p>
        </w:tc>
        <w:tc>
          <w:tcPr>
            <w:tcW w:w="96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30.8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31.1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30.8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30.8</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53.4</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53.5</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53.4</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53.4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2.0</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Borders>
              <w:bottom w:val="single" w:sz="8" w:color="auto"/>
            </w:tcBorders>
            <w:shd w:val="clear" w:color="auto" w:fill="D4D4D4"/>
          </w:tcPr>
          <w:p>
            <w:pPr>
              <w:spacing w:after="0"/>
              <w:rPr>
                <w:sz w:val="18"/>
                <w:szCs w:val="18"/>
                <w:color w:val="auto"/>
              </w:rPr>
            </w:pP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58.6</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58.6</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39.1</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19.5</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58.6</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Short-term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144.8</w:t>
            </w:r>
          </w:p>
        </w:tc>
        <w:tc>
          <w:tcPr>
            <w:tcW w:w="26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1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060" w:type="dxa"/>
            <w:vAlign w:val="bottom"/>
            <w:tcBorders>
              <w:bottom w:val="single" w:sz="8" w:color="D4D4D4"/>
            </w:tcBorders>
          </w:tcPr>
          <w:p>
            <w:pPr>
              <w:spacing w:after="0"/>
              <w:rPr>
                <w:sz w:val="18"/>
                <w:szCs w:val="18"/>
                <w:color w:val="auto"/>
              </w:rPr>
            </w:pPr>
          </w:p>
        </w:tc>
        <w:tc>
          <w:tcPr>
            <w:tcW w:w="24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400" w:type="dxa"/>
            <w:vAlign w:val="bottom"/>
            <w:tcBorders>
              <w:bottom w:val="single" w:sz="8" w:color="D4D4D4"/>
            </w:tcBorders>
          </w:tcPr>
          <w:p>
            <w:pPr>
              <w:spacing w:after="0"/>
              <w:rPr>
                <w:sz w:val="18"/>
                <w:szCs w:val="18"/>
                <w:color w:val="auto"/>
              </w:rPr>
            </w:pPr>
          </w:p>
        </w:tc>
        <w:tc>
          <w:tcPr>
            <w:tcW w:w="96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color w:val="auto"/>
              </w:rPr>
              <w:t>Noncurrent investments:</w:t>
            </w:r>
          </w:p>
        </w:tc>
        <w:tc>
          <w:tcPr>
            <w:tcW w:w="24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26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400" w:type="dxa"/>
            <w:vAlign w:val="bottom"/>
            <w:shd w:val="clear" w:color="auto" w:fill="D4D4D4"/>
          </w:tcPr>
          <w:p>
            <w:pPr>
              <w:spacing w:after="0"/>
              <w:rPr>
                <w:sz w:val="17"/>
                <w:szCs w:val="17"/>
                <w:color w:val="auto"/>
              </w:rPr>
            </w:pPr>
          </w:p>
        </w:tc>
        <w:tc>
          <w:tcPr>
            <w:tcW w:w="96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146.4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163.2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146.4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146.4</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213.9</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235.8</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213.9</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213.9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149.2</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161.5</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149.2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149.2</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50.6</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52.5</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50.6</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50.6</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398.6</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34.5</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311.0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87.6</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398.6</w:t>
            </w: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Marketable equity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683.6</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484.7</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683.6</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683.6</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40" w:type="dxa"/>
            <w:vAlign w:val="bottom"/>
          </w:tcPr>
          <w:p>
            <w:pPr>
              <w:spacing w:after="0"/>
              <w:rPr>
                <w:sz w:val="14"/>
                <w:szCs w:val="14"/>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478.4</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D4D4D4"/>
          </w:tcPr>
          <w:p>
            <w:pPr>
              <w:spacing w:after="0"/>
              <w:rPr>
                <w:sz w:val="18"/>
                <w:szCs w:val="18"/>
                <w:color w:val="auto"/>
              </w:rPr>
            </w:pP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781.1</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Noncurrent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2,901.8</w:t>
            </w:r>
          </w:p>
        </w:tc>
        <w:tc>
          <w:tcPr>
            <w:tcW w:w="260" w:type="dxa"/>
            <w:vAlign w:val="bottom"/>
            <w:tcBorders>
              <w:bottom w:val="single" w:sz="8" w:color="D4D4D4"/>
            </w:tcBorders>
          </w:tcPr>
          <w:p>
            <w:pPr>
              <w:spacing w:after="0"/>
              <w:rPr>
                <w:sz w:val="17"/>
                <w:szCs w:val="17"/>
                <w:color w:val="auto"/>
              </w:rPr>
            </w:pPr>
          </w:p>
        </w:tc>
        <w:tc>
          <w:tcPr>
            <w:tcW w:w="1080" w:type="dxa"/>
            <w:vAlign w:val="bottom"/>
            <w:tcBorders>
              <w:bottom w:val="single" w:sz="8" w:color="D4D4D4"/>
            </w:tcBorders>
          </w:tcPr>
          <w:p>
            <w:pPr>
              <w:spacing w:after="0"/>
              <w:rPr>
                <w:sz w:val="17"/>
                <w:szCs w:val="17"/>
                <w:color w:val="auto"/>
              </w:rPr>
            </w:pPr>
          </w:p>
        </w:tc>
        <w:tc>
          <w:tcPr>
            <w:tcW w:w="120" w:type="dxa"/>
            <w:vAlign w:val="bottom"/>
            <w:tcBorders>
              <w:bottom w:val="single" w:sz="8" w:color="D4D4D4"/>
            </w:tcBorders>
          </w:tcPr>
          <w:p>
            <w:pPr>
              <w:spacing w:after="0"/>
              <w:rPr>
                <w:sz w:val="17"/>
                <w:szCs w:val="17"/>
                <w:color w:val="auto"/>
              </w:rPr>
            </w:pPr>
          </w:p>
        </w:tc>
        <w:tc>
          <w:tcPr>
            <w:tcW w:w="1140" w:type="dxa"/>
            <w:vAlign w:val="bottom"/>
            <w:tcBorders>
              <w:bottom w:val="single" w:sz="8" w:color="D4D4D4"/>
            </w:tcBorders>
          </w:tcPr>
          <w:p>
            <w:pPr>
              <w:spacing w:after="0"/>
              <w:rPr>
                <w:sz w:val="17"/>
                <w:szCs w:val="17"/>
                <w:color w:val="auto"/>
              </w:rPr>
            </w:pPr>
          </w:p>
        </w:tc>
        <w:tc>
          <w:tcPr>
            <w:tcW w:w="280" w:type="dxa"/>
            <w:vAlign w:val="bottom"/>
            <w:tcBorders>
              <w:bottom w:val="single" w:sz="8" w:color="D4D4D4"/>
            </w:tcBorders>
          </w:tcPr>
          <w:p>
            <w:pPr>
              <w:spacing w:after="0"/>
              <w:rPr>
                <w:sz w:val="17"/>
                <w:szCs w:val="17"/>
                <w:color w:val="auto"/>
              </w:rPr>
            </w:pPr>
          </w:p>
        </w:tc>
        <w:tc>
          <w:tcPr>
            <w:tcW w:w="1060" w:type="dxa"/>
            <w:vAlign w:val="bottom"/>
            <w:tcBorders>
              <w:bottom w:val="single" w:sz="8" w:color="D4D4D4"/>
            </w:tcBorders>
          </w:tcPr>
          <w:p>
            <w:pPr>
              <w:spacing w:after="0"/>
              <w:rPr>
                <w:sz w:val="17"/>
                <w:szCs w:val="17"/>
                <w:color w:val="auto"/>
              </w:rPr>
            </w:pPr>
          </w:p>
        </w:tc>
        <w:tc>
          <w:tcPr>
            <w:tcW w:w="240" w:type="dxa"/>
            <w:vAlign w:val="bottom"/>
            <w:tcBorders>
              <w:bottom w:val="single" w:sz="8" w:color="D4D4D4"/>
            </w:tcBorders>
          </w:tcPr>
          <w:p>
            <w:pPr>
              <w:spacing w:after="0"/>
              <w:rPr>
                <w:sz w:val="17"/>
                <w:szCs w:val="17"/>
                <w:color w:val="auto"/>
              </w:rPr>
            </w:pPr>
          </w:p>
        </w:tc>
        <w:tc>
          <w:tcPr>
            <w:tcW w:w="1080" w:type="dxa"/>
            <w:vAlign w:val="bottom"/>
            <w:tcBorders>
              <w:bottom w:val="single" w:sz="8" w:color="D4D4D4"/>
            </w:tcBorders>
          </w:tcPr>
          <w:p>
            <w:pPr>
              <w:spacing w:after="0"/>
              <w:rPr>
                <w:sz w:val="17"/>
                <w:szCs w:val="17"/>
                <w:color w:val="auto"/>
              </w:rPr>
            </w:pPr>
          </w:p>
        </w:tc>
        <w:tc>
          <w:tcPr>
            <w:tcW w:w="400" w:type="dxa"/>
            <w:vAlign w:val="bottom"/>
            <w:tcBorders>
              <w:bottom w:val="single" w:sz="8" w:color="D4D4D4"/>
            </w:tcBorders>
          </w:tcPr>
          <w:p>
            <w:pPr>
              <w:spacing w:after="0"/>
              <w:rPr>
                <w:sz w:val="17"/>
                <w:szCs w:val="17"/>
                <w:color w:val="auto"/>
              </w:rPr>
            </w:pPr>
          </w:p>
        </w:tc>
        <w:tc>
          <w:tcPr>
            <w:tcW w:w="960" w:type="dxa"/>
            <w:vAlign w:val="bottom"/>
            <w:tcBorders>
              <w:bottom w:val="single" w:sz="8" w:color="D4D4D4"/>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26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400" w:type="dxa"/>
            <w:vAlign w:val="bottom"/>
            <w:shd w:val="clear" w:color="auto" w:fill="D4D4D4"/>
          </w:tcPr>
          <w:p>
            <w:pPr>
              <w:spacing w:after="0"/>
              <w:rPr>
                <w:sz w:val="17"/>
                <w:szCs w:val="17"/>
                <w:color w:val="auto"/>
              </w:rPr>
            </w:pPr>
          </w:p>
        </w:tc>
        <w:tc>
          <w:tcPr>
            <w:tcW w:w="96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D4D4D4"/>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2,379.5</w:t>
            </w:r>
          </w:p>
        </w:tc>
        <w:tc>
          <w:tcPr>
            <w:tcW w:w="26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color w:val="auto"/>
              </w:rPr>
              <w:t>2,379.5</w:t>
            </w:r>
          </w:p>
        </w:tc>
        <w:tc>
          <w:tcPr>
            <w:tcW w:w="12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2,361.0</w:t>
            </w:r>
          </w:p>
        </w:tc>
        <w:tc>
          <w:tcPr>
            <w:tcW w:w="280" w:type="dxa"/>
            <w:vAlign w:val="bottom"/>
            <w:tcBorders>
              <w:bottom w:val="single" w:sz="8" w:color="D4D4D4"/>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18.5</w:t>
            </w:r>
          </w:p>
        </w:tc>
        <w:tc>
          <w:tcPr>
            <w:tcW w:w="24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D4D4D4"/>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2,379.5</w:t>
            </w:r>
          </w:p>
        </w:tc>
        <w:tc>
          <w:tcPr>
            <w:tcW w:w="0" w:type="dxa"/>
            <w:vAlign w:val="bottom"/>
          </w:tcPr>
          <w:p>
            <w:pPr>
              <w:spacing w:after="0"/>
              <w:rPr>
                <w:sz w:val="1"/>
                <w:szCs w:val="1"/>
                <w:color w:val="auto"/>
              </w:rPr>
            </w:pPr>
          </w:p>
        </w:tc>
      </w:tr>
      <w:tr>
        <w:trPr>
          <w:trHeight w:val="203"/>
        </w:trPr>
        <w:tc>
          <w:tcPr>
            <w:tcW w:w="3280" w:type="dxa"/>
            <w:vAlign w:val="bottom"/>
            <w:shd w:val="clear" w:color="auto" w:fill="D4D4D4"/>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26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1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80" w:type="dxa"/>
            <w:vAlign w:val="bottom"/>
            <w:shd w:val="clear" w:color="auto" w:fill="D4D4D4"/>
          </w:tcPr>
          <w:p>
            <w:pPr>
              <w:spacing w:after="0"/>
              <w:rPr>
                <w:sz w:val="17"/>
                <w:szCs w:val="17"/>
                <w:color w:val="auto"/>
              </w:rPr>
            </w:pPr>
          </w:p>
        </w:tc>
        <w:tc>
          <w:tcPr>
            <w:tcW w:w="400" w:type="dxa"/>
            <w:vAlign w:val="bottom"/>
            <w:shd w:val="clear" w:color="auto" w:fill="D4D4D4"/>
          </w:tcPr>
          <w:p>
            <w:pPr>
              <w:spacing w:after="0"/>
              <w:rPr>
                <w:sz w:val="17"/>
                <w:szCs w:val="17"/>
                <w:color w:val="auto"/>
              </w:rPr>
            </w:pPr>
          </w:p>
        </w:tc>
        <w:tc>
          <w:tcPr>
            <w:tcW w:w="96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25.7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25.6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25.7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43.7</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43.7</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6.2</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6.2</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14.3</w:t>
            </w:r>
          </w:p>
        </w:tc>
        <w:tc>
          <w:tcPr>
            <w:tcW w:w="26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D4D4D4"/>
            </w:tcBorders>
          </w:tcPr>
          <w:p>
            <w:pPr>
              <w:spacing w:after="0"/>
              <w:rPr>
                <w:sz w:val="18"/>
                <w:szCs w:val="18"/>
                <w:color w:val="auto"/>
              </w:rPr>
            </w:pPr>
          </w:p>
        </w:tc>
        <w:tc>
          <w:tcPr>
            <w:tcW w:w="106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14.3</w:t>
            </w:r>
          </w:p>
        </w:tc>
        <w:tc>
          <w:tcPr>
            <w:tcW w:w="400" w:type="dxa"/>
            <w:vAlign w:val="bottom"/>
            <w:tcBorders>
              <w:bottom w:val="single" w:sz="8" w:color="D4D4D4"/>
            </w:tcBorders>
          </w:tcPr>
          <w:p>
            <w:pPr>
              <w:spacing w:after="0"/>
              <w:rPr>
                <w:sz w:val="18"/>
                <w:szCs w:val="18"/>
                <w:color w:val="auto"/>
              </w:rPr>
            </w:pPr>
          </w:p>
        </w:tc>
        <w:tc>
          <w:tcPr>
            <w:tcW w:w="96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Short-term investments</w:t>
            </w:r>
          </w:p>
        </w:tc>
        <w:tc>
          <w:tcPr>
            <w:tcW w:w="24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color w:val="auto"/>
              </w:rPr>
              <w:t>90.1</w:t>
            </w:r>
          </w:p>
        </w:tc>
        <w:tc>
          <w:tcPr>
            <w:tcW w:w="260" w:type="dxa"/>
            <w:vAlign w:val="bottom"/>
            <w:tcBorders>
              <w:bottom w:val="single" w:sz="8" w:color="D4D4D4"/>
            </w:tcBorders>
            <w:shd w:val="clear" w:color="auto" w:fill="D4D4D4"/>
          </w:tcPr>
          <w:p>
            <w:pPr>
              <w:spacing w:after="0"/>
              <w:rPr>
                <w:sz w:val="20"/>
                <w:szCs w:val="20"/>
                <w:color w:val="auto"/>
              </w:rPr>
            </w:pPr>
          </w:p>
        </w:tc>
        <w:tc>
          <w:tcPr>
            <w:tcW w:w="1080" w:type="dxa"/>
            <w:vAlign w:val="bottom"/>
            <w:tcBorders>
              <w:bottom w:val="single" w:sz="8" w:color="D4D4D4"/>
            </w:tcBorders>
            <w:shd w:val="clear" w:color="auto" w:fill="D4D4D4"/>
          </w:tcPr>
          <w:p>
            <w:pPr>
              <w:spacing w:after="0"/>
              <w:rPr>
                <w:sz w:val="20"/>
                <w:szCs w:val="20"/>
                <w:color w:val="auto"/>
              </w:rPr>
            </w:pPr>
          </w:p>
        </w:tc>
        <w:tc>
          <w:tcPr>
            <w:tcW w:w="120" w:type="dxa"/>
            <w:vAlign w:val="bottom"/>
            <w:tcBorders>
              <w:bottom w:val="single" w:sz="8" w:color="D4D4D4"/>
            </w:tcBorders>
            <w:shd w:val="clear" w:color="auto" w:fill="D4D4D4"/>
          </w:tcPr>
          <w:p>
            <w:pPr>
              <w:spacing w:after="0"/>
              <w:rPr>
                <w:sz w:val="20"/>
                <w:szCs w:val="20"/>
                <w:color w:val="auto"/>
              </w:rPr>
            </w:pPr>
          </w:p>
        </w:tc>
        <w:tc>
          <w:tcPr>
            <w:tcW w:w="1140" w:type="dxa"/>
            <w:vAlign w:val="bottom"/>
            <w:tcBorders>
              <w:bottom w:val="single" w:sz="8" w:color="D4D4D4"/>
            </w:tcBorders>
            <w:shd w:val="clear" w:color="auto" w:fill="D4D4D4"/>
          </w:tcPr>
          <w:p>
            <w:pPr>
              <w:spacing w:after="0"/>
              <w:rPr>
                <w:sz w:val="20"/>
                <w:szCs w:val="20"/>
                <w:color w:val="auto"/>
              </w:rPr>
            </w:pPr>
          </w:p>
        </w:tc>
        <w:tc>
          <w:tcPr>
            <w:tcW w:w="280" w:type="dxa"/>
            <w:vAlign w:val="bottom"/>
            <w:tcBorders>
              <w:bottom w:val="single" w:sz="8" w:color="D4D4D4"/>
            </w:tcBorders>
            <w:shd w:val="clear" w:color="auto" w:fill="D4D4D4"/>
          </w:tcPr>
          <w:p>
            <w:pPr>
              <w:spacing w:after="0"/>
              <w:rPr>
                <w:sz w:val="20"/>
                <w:szCs w:val="20"/>
                <w:color w:val="auto"/>
              </w:rPr>
            </w:pPr>
          </w:p>
        </w:tc>
        <w:tc>
          <w:tcPr>
            <w:tcW w:w="1060" w:type="dxa"/>
            <w:vAlign w:val="bottom"/>
            <w:tcBorders>
              <w:bottom w:val="single" w:sz="8" w:color="D4D4D4"/>
            </w:tcBorders>
            <w:shd w:val="clear" w:color="auto" w:fill="D4D4D4"/>
          </w:tcPr>
          <w:p>
            <w:pPr>
              <w:spacing w:after="0"/>
              <w:rPr>
                <w:sz w:val="20"/>
                <w:szCs w:val="20"/>
                <w:color w:val="auto"/>
              </w:rPr>
            </w:pPr>
          </w:p>
        </w:tc>
        <w:tc>
          <w:tcPr>
            <w:tcW w:w="240" w:type="dxa"/>
            <w:vAlign w:val="bottom"/>
            <w:tcBorders>
              <w:bottom w:val="single" w:sz="8" w:color="D4D4D4"/>
            </w:tcBorders>
            <w:shd w:val="clear" w:color="auto" w:fill="D4D4D4"/>
          </w:tcPr>
          <w:p>
            <w:pPr>
              <w:spacing w:after="0"/>
              <w:rPr>
                <w:sz w:val="20"/>
                <w:szCs w:val="20"/>
                <w:color w:val="auto"/>
              </w:rPr>
            </w:pPr>
          </w:p>
        </w:tc>
        <w:tc>
          <w:tcPr>
            <w:tcW w:w="1080" w:type="dxa"/>
            <w:vAlign w:val="bottom"/>
            <w:tcBorders>
              <w:bottom w:val="single" w:sz="8" w:color="D4D4D4"/>
            </w:tcBorders>
            <w:shd w:val="clear" w:color="auto" w:fill="D4D4D4"/>
          </w:tcPr>
          <w:p>
            <w:pPr>
              <w:spacing w:after="0"/>
              <w:rPr>
                <w:sz w:val="20"/>
                <w:szCs w:val="20"/>
                <w:color w:val="auto"/>
              </w:rPr>
            </w:pPr>
          </w:p>
        </w:tc>
        <w:tc>
          <w:tcPr>
            <w:tcW w:w="400" w:type="dxa"/>
            <w:vAlign w:val="bottom"/>
            <w:tcBorders>
              <w:bottom w:val="single" w:sz="8" w:color="D4D4D4"/>
            </w:tcBorders>
            <w:shd w:val="clear" w:color="auto" w:fill="D4D4D4"/>
          </w:tcPr>
          <w:p>
            <w:pPr>
              <w:spacing w:after="0"/>
              <w:rPr>
                <w:sz w:val="20"/>
                <w:szCs w:val="20"/>
                <w:color w:val="auto"/>
              </w:rPr>
            </w:pPr>
          </w:p>
        </w:tc>
        <w:tc>
          <w:tcPr>
            <w:tcW w:w="960" w:type="dxa"/>
            <w:vAlign w:val="bottom"/>
            <w:tcBorders>
              <w:bottom w:val="single" w:sz="8" w:color="D4D4D4"/>
            </w:tcBorders>
            <w:shd w:val="clear" w:color="auto" w:fill="D4D4D4"/>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shd w:val="clear" w:color="auto" w:fill="D4D4D4"/>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137.0</w:t>
            </w:r>
          </w:p>
        </w:tc>
        <w:tc>
          <w:tcPr>
            <w:tcW w:w="260" w:type="dxa"/>
            <w:vAlign w:val="bottom"/>
            <w:shd w:val="clear" w:color="auto" w:fill="D4D4D4"/>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136.8</w:t>
            </w:r>
          </w:p>
        </w:tc>
        <w:tc>
          <w:tcPr>
            <w:tcW w:w="120" w:type="dxa"/>
            <w:vAlign w:val="bottom"/>
            <w:shd w:val="clear" w:color="auto" w:fill="D4D4D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137.0</w:t>
            </w:r>
          </w:p>
        </w:tc>
        <w:tc>
          <w:tcPr>
            <w:tcW w:w="280" w:type="dxa"/>
            <w:vAlign w:val="bottom"/>
            <w:shd w:val="clear" w:color="auto" w:fill="D4D4D4"/>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235.3</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232.7</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235.3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Mortgage-backed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109.8</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109.8</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23.1</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23.1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328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108.1</w:t>
            </w: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108.1</w:t>
            </w: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1,279.7</w:t>
            </w:r>
          </w:p>
        </w:tc>
        <w:tc>
          <w:tcPr>
            <w:tcW w:w="26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487.0</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1,279.7</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1,279.7</w:t>
            </w:r>
          </w:p>
        </w:tc>
        <w:tc>
          <w:tcPr>
            <w:tcW w:w="0" w:type="dxa"/>
            <w:vAlign w:val="bottom"/>
          </w:tcPr>
          <w:p>
            <w:pPr>
              <w:spacing w:after="0"/>
              <w:rPr>
                <w:sz w:val="1"/>
                <w:szCs w:val="1"/>
                <w:color w:val="auto"/>
              </w:rPr>
            </w:pPr>
          </w:p>
        </w:tc>
      </w:tr>
      <w:tr>
        <w:trPr>
          <w:trHeight w:val="163"/>
        </w:trPr>
        <w:tc>
          <w:tcPr>
            <w:tcW w:w="3280" w:type="dxa"/>
            <w:vAlign w:val="bottom"/>
            <w:shd w:val="clear" w:color="auto" w:fill="D4D4D4"/>
          </w:tcPr>
          <w:p>
            <w:pPr>
              <w:ind w:left="140"/>
              <w:spacing w:after="0" w:line="163" w:lineRule="exact"/>
              <w:rPr>
                <w:sz w:val="20"/>
                <w:szCs w:val="20"/>
                <w:color w:val="auto"/>
              </w:rPr>
            </w:pPr>
            <w:r>
              <w:rPr>
                <w:rFonts w:ascii="Arial" w:cs="Arial" w:eastAsia="Arial" w:hAnsi="Arial"/>
                <w:sz w:val="16"/>
                <w:szCs w:val="16"/>
                <w:color w:val="auto"/>
              </w:rPr>
              <w:t>Equity investments without readily</w:t>
            </w:r>
          </w:p>
        </w:tc>
        <w:tc>
          <w:tcPr>
            <w:tcW w:w="240" w:type="dxa"/>
            <w:vAlign w:val="bottom"/>
            <w:shd w:val="clear" w:color="auto" w:fill="D4D4D4"/>
          </w:tcPr>
          <w:p>
            <w:pPr>
              <w:spacing w:after="0"/>
              <w:rPr>
                <w:sz w:val="14"/>
                <w:szCs w:val="14"/>
                <w:color w:val="auto"/>
              </w:rPr>
            </w:pPr>
          </w:p>
        </w:tc>
        <w:tc>
          <w:tcPr>
            <w:tcW w:w="1100" w:type="dxa"/>
            <w:vAlign w:val="bottom"/>
            <w:vMerge w:val="restart"/>
            <w:shd w:val="clear" w:color="auto" w:fill="D4D4D4"/>
          </w:tcPr>
          <w:p>
            <w:pPr>
              <w:jc w:val="right"/>
              <w:ind w:right="100"/>
              <w:spacing w:after="0"/>
              <w:rPr>
                <w:sz w:val="20"/>
                <w:szCs w:val="20"/>
                <w:color w:val="auto"/>
              </w:rPr>
            </w:pPr>
            <w:r>
              <w:rPr>
                <w:rFonts w:ascii="Arial" w:cs="Arial" w:eastAsia="Arial" w:hAnsi="Arial"/>
                <w:sz w:val="16"/>
                <w:szCs w:val="16"/>
                <w:color w:val="auto"/>
              </w:rPr>
              <w:t>548.1</w:t>
            </w:r>
          </w:p>
        </w:tc>
        <w:tc>
          <w:tcPr>
            <w:tcW w:w="260" w:type="dxa"/>
            <w:vAlign w:val="bottom"/>
            <w:shd w:val="clear" w:color="auto" w:fill="D4D4D4"/>
          </w:tcPr>
          <w:p>
            <w:pPr>
              <w:spacing w:after="0"/>
              <w:rPr>
                <w:sz w:val="14"/>
                <w:szCs w:val="14"/>
                <w:color w:val="auto"/>
              </w:rPr>
            </w:pPr>
          </w:p>
        </w:tc>
        <w:tc>
          <w:tcPr>
            <w:tcW w:w="1080" w:type="dxa"/>
            <w:vAlign w:val="bottom"/>
            <w:shd w:val="clear" w:color="auto" w:fill="D4D4D4"/>
          </w:tcPr>
          <w:p>
            <w:pPr>
              <w:spacing w:after="0"/>
              <w:rPr>
                <w:sz w:val="14"/>
                <w:szCs w:val="14"/>
                <w:color w:val="auto"/>
              </w:rPr>
            </w:pPr>
          </w:p>
        </w:tc>
        <w:tc>
          <w:tcPr>
            <w:tcW w:w="120" w:type="dxa"/>
            <w:vAlign w:val="bottom"/>
            <w:shd w:val="clear" w:color="auto" w:fill="D4D4D4"/>
          </w:tcPr>
          <w:p>
            <w:pPr>
              <w:spacing w:after="0"/>
              <w:rPr>
                <w:sz w:val="14"/>
                <w:szCs w:val="14"/>
                <w:color w:val="auto"/>
              </w:rPr>
            </w:pPr>
          </w:p>
        </w:tc>
        <w:tc>
          <w:tcPr>
            <w:tcW w:w="1140" w:type="dxa"/>
            <w:vAlign w:val="bottom"/>
            <w:shd w:val="clear" w:color="auto" w:fill="D4D4D4"/>
          </w:tcPr>
          <w:p>
            <w:pPr>
              <w:spacing w:after="0"/>
              <w:rPr>
                <w:sz w:val="14"/>
                <w:szCs w:val="14"/>
                <w:color w:val="auto"/>
              </w:rPr>
            </w:pPr>
          </w:p>
        </w:tc>
        <w:tc>
          <w:tcPr>
            <w:tcW w:w="280" w:type="dxa"/>
            <w:vAlign w:val="bottom"/>
            <w:shd w:val="clear" w:color="auto" w:fill="D4D4D4"/>
          </w:tcPr>
          <w:p>
            <w:pPr>
              <w:spacing w:after="0"/>
              <w:rPr>
                <w:sz w:val="14"/>
                <w:szCs w:val="14"/>
                <w:color w:val="auto"/>
              </w:rPr>
            </w:pPr>
          </w:p>
        </w:tc>
        <w:tc>
          <w:tcPr>
            <w:tcW w:w="1060" w:type="dxa"/>
            <w:vAlign w:val="bottom"/>
            <w:shd w:val="clear" w:color="auto" w:fill="D4D4D4"/>
          </w:tcPr>
          <w:p>
            <w:pPr>
              <w:spacing w:after="0"/>
              <w:rPr>
                <w:sz w:val="14"/>
                <w:szCs w:val="14"/>
                <w:color w:val="auto"/>
              </w:rPr>
            </w:pPr>
          </w:p>
        </w:tc>
        <w:tc>
          <w:tcPr>
            <w:tcW w:w="240" w:type="dxa"/>
            <w:vAlign w:val="bottom"/>
            <w:shd w:val="clear" w:color="auto" w:fill="D4D4D4"/>
          </w:tcPr>
          <w:p>
            <w:pPr>
              <w:spacing w:after="0"/>
              <w:rPr>
                <w:sz w:val="14"/>
                <w:szCs w:val="14"/>
                <w:color w:val="auto"/>
              </w:rPr>
            </w:pPr>
          </w:p>
        </w:tc>
        <w:tc>
          <w:tcPr>
            <w:tcW w:w="1080" w:type="dxa"/>
            <w:vAlign w:val="bottom"/>
            <w:shd w:val="clear" w:color="auto" w:fill="D4D4D4"/>
          </w:tcPr>
          <w:p>
            <w:pPr>
              <w:spacing w:after="0"/>
              <w:rPr>
                <w:sz w:val="14"/>
                <w:szCs w:val="14"/>
                <w:color w:val="auto"/>
              </w:rPr>
            </w:pPr>
          </w:p>
        </w:tc>
        <w:tc>
          <w:tcPr>
            <w:tcW w:w="400" w:type="dxa"/>
            <w:vAlign w:val="bottom"/>
            <w:shd w:val="clear" w:color="auto" w:fill="D4D4D4"/>
          </w:tcPr>
          <w:p>
            <w:pPr>
              <w:spacing w:after="0"/>
              <w:rPr>
                <w:sz w:val="14"/>
                <w:szCs w:val="14"/>
                <w:color w:val="auto"/>
              </w:rPr>
            </w:pPr>
          </w:p>
        </w:tc>
        <w:tc>
          <w:tcPr>
            <w:tcW w:w="960" w:type="dxa"/>
            <w:vAlign w:val="bottom"/>
            <w:shd w:val="clear" w:color="auto" w:fill="D4D4D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40" w:type="dxa"/>
            <w:vAlign w:val="bottom"/>
            <w:shd w:val="clear" w:color="auto" w:fill="D4D4D4"/>
          </w:tcPr>
          <w:p>
            <w:pPr>
              <w:spacing w:after="0"/>
              <w:rPr>
                <w:sz w:val="18"/>
                <w:szCs w:val="18"/>
                <w:color w:val="auto"/>
              </w:rPr>
            </w:pPr>
          </w:p>
        </w:tc>
        <w:tc>
          <w:tcPr>
            <w:tcW w:w="1100" w:type="dxa"/>
            <w:vAlign w:val="bottom"/>
            <w:vMerge w:val="continue"/>
            <w:shd w:val="clear" w:color="auto" w:fill="D4D4D4"/>
          </w:tcPr>
          <w:p>
            <w:pPr>
              <w:spacing w:after="0"/>
              <w:rPr>
                <w:sz w:val="18"/>
                <w:szCs w:val="18"/>
                <w:color w:val="auto"/>
              </w:rPr>
            </w:pPr>
          </w:p>
        </w:tc>
        <w:tc>
          <w:tcPr>
            <w:tcW w:w="26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1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80" w:type="dxa"/>
            <w:vAlign w:val="bottom"/>
            <w:shd w:val="clear" w:color="auto" w:fill="D4D4D4"/>
          </w:tcPr>
          <w:p>
            <w:pPr>
              <w:spacing w:after="0"/>
              <w:rPr>
                <w:sz w:val="18"/>
                <w:szCs w:val="18"/>
                <w:color w:val="auto"/>
              </w:rPr>
            </w:pPr>
          </w:p>
        </w:tc>
        <w:tc>
          <w:tcPr>
            <w:tcW w:w="400" w:type="dxa"/>
            <w:vAlign w:val="bottom"/>
            <w:shd w:val="clear" w:color="auto" w:fill="D4D4D4"/>
          </w:tcPr>
          <w:p>
            <w:pPr>
              <w:spacing w:after="0"/>
              <w:rPr>
                <w:sz w:val="18"/>
                <w:szCs w:val="18"/>
                <w:color w:val="auto"/>
              </w:rPr>
            </w:pPr>
          </w:p>
        </w:tc>
        <w:tc>
          <w:tcPr>
            <w:tcW w:w="96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D4D4D4"/>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771.5</w:t>
            </w:r>
          </w:p>
        </w:tc>
        <w:tc>
          <w:tcPr>
            <w:tcW w:w="26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1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060" w:type="dxa"/>
            <w:vAlign w:val="bottom"/>
            <w:tcBorders>
              <w:bottom w:val="single" w:sz="8" w:color="D4D4D4"/>
            </w:tcBorders>
          </w:tcPr>
          <w:p>
            <w:pPr>
              <w:spacing w:after="0"/>
              <w:rPr>
                <w:sz w:val="18"/>
                <w:szCs w:val="18"/>
                <w:color w:val="auto"/>
              </w:rPr>
            </w:pPr>
          </w:p>
        </w:tc>
        <w:tc>
          <w:tcPr>
            <w:tcW w:w="240" w:type="dxa"/>
            <w:vAlign w:val="bottom"/>
            <w:tcBorders>
              <w:bottom w:val="single" w:sz="8" w:color="D4D4D4"/>
            </w:tcBorders>
          </w:tcPr>
          <w:p>
            <w:pPr>
              <w:spacing w:after="0"/>
              <w:rPr>
                <w:sz w:val="18"/>
                <w:szCs w:val="18"/>
                <w:color w:val="auto"/>
              </w:rPr>
            </w:pPr>
          </w:p>
        </w:tc>
        <w:tc>
          <w:tcPr>
            <w:tcW w:w="1080" w:type="dxa"/>
            <w:vAlign w:val="bottom"/>
            <w:tcBorders>
              <w:bottom w:val="single" w:sz="8" w:color="D4D4D4"/>
            </w:tcBorders>
          </w:tcPr>
          <w:p>
            <w:pPr>
              <w:spacing w:after="0"/>
              <w:rPr>
                <w:sz w:val="18"/>
                <w:szCs w:val="18"/>
                <w:color w:val="auto"/>
              </w:rPr>
            </w:pPr>
          </w:p>
        </w:tc>
        <w:tc>
          <w:tcPr>
            <w:tcW w:w="400" w:type="dxa"/>
            <w:vAlign w:val="bottom"/>
            <w:tcBorders>
              <w:bottom w:val="single" w:sz="8" w:color="D4D4D4"/>
            </w:tcBorders>
          </w:tcPr>
          <w:p>
            <w:pPr>
              <w:spacing w:after="0"/>
              <w:rPr>
                <w:sz w:val="18"/>
                <w:szCs w:val="18"/>
                <w:color w:val="auto"/>
              </w:rPr>
            </w:pPr>
          </w:p>
        </w:tc>
        <w:tc>
          <w:tcPr>
            <w:tcW w:w="96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Noncurrent investments</w:t>
            </w:r>
          </w:p>
        </w:tc>
        <w:tc>
          <w:tcPr>
            <w:tcW w:w="24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color w:val="auto"/>
              </w:rPr>
              <w:t>3,212.6</w:t>
            </w:r>
          </w:p>
        </w:tc>
        <w:tc>
          <w:tcPr>
            <w:tcW w:w="260" w:type="dxa"/>
            <w:vAlign w:val="bottom"/>
            <w:tcBorders>
              <w:bottom w:val="single" w:sz="8" w:color="D4D4D4"/>
            </w:tcBorders>
            <w:shd w:val="clear" w:color="auto" w:fill="D4D4D4"/>
          </w:tcPr>
          <w:p>
            <w:pPr>
              <w:spacing w:after="0"/>
              <w:rPr>
                <w:sz w:val="18"/>
                <w:szCs w:val="18"/>
                <w:color w:val="auto"/>
              </w:rPr>
            </w:pPr>
          </w:p>
        </w:tc>
        <w:tc>
          <w:tcPr>
            <w:tcW w:w="1080" w:type="dxa"/>
            <w:vAlign w:val="bottom"/>
            <w:tcBorders>
              <w:bottom w:val="single" w:sz="8" w:color="D4D4D4"/>
            </w:tcBorders>
            <w:shd w:val="clear" w:color="auto" w:fill="D4D4D4"/>
          </w:tcPr>
          <w:p>
            <w:pPr>
              <w:spacing w:after="0"/>
              <w:rPr>
                <w:sz w:val="18"/>
                <w:szCs w:val="18"/>
                <w:color w:val="auto"/>
              </w:rPr>
            </w:pPr>
          </w:p>
        </w:tc>
        <w:tc>
          <w:tcPr>
            <w:tcW w:w="120" w:type="dxa"/>
            <w:vAlign w:val="bottom"/>
            <w:tcBorders>
              <w:bottom w:val="single" w:sz="8" w:color="D4D4D4"/>
            </w:tcBorders>
            <w:shd w:val="clear" w:color="auto" w:fill="D4D4D4"/>
          </w:tcPr>
          <w:p>
            <w:pPr>
              <w:spacing w:after="0"/>
              <w:rPr>
                <w:sz w:val="18"/>
                <w:szCs w:val="18"/>
                <w:color w:val="auto"/>
              </w:rPr>
            </w:pPr>
          </w:p>
        </w:tc>
        <w:tc>
          <w:tcPr>
            <w:tcW w:w="1140" w:type="dxa"/>
            <w:vAlign w:val="bottom"/>
            <w:tcBorders>
              <w:bottom w:val="single" w:sz="8" w:color="D4D4D4"/>
            </w:tcBorders>
            <w:shd w:val="clear" w:color="auto" w:fill="D4D4D4"/>
          </w:tcPr>
          <w:p>
            <w:pPr>
              <w:spacing w:after="0"/>
              <w:rPr>
                <w:sz w:val="18"/>
                <w:szCs w:val="18"/>
                <w:color w:val="auto"/>
              </w:rPr>
            </w:pPr>
          </w:p>
        </w:tc>
        <w:tc>
          <w:tcPr>
            <w:tcW w:w="280" w:type="dxa"/>
            <w:vAlign w:val="bottom"/>
            <w:tcBorders>
              <w:bottom w:val="single" w:sz="8" w:color="D4D4D4"/>
            </w:tcBorders>
            <w:shd w:val="clear" w:color="auto" w:fill="D4D4D4"/>
          </w:tcPr>
          <w:p>
            <w:pPr>
              <w:spacing w:after="0"/>
              <w:rPr>
                <w:sz w:val="18"/>
                <w:szCs w:val="18"/>
                <w:color w:val="auto"/>
              </w:rPr>
            </w:pPr>
          </w:p>
        </w:tc>
        <w:tc>
          <w:tcPr>
            <w:tcW w:w="1060" w:type="dxa"/>
            <w:vAlign w:val="bottom"/>
            <w:tcBorders>
              <w:bottom w:val="single" w:sz="8" w:color="D4D4D4"/>
            </w:tcBorders>
            <w:shd w:val="clear" w:color="auto" w:fill="D4D4D4"/>
          </w:tcPr>
          <w:p>
            <w:pPr>
              <w:spacing w:after="0"/>
              <w:rPr>
                <w:sz w:val="18"/>
                <w:szCs w:val="18"/>
                <w:color w:val="auto"/>
              </w:rPr>
            </w:pPr>
          </w:p>
        </w:tc>
        <w:tc>
          <w:tcPr>
            <w:tcW w:w="240" w:type="dxa"/>
            <w:vAlign w:val="bottom"/>
            <w:tcBorders>
              <w:bottom w:val="single" w:sz="8" w:color="D4D4D4"/>
            </w:tcBorders>
            <w:shd w:val="clear" w:color="auto" w:fill="D4D4D4"/>
          </w:tcPr>
          <w:p>
            <w:pPr>
              <w:spacing w:after="0"/>
              <w:rPr>
                <w:sz w:val="18"/>
                <w:szCs w:val="18"/>
                <w:color w:val="auto"/>
              </w:rPr>
            </w:pPr>
          </w:p>
        </w:tc>
        <w:tc>
          <w:tcPr>
            <w:tcW w:w="1080" w:type="dxa"/>
            <w:vAlign w:val="bottom"/>
            <w:tcBorders>
              <w:bottom w:val="single" w:sz="8" w:color="D4D4D4"/>
            </w:tcBorders>
            <w:shd w:val="clear" w:color="auto" w:fill="D4D4D4"/>
          </w:tcPr>
          <w:p>
            <w:pPr>
              <w:spacing w:after="0"/>
              <w:rPr>
                <w:sz w:val="18"/>
                <w:szCs w:val="18"/>
                <w:color w:val="auto"/>
              </w:rPr>
            </w:pPr>
          </w:p>
        </w:tc>
        <w:tc>
          <w:tcPr>
            <w:tcW w:w="400" w:type="dxa"/>
            <w:vAlign w:val="bottom"/>
            <w:tcBorders>
              <w:bottom w:val="single" w:sz="8" w:color="D4D4D4"/>
            </w:tcBorders>
            <w:shd w:val="clear" w:color="auto" w:fill="D4D4D4"/>
          </w:tcPr>
          <w:p>
            <w:pPr>
              <w:spacing w:after="0"/>
              <w:rPr>
                <w:sz w:val="18"/>
                <w:szCs w:val="18"/>
                <w:color w:val="auto"/>
              </w:rPr>
            </w:pPr>
          </w:p>
        </w:tc>
        <w:tc>
          <w:tcPr>
            <w:tcW w:w="960" w:type="dxa"/>
            <w:vAlign w:val="bottom"/>
            <w:tcBorders>
              <w:bottom w:val="single" w:sz="8" w:color="D4D4D4"/>
            </w:tcBorders>
            <w:shd w:val="clear" w:color="auto" w:fill="D4D4D4"/>
          </w:tcPr>
          <w:p>
            <w:pPr>
              <w:spacing w:after="0"/>
              <w:rPr>
                <w:sz w:val="18"/>
                <w:szCs w:val="1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ind w:left="180" w:right="880" w:hanging="172"/>
        <w:spacing w:after="0" w:line="261" w:lineRule="auto"/>
        <w:tabs>
          <w:tab w:leader="none" w:pos="172" w:val="left"/>
        </w:tabs>
        <w:numPr>
          <w:ilvl w:val="0"/>
          <w:numId w:val="53"/>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6" w:name="page77"/>
    <w:bookmarkEnd w:id="76"/>
    <w:p>
      <w:pPr>
        <w:ind w:right="22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fair value information at December 31, 2022 and 2021 for our short-term and long-term debt: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center"/>
              <w:ind w:left="884"/>
              <w:spacing w:after="0"/>
              <w:rPr>
                <w:sz w:val="20"/>
                <w:szCs w:val="20"/>
                <w:color w:val="auto"/>
              </w:rPr>
            </w:pPr>
            <w:r>
              <w:rPr>
                <w:rFonts w:ascii="Arial" w:cs="Arial" w:eastAsia="Arial" w:hAnsi="Arial"/>
                <w:sz w:val="13"/>
                <w:szCs w:val="13"/>
                <w:b w:val="1"/>
                <w:bCs w:val="1"/>
                <w:color w:val="auto"/>
                <w:w w:val="96"/>
              </w:rPr>
              <w:t>Fair Value Measurements Using</w:t>
            </w:r>
          </w:p>
        </w:tc>
        <w:tc>
          <w:tcPr>
            <w:tcW w:w="11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auto"/>
                <w:w w:val="96"/>
              </w:rPr>
              <w:t>Quoted Prices in</w:t>
            </w:r>
          </w:p>
        </w:tc>
        <w:tc>
          <w:tcPr>
            <w:tcW w:w="300" w:type="dxa"/>
            <w:vAlign w:val="bottom"/>
          </w:tcPr>
          <w:p>
            <w:pPr>
              <w:spacing w:after="0"/>
              <w:rPr>
                <w:sz w:val="10"/>
                <w:szCs w:val="10"/>
                <w:color w:val="auto"/>
              </w:rPr>
            </w:pPr>
          </w:p>
        </w:tc>
        <w:tc>
          <w:tcPr>
            <w:tcW w:w="1140" w:type="dxa"/>
            <w:vAlign w:val="bottom"/>
          </w:tcPr>
          <w:p>
            <w:pPr>
              <w:jc w:val="center"/>
              <w:ind w:right="185"/>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100" w:type="dxa"/>
            <w:vAlign w:val="bottom"/>
            <w:vMerge w:val="restart"/>
          </w:tcPr>
          <w:p>
            <w:pPr>
              <w:jc w:val="center"/>
              <w:ind w:right="144"/>
              <w:spacing w:after="0"/>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Other</w:t>
            </w:r>
          </w:p>
        </w:tc>
        <w:tc>
          <w:tcPr>
            <w:tcW w:w="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vMerge w:val="restart"/>
          </w:tcPr>
          <w:p>
            <w:pPr>
              <w:jc w:val="right"/>
              <w:ind w:right="419"/>
              <w:spacing w:after="0"/>
              <w:rPr>
                <w:sz w:val="20"/>
                <w:szCs w:val="20"/>
                <w:color w:val="auto"/>
              </w:rPr>
            </w:pPr>
            <w:r>
              <w:rPr>
                <w:rFonts w:ascii="Arial" w:cs="Arial" w:eastAsia="Arial" w:hAnsi="Arial"/>
                <w:sz w:val="13"/>
                <w:szCs w:val="13"/>
                <w:b w:val="1"/>
                <w:bCs w:val="1"/>
                <w:color w:val="auto"/>
              </w:rPr>
              <w:t>Carrying</w:t>
            </w:r>
          </w:p>
        </w:tc>
        <w:tc>
          <w:tcPr>
            <w:tcW w:w="13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300" w:type="dxa"/>
            <w:vAlign w:val="bottom"/>
          </w:tcPr>
          <w:p>
            <w:pPr>
              <w:spacing w:after="0"/>
              <w:rPr>
                <w:sz w:val="10"/>
                <w:szCs w:val="10"/>
                <w:color w:val="auto"/>
              </w:rPr>
            </w:pPr>
          </w:p>
        </w:tc>
        <w:tc>
          <w:tcPr>
            <w:tcW w:w="1140" w:type="dxa"/>
            <w:vAlign w:val="bottom"/>
          </w:tcPr>
          <w:p>
            <w:pPr>
              <w:jc w:val="center"/>
              <w:ind w:right="185"/>
              <w:spacing w:after="0" w:line="122" w:lineRule="exact"/>
              <w:rPr>
                <w:sz w:val="20"/>
                <w:szCs w:val="20"/>
                <w:color w:val="auto"/>
              </w:rPr>
            </w:pPr>
            <w:r>
              <w:rPr>
                <w:rFonts w:ascii="Arial" w:cs="Arial" w:eastAsia="Arial" w:hAnsi="Arial"/>
                <w:sz w:val="13"/>
                <w:szCs w:val="13"/>
                <w:b w:val="1"/>
                <w:bCs w:val="1"/>
                <w:color w:val="auto"/>
                <w:w w:val="95"/>
              </w:rPr>
              <w:t>Observable</w:t>
            </w:r>
          </w:p>
        </w:tc>
        <w:tc>
          <w:tcPr>
            <w:tcW w:w="280" w:type="dxa"/>
            <w:vAlign w:val="bottom"/>
          </w:tcPr>
          <w:p>
            <w:pPr>
              <w:spacing w:after="0"/>
              <w:rPr>
                <w:sz w:val="10"/>
                <w:szCs w:val="10"/>
                <w:color w:val="auto"/>
              </w:rPr>
            </w:pPr>
          </w:p>
        </w:tc>
        <w:tc>
          <w:tcPr>
            <w:tcW w:w="1100" w:type="dxa"/>
            <w:vAlign w:val="bottom"/>
          </w:tcPr>
          <w:p>
            <w:pPr>
              <w:jc w:val="center"/>
              <w:ind w:right="144"/>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0"/>
                <w:szCs w:val="10"/>
                <w:color w:val="auto"/>
              </w:rPr>
            </w:pPr>
          </w:p>
        </w:tc>
        <w:tc>
          <w:tcPr>
            <w:tcW w:w="1020" w:type="dxa"/>
            <w:vAlign w:val="bottom"/>
            <w:vMerge w:val="restart"/>
          </w:tcPr>
          <w:p>
            <w:pPr>
              <w:jc w:val="right"/>
              <w:ind w:right="45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00" w:type="dxa"/>
            <w:vAlign w:val="bottom"/>
          </w:tcPr>
          <w:p>
            <w:pPr>
              <w:spacing w:after="0"/>
              <w:rPr>
                <w:sz w:val="11"/>
                <w:szCs w:val="11"/>
                <w:color w:val="auto"/>
              </w:rPr>
            </w:pPr>
          </w:p>
        </w:tc>
        <w:tc>
          <w:tcPr>
            <w:tcW w:w="114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Inputs</w:t>
            </w:r>
          </w:p>
        </w:tc>
        <w:tc>
          <w:tcPr>
            <w:tcW w:w="280" w:type="dxa"/>
            <w:vAlign w:val="bottom"/>
          </w:tcPr>
          <w:p>
            <w:pPr>
              <w:spacing w:after="0"/>
              <w:rPr>
                <w:sz w:val="11"/>
                <w:szCs w:val="11"/>
                <w:color w:val="auto"/>
              </w:rPr>
            </w:pPr>
          </w:p>
        </w:tc>
        <w:tc>
          <w:tcPr>
            <w:tcW w:w="1100" w:type="dxa"/>
            <w:vAlign w:val="bottom"/>
          </w:tcPr>
          <w:p>
            <w:pPr>
              <w:jc w:val="center"/>
              <w:ind w:right="164"/>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(Level 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8"/>
              </w:rPr>
              <w:t>(Level 2)</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94"/>
              </w:rPr>
              <w:t>(Level 3)</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5"/>
        </w:trPr>
        <w:tc>
          <w:tcPr>
            <w:tcW w:w="3740" w:type="dxa"/>
            <w:vAlign w:val="bottom"/>
            <w:shd w:val="clear" w:color="auto" w:fill="DBDBDB"/>
          </w:tcPr>
          <w:p>
            <w:pPr>
              <w:spacing w:after="0"/>
              <w:rPr>
                <w:sz w:val="20"/>
                <w:szCs w:val="20"/>
                <w:color w:val="auto"/>
              </w:rPr>
            </w:pPr>
            <w:r>
              <w:rPr>
                <w:rFonts w:ascii="Arial" w:cs="Arial" w:eastAsia="Arial" w:hAnsi="Arial"/>
                <w:sz w:val="18"/>
                <w:szCs w:val="18"/>
                <w:color w:val="auto"/>
              </w:rPr>
              <w:t>Short-term commercial paper borrowings</w:t>
            </w:r>
          </w:p>
        </w:tc>
        <w:tc>
          <w:tcPr>
            <w:tcW w:w="7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60"/>
              <w:spacing w:after="0"/>
              <w:rPr>
                <w:sz w:val="20"/>
                <w:szCs w:val="20"/>
                <w:color w:val="auto"/>
              </w:rPr>
            </w:pPr>
            <w:r>
              <w:rPr>
                <w:rFonts w:ascii="Arial" w:cs="Arial" w:eastAsia="Arial" w:hAnsi="Arial"/>
                <w:sz w:val="18"/>
                <w:szCs w:val="18"/>
                <w:color w:val="auto"/>
              </w:rPr>
              <w:t>December 31, 2022</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9"/>
              <w:spacing w:after="0"/>
              <w:rPr>
                <w:sz w:val="20"/>
                <w:szCs w:val="20"/>
                <w:color w:val="auto"/>
              </w:rPr>
            </w:pPr>
            <w:r>
              <w:rPr>
                <w:rFonts w:ascii="Arial" w:cs="Arial" w:eastAsia="Arial" w:hAnsi="Arial"/>
                <w:sz w:val="18"/>
                <w:szCs w:val="18"/>
                <w:b w:val="1"/>
                <w:bCs w:val="1"/>
                <w:color w:val="auto"/>
              </w:rPr>
              <w:t>(1,498.0)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8"/>
                <w:szCs w:val="18"/>
                <w:b w:val="1"/>
                <w:bCs w:val="1"/>
                <w:color w:val="auto"/>
              </w:rPr>
              <w:t>(1,492.0)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(1,492.0)</w:t>
            </w:r>
          </w:p>
        </w:tc>
        <w:tc>
          <w:tcPr>
            <w:tcW w:w="0" w:type="dxa"/>
            <w:vAlign w:val="bottom"/>
          </w:tcPr>
          <w:p>
            <w:pPr>
              <w:spacing w:after="0"/>
              <w:rPr>
                <w:sz w:val="1"/>
                <w:szCs w:val="1"/>
                <w:color w:val="auto"/>
              </w:rPr>
            </w:pPr>
          </w:p>
        </w:tc>
      </w:tr>
      <w:tr>
        <w:trPr>
          <w:trHeight w:val="229"/>
        </w:trPr>
        <w:tc>
          <w:tcPr>
            <w:tcW w:w="3740" w:type="dxa"/>
            <w:vAlign w:val="bottom"/>
            <w:shd w:val="clear" w:color="auto" w:fill="DBDBDB"/>
          </w:tcPr>
          <w:p>
            <w:pPr>
              <w:ind w:left="160"/>
              <w:spacing w:after="0"/>
              <w:rPr>
                <w:sz w:val="20"/>
                <w:szCs w:val="20"/>
                <w:color w:val="auto"/>
              </w:rPr>
            </w:pPr>
            <w:r>
              <w:rPr>
                <w:rFonts w:ascii="Arial" w:cs="Arial" w:eastAsia="Arial" w:hAnsi="Arial"/>
                <w:sz w:val="18"/>
                <w:szCs w:val="18"/>
                <w:color w:val="auto"/>
              </w:rPr>
              <w:t>December 31, 2021</w:t>
            </w:r>
          </w:p>
        </w:tc>
        <w:tc>
          <w:tcPr>
            <w:tcW w:w="72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99"/>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45"/>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DBDBDB"/>
          </w:tcPr>
          <w:p>
            <w:pPr>
              <w:ind w:left="160"/>
              <w:spacing w:after="0"/>
              <w:rPr>
                <w:sz w:val="20"/>
                <w:szCs w:val="20"/>
                <w:color w:val="auto"/>
              </w:rPr>
            </w:pPr>
            <w:r>
              <w:rPr>
                <w:rFonts w:ascii="Arial" w:cs="Arial" w:eastAsia="Arial" w:hAnsi="Arial"/>
                <w:sz w:val="18"/>
                <w:szCs w:val="18"/>
                <w:color w:val="auto"/>
              </w:rPr>
              <w:t>December 31, 2022</w:t>
            </w:r>
          </w:p>
        </w:tc>
        <w:tc>
          <w:tcPr>
            <w:tcW w:w="72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BDBDB"/>
          </w:tcPr>
          <w:p>
            <w:pPr>
              <w:jc w:val="right"/>
              <w:ind w:right="59"/>
              <w:spacing w:after="0"/>
              <w:rPr>
                <w:sz w:val="20"/>
                <w:szCs w:val="20"/>
                <w:color w:val="auto"/>
              </w:rPr>
            </w:pPr>
            <w:r>
              <w:rPr>
                <w:rFonts w:ascii="Arial" w:cs="Arial" w:eastAsia="Arial" w:hAnsi="Arial"/>
                <w:sz w:val="18"/>
                <w:szCs w:val="18"/>
                <w:b w:val="1"/>
                <w:bCs w:val="1"/>
                <w:color w:val="auto"/>
              </w:rPr>
              <w:t>(14,740.6)</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ind w:left="9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
              <w:spacing w:after="0"/>
              <w:rPr>
                <w:sz w:val="20"/>
                <w:szCs w:val="20"/>
                <w:color w:val="auto"/>
              </w:rPr>
            </w:pPr>
            <w:r>
              <w:rPr>
                <w:rFonts w:ascii="Arial" w:cs="Arial" w:eastAsia="Arial" w:hAnsi="Arial"/>
                <w:sz w:val="18"/>
                <w:szCs w:val="18"/>
                <w:b w:val="1"/>
                <w:bCs w:val="1"/>
                <w:color w:val="auto"/>
              </w:rPr>
              <w:t>(12,329.3)</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(12,329.3)</w:t>
            </w:r>
          </w:p>
        </w:tc>
        <w:tc>
          <w:tcPr>
            <w:tcW w:w="0" w:type="dxa"/>
            <w:vAlign w:val="bottom"/>
          </w:tcPr>
          <w:p>
            <w:pPr>
              <w:spacing w:after="0"/>
              <w:rPr>
                <w:sz w:val="1"/>
                <w:szCs w:val="1"/>
                <w:color w:val="auto"/>
              </w:rPr>
            </w:pPr>
          </w:p>
        </w:tc>
      </w:tr>
      <w:tr>
        <w:trPr>
          <w:trHeight w:val="239"/>
        </w:trPr>
        <w:tc>
          <w:tcPr>
            <w:tcW w:w="3740" w:type="dxa"/>
            <w:vAlign w:val="bottom"/>
          </w:tcPr>
          <w:p>
            <w:pPr>
              <w:ind w:left="160"/>
              <w:spacing w:after="0"/>
              <w:rPr>
                <w:sz w:val="20"/>
                <w:szCs w:val="20"/>
                <w:color w:val="auto"/>
              </w:rPr>
            </w:pPr>
            <w:r>
              <w:rPr>
                <w:rFonts w:ascii="Arial" w:cs="Arial" w:eastAsia="Arial" w:hAnsi="Arial"/>
                <w:sz w:val="18"/>
                <w:szCs w:val="18"/>
                <w:color w:val="auto"/>
              </w:rPr>
              <w:t>December 31, 2021</w:t>
            </w:r>
          </w:p>
        </w:tc>
        <w:tc>
          <w:tcPr>
            <w:tcW w:w="72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(16,884.7)</w:t>
            </w:r>
          </w:p>
        </w:tc>
        <w:tc>
          <w:tcPr>
            <w:tcW w:w="14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ind w:right="5"/>
              <w:spacing w:after="0"/>
              <w:rPr>
                <w:sz w:val="20"/>
                <w:szCs w:val="20"/>
                <w:color w:val="auto"/>
              </w:rPr>
            </w:pPr>
            <w:r>
              <w:rPr>
                <w:rFonts w:ascii="Arial" w:cs="Arial" w:eastAsia="Arial" w:hAnsi="Arial"/>
                <w:sz w:val="18"/>
                <w:szCs w:val="18"/>
                <w:color w:val="auto"/>
              </w:rPr>
              <w:t>(18,157.7)</w:t>
            </w:r>
          </w:p>
        </w:tc>
        <w:tc>
          <w:tcPr>
            <w:tcW w:w="28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(18,157.7)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investment grade credit ratings.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accounted for as sales and result in a reduction in accounts receivable because the agreements transfer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over and risk related to the receivables to the buyers. Our factoring agreements do not allow for recourse in the event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uncollectibility, and we do not retain any interest in the underlying accounts receivable once sold. We derecognized $422.1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$550.5 million of accounts receivable as of December 31, 2022 and 2021, respectively, under these factoring arrangements. The costs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factoring such accounts receivable on our consolidated results of operations for the years ended December 31, 2022, 2021, and 2020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material.</w:t>
      </w:r>
    </w:p>
    <w:p>
      <w:pPr>
        <w:spacing w:after="0" w:line="99"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17)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17). Derivative contracts that are not designated as hedging instruments are recorded at fair value with the gain or loss recognized in earnings during the period of change.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60"/>
        <w:spacing w:after="0" w:line="255"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Chinese yuan, Japanese yen, and Swiss franc).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2022, we had outstanding foreign currency forward commitments as follows, all of which have settlement dates within 180 days: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35" w:lineRule="exact"/>
        <w:rPr>
          <w:sz w:val="20"/>
          <w:szCs w:val="20"/>
          <w:color w:val="auto"/>
        </w:rPr>
      </w:pPr>
    </w:p>
    <w:tbl>
      <w:tblPr>
        <w:tblLayout w:type="fixed"/>
        <w:tblInd w:w="2340" w:type="dxa"/>
        <w:tblCellMar>
          <w:top w:w="0" w:type="dxa"/>
          <w:left w:w="0" w:type="dxa"/>
          <w:bottom w:w="0" w:type="dxa"/>
          <w:right w:w="0" w:type="dxa"/>
        </w:tblCellMar>
      </w:tblPr>
      <w:tr>
        <w:trPr>
          <w:trHeight w:val="197"/>
        </w:trPr>
        <w:tc>
          <w:tcPr>
            <w:tcW w:w="122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tcPr>
          <w:p>
            <w:pPr>
              <w:jc w:val="right"/>
              <w:ind w:right="1195"/>
              <w:spacing w:after="0"/>
              <w:rPr>
                <w:sz w:val="20"/>
                <w:szCs w:val="20"/>
                <w:color w:val="auto"/>
              </w:rPr>
            </w:pPr>
            <w:r>
              <w:rPr>
                <w:rFonts w:ascii="Arial" w:cs="Arial" w:eastAsia="Arial" w:hAnsi="Arial"/>
                <w:sz w:val="14"/>
                <w:szCs w:val="14"/>
                <w:b w:val="1"/>
                <w:bCs w:val="1"/>
                <w:color w:val="auto"/>
              </w:rPr>
              <w:t>Purchase</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395"/>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47"/>
        </w:trPr>
        <w:tc>
          <w:tcPr>
            <w:tcW w:w="12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Currency</w:t>
            </w:r>
          </w:p>
        </w:tc>
        <w:tc>
          <w:tcPr>
            <w:tcW w:w="2140" w:type="dxa"/>
            <w:vAlign w:val="bottom"/>
            <w:gridSpan w:val="2"/>
          </w:tcPr>
          <w:p>
            <w:pPr>
              <w:jc w:val="center"/>
              <w:ind w:left="135"/>
              <w:spacing w:after="0" w:line="147" w:lineRule="exact"/>
              <w:rPr>
                <w:sz w:val="20"/>
                <w:szCs w:val="20"/>
                <w:color w:val="auto"/>
              </w:rPr>
            </w:pPr>
            <w:r>
              <w:rPr>
                <w:rFonts w:ascii="Arial" w:cs="Arial" w:eastAsia="Arial" w:hAnsi="Arial"/>
                <w:sz w:val="14"/>
                <w:szCs w:val="14"/>
                <w:b w:val="1"/>
                <w:bCs w:val="1"/>
                <w:color w:val="auto"/>
              </w:rPr>
              <w:t>Amount</w:t>
            </w: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Currency</w:t>
            </w:r>
          </w:p>
        </w:tc>
        <w:tc>
          <w:tcPr>
            <w:tcW w:w="1900" w:type="dxa"/>
            <w:vAlign w:val="bottom"/>
          </w:tcPr>
          <w:p>
            <w:pPr>
              <w:jc w:val="right"/>
              <w:ind w:right="435"/>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dollars</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2,516.2</w:t>
            </w:r>
          </w:p>
        </w:tc>
        <w:tc>
          <w:tcPr>
            <w:tcW w:w="16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20"/>
                <w:szCs w:val="20"/>
                <w:color w:val="auto"/>
              </w:rPr>
            </w:pPr>
            <w:r>
              <w:rPr>
                <w:rFonts w:ascii="Arial" w:cs="Arial" w:eastAsia="Arial" w:hAnsi="Arial"/>
                <w:sz w:val="18"/>
                <w:szCs w:val="18"/>
                <w:color w:val="auto"/>
              </w:rPr>
              <w:t>Euro</w:t>
            </w: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2,369.2</w:t>
            </w: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Arial" w:cs="Arial" w:eastAsia="Arial" w:hAnsi="Arial"/>
                <w:sz w:val="18"/>
                <w:szCs w:val="18"/>
                <w:color w:val="auto"/>
              </w:rPr>
              <w:t>Euro</w:t>
            </w:r>
          </w:p>
        </w:tc>
        <w:tc>
          <w:tcPr>
            <w:tcW w:w="1980" w:type="dxa"/>
            <w:vAlign w:val="bottom"/>
          </w:tcPr>
          <w:p>
            <w:pPr>
              <w:jc w:val="right"/>
              <w:spacing w:after="0"/>
              <w:rPr>
                <w:sz w:val="20"/>
                <w:szCs w:val="20"/>
                <w:color w:val="auto"/>
              </w:rPr>
            </w:pPr>
            <w:r>
              <w:rPr>
                <w:rFonts w:ascii="Arial" w:cs="Arial" w:eastAsia="Arial" w:hAnsi="Arial"/>
                <w:sz w:val="18"/>
                <w:szCs w:val="18"/>
                <w:color w:val="auto"/>
              </w:rPr>
              <w:t>3,371.1</w:t>
            </w:r>
          </w:p>
        </w:tc>
        <w:tc>
          <w:tcPr>
            <w:tcW w:w="16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3,575.3</w:t>
            </w:r>
          </w:p>
        </w:tc>
        <w:tc>
          <w:tcPr>
            <w:tcW w:w="0" w:type="dxa"/>
            <w:vAlign w:val="bottom"/>
          </w:tcPr>
          <w:p>
            <w:pPr>
              <w:spacing w:after="0"/>
              <w:rPr>
                <w:sz w:val="1"/>
                <w:szCs w:val="1"/>
                <w:color w:val="auto"/>
              </w:rPr>
            </w:pPr>
          </w:p>
        </w:tc>
      </w:tr>
      <w:tr>
        <w:trPr>
          <w:trHeight w:val="229"/>
        </w:trPr>
        <w:tc>
          <w:tcPr>
            <w:tcW w:w="1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dollars</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199.8</w:t>
            </w:r>
          </w:p>
        </w:tc>
        <w:tc>
          <w:tcPr>
            <w:tcW w:w="16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20"/>
                <w:szCs w:val="20"/>
                <w:color w:val="auto"/>
              </w:rPr>
            </w:pPr>
            <w:r>
              <w:rPr>
                <w:rFonts w:ascii="Arial" w:cs="Arial" w:eastAsia="Arial" w:hAnsi="Arial"/>
                <w:sz w:val="18"/>
                <w:szCs w:val="18"/>
                <w:color w:val="auto"/>
              </w:rPr>
              <w:t>Chinese yuan</w:t>
            </w: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1980" w:type="dxa"/>
            <w:vAlign w:val="bottom"/>
          </w:tcPr>
          <w:p>
            <w:pPr>
              <w:jc w:val="right"/>
              <w:spacing w:after="0"/>
              <w:rPr>
                <w:sz w:val="20"/>
                <w:szCs w:val="20"/>
                <w:color w:val="auto"/>
              </w:rPr>
            </w:pPr>
            <w:r>
              <w:rPr>
                <w:rFonts w:ascii="Arial" w:cs="Arial" w:eastAsia="Arial" w:hAnsi="Arial"/>
                <w:sz w:val="18"/>
                <w:szCs w:val="18"/>
                <w:color w:val="auto"/>
              </w:rPr>
              <w:t>14,139.9</w:t>
            </w:r>
          </w:p>
        </w:tc>
        <w:tc>
          <w:tcPr>
            <w:tcW w:w="16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9"/>
        </w:trPr>
        <w:tc>
          <w:tcPr>
            <w:tcW w:w="1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dollars</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20"/>
                <w:szCs w:val="20"/>
                <w:color w:val="auto"/>
              </w:rPr>
            </w:pPr>
            <w:r>
              <w:rPr>
                <w:rFonts w:ascii="Arial" w:cs="Arial" w:eastAsia="Arial" w:hAnsi="Arial"/>
                <w:sz w:val="18"/>
                <w:szCs w:val="18"/>
                <w:color w:val="auto"/>
              </w:rPr>
              <w:t>Japanese yen</w:t>
            </w: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12,212.2</w:t>
            </w: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British pounds</w:t>
            </w:r>
          </w:p>
        </w:tc>
        <w:tc>
          <w:tcPr>
            <w:tcW w:w="1980" w:type="dxa"/>
            <w:vAlign w:val="bottom"/>
          </w:tcPr>
          <w:p>
            <w:pPr>
              <w:jc w:val="right"/>
              <w:spacing w:after="0"/>
              <w:rPr>
                <w:sz w:val="20"/>
                <w:szCs w:val="20"/>
                <w:color w:val="auto"/>
              </w:rPr>
            </w:pPr>
            <w:r>
              <w:rPr>
                <w:rFonts w:ascii="Arial" w:cs="Arial" w:eastAsia="Arial" w:hAnsi="Arial"/>
                <w:sz w:val="18"/>
                <w:szCs w:val="18"/>
                <w:color w:val="auto"/>
              </w:rPr>
              <w:t>207.1</w:t>
            </w:r>
          </w:p>
        </w:tc>
        <w:tc>
          <w:tcPr>
            <w:tcW w:w="16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29"/>
        </w:trPr>
        <w:tc>
          <w:tcPr>
            <w:tcW w:w="1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Swiss franc</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20"/>
                <w:szCs w:val="20"/>
                <w:color w:val="auto"/>
              </w:rPr>
            </w:pPr>
            <w:r>
              <w:rPr>
                <w:rFonts w:ascii="Arial" w:cs="Arial" w:eastAsia="Arial" w:hAnsi="Arial"/>
                <w:sz w:val="18"/>
                <w:szCs w:val="18"/>
                <w:color w:val="auto"/>
              </w:rPr>
              <w:t>U.S. dollars</w:t>
            </w: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Foreign currency exchange risk is also managed through the use of foreign currency debt, cross-currency interest rate swaps, and foreign currency forward contracts. Our foreign currency-denominated notes had carrying amounts of $6.83 billion and $7.90 billion as of December 31, 2022 and 2021, respectively, of which $5.45 billion and $5.79 billion have been designated as, and are effective as, economic hedges of net investments in certain of our foreign operations as of December 31, 2022 and 2021, respectively. At December 31, 2022, we had outstanding cross currency swaps with notional amounts of $1.02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 rate debt, have also been designated as, and are effective as, economic hedges of net investments. At December 31, 2022, we had outstanding foreign currency forward contracts to sell</w:t>
      </w:r>
    </w:p>
    <w:p>
      <w:pPr>
        <w:ind w:right="300"/>
        <w:spacing w:after="0" w:line="266" w:lineRule="auto"/>
        <w:rPr>
          <w:sz w:val="20"/>
          <w:szCs w:val="20"/>
          <w:color w:val="auto"/>
        </w:rPr>
      </w:pPr>
      <w:r>
        <w:rPr>
          <w:rFonts w:ascii="Arial" w:cs="Arial" w:eastAsia="Arial" w:hAnsi="Arial"/>
          <w:sz w:val="18"/>
          <w:szCs w:val="18"/>
          <w:color w:val="auto"/>
        </w:rPr>
        <w:t>325.0 million euro and to sell 1.82 billion Chinese yuan, with settlement dates ranging through 2023, which have been designated as, and are effective as, economic hedges of net investments.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2022, substantially all of our total long-term debt is at a fixed rate. We have converted approximately 10 percent of our long-term fixed-rate notes to floating rates through the use of interest rate swaps.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right="40"/>
        <w:spacing w:after="0" w:line="257"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17) and, upon completion of a debt issuance and termination of the swap, is amortized to interest expense over the life of the underlying debt. As of December 31, 2022, the total notional amounts of forward-starting interest rate contracts in designated cash flow hedging instruments were $1.85 billion, which have settlement dates ranging between 2023 and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 Management Instruments on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hedges: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68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209.8</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78.5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20" w:type="dxa"/>
            <w:vAlign w:val="bottom"/>
            <w:shd w:val="clear" w:color="auto" w:fill="D8D8D8"/>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32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16.5</w:t>
            </w:r>
          </w:p>
        </w:tc>
        <w:tc>
          <w:tcPr>
            <w:tcW w:w="40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color w:val="auto"/>
              </w:rPr>
              <w:t>16.6</w:t>
            </w:r>
          </w:p>
        </w:tc>
        <w:tc>
          <w:tcPr>
            <w:tcW w:w="3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68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loss</w:t>
            </w:r>
          </w:p>
        </w:tc>
        <w:tc>
          <w:tcPr>
            <w:tcW w:w="320" w:type="dxa"/>
            <w:vAlign w:val="bottom"/>
            <w:shd w:val="clear" w:color="auto" w:fill="D8D8D8"/>
          </w:tcPr>
          <w:p>
            <w:pPr>
              <w:spacing w:after="0"/>
              <w:rPr>
                <w:sz w:val="21"/>
                <w:szCs w:val="21"/>
                <w:color w:val="auto"/>
              </w:rPr>
            </w:pPr>
          </w:p>
        </w:tc>
        <w:tc>
          <w:tcPr>
            <w:tcW w:w="1120" w:type="dxa"/>
            <w:vAlign w:val="bottom"/>
            <w:vMerge w:val="continue"/>
            <w:shd w:val="clear" w:color="auto" w:fill="D8D8D8"/>
          </w:tcPr>
          <w:p>
            <w:pPr>
              <w:spacing w:after="0"/>
              <w:rPr>
                <w:sz w:val="21"/>
                <w:szCs w:val="21"/>
                <w:color w:val="auto"/>
              </w:rPr>
            </w:pPr>
          </w:p>
        </w:tc>
        <w:tc>
          <w:tcPr>
            <w:tcW w:w="400" w:type="dxa"/>
            <w:vAlign w:val="bottom"/>
            <w:shd w:val="clear" w:color="auto" w:fill="D8D8D8"/>
          </w:tcPr>
          <w:p>
            <w:pPr>
              <w:spacing w:after="0"/>
              <w:rPr>
                <w:sz w:val="21"/>
                <w:szCs w:val="21"/>
                <w:color w:val="auto"/>
              </w:rPr>
            </w:pPr>
          </w:p>
        </w:tc>
        <w:tc>
          <w:tcPr>
            <w:tcW w:w="1120" w:type="dxa"/>
            <w:vAlign w:val="bottom"/>
            <w:vMerge w:val="continue"/>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108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8.6</w:t>
            </w:r>
          </w:p>
        </w:tc>
        <w:tc>
          <w:tcPr>
            <w:tcW w:w="4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76"/>
        </w:trPr>
        <w:tc>
          <w:tcPr>
            <w:tcW w:w="68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 not designated as</w:t>
            </w:r>
          </w:p>
        </w:tc>
        <w:tc>
          <w:tcPr>
            <w:tcW w:w="32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191.3</w:t>
            </w:r>
          </w:p>
        </w:tc>
        <w:tc>
          <w:tcPr>
            <w:tcW w:w="40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33"/>
              <w:spacing w:after="0"/>
              <w:rPr>
                <w:sz w:val="20"/>
                <w:szCs w:val="20"/>
                <w:color w:val="auto"/>
              </w:rPr>
            </w:pPr>
            <w:r>
              <w:rPr>
                <w:rFonts w:ascii="Arial" w:cs="Arial" w:eastAsia="Arial" w:hAnsi="Arial"/>
                <w:sz w:val="18"/>
                <w:szCs w:val="18"/>
                <w:color w:val="auto"/>
              </w:rPr>
              <w:t>204.6</w:t>
            </w:r>
          </w:p>
        </w:tc>
        <w:tc>
          <w:tcPr>
            <w:tcW w:w="380" w:type="dxa"/>
            <w:vAlign w:val="bottom"/>
            <w:shd w:val="clear" w:color="auto" w:fill="D8D8D8"/>
          </w:tcPr>
          <w:p>
            <w:pPr>
              <w:spacing w:after="0"/>
              <w:rPr>
                <w:sz w:val="15"/>
                <w:szCs w:val="15"/>
                <w:color w:val="auto"/>
              </w:rPr>
            </w:pP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43"/>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hedging instruments</w:t>
            </w:r>
          </w:p>
        </w:tc>
        <w:tc>
          <w:tcPr>
            <w:tcW w:w="320" w:type="dxa"/>
            <w:vAlign w:val="bottom"/>
            <w:tcBorders>
              <w:bottom w:val="single" w:sz="8" w:color="auto"/>
            </w:tcBorders>
            <w:shd w:val="clear" w:color="auto" w:fill="D8D8D8"/>
          </w:tcPr>
          <w:p>
            <w:pPr>
              <w:spacing w:after="0"/>
              <w:rPr>
                <w:sz w:val="21"/>
                <w:szCs w:val="21"/>
                <w:color w:val="auto"/>
              </w:rPr>
            </w:pPr>
          </w:p>
        </w:tc>
        <w:tc>
          <w:tcPr>
            <w:tcW w:w="1120" w:type="dxa"/>
            <w:vAlign w:val="bottom"/>
            <w:tcBorders>
              <w:bottom w:val="single" w:sz="8" w:color="auto"/>
            </w:tcBorders>
            <w:vMerge w:val="continue"/>
            <w:shd w:val="clear" w:color="auto" w:fill="D8D8D8"/>
          </w:tcPr>
          <w:p>
            <w:pPr>
              <w:spacing w:after="0"/>
              <w:rPr>
                <w:sz w:val="21"/>
                <w:szCs w:val="21"/>
                <w:color w:val="auto"/>
              </w:rPr>
            </w:pPr>
          </w:p>
        </w:tc>
        <w:tc>
          <w:tcPr>
            <w:tcW w:w="400" w:type="dxa"/>
            <w:vAlign w:val="bottom"/>
            <w:tcBorders>
              <w:bottom w:val="single" w:sz="8" w:color="auto"/>
            </w:tcBorders>
            <w:shd w:val="clear" w:color="auto" w:fill="D8D8D8"/>
          </w:tcPr>
          <w:p>
            <w:pPr>
              <w:spacing w:after="0"/>
              <w:rPr>
                <w:sz w:val="21"/>
                <w:szCs w:val="21"/>
                <w:color w:val="auto"/>
              </w:rPr>
            </w:pPr>
          </w:p>
        </w:tc>
        <w:tc>
          <w:tcPr>
            <w:tcW w:w="1120" w:type="dxa"/>
            <w:vAlign w:val="bottom"/>
            <w:tcBorders>
              <w:bottom w:val="single" w:sz="8" w:color="auto"/>
            </w:tcBorders>
            <w:vMerge w:val="continue"/>
            <w:shd w:val="clear" w:color="auto" w:fill="D8D8D8"/>
          </w:tcPr>
          <w:p>
            <w:pPr>
              <w:spacing w:after="0"/>
              <w:rPr>
                <w:sz w:val="21"/>
                <w:szCs w:val="21"/>
                <w:color w:val="auto"/>
              </w:rPr>
            </w:pPr>
          </w:p>
        </w:tc>
        <w:tc>
          <w:tcPr>
            <w:tcW w:w="380" w:type="dxa"/>
            <w:vAlign w:val="bottom"/>
            <w:tcBorders>
              <w:bottom w:val="single" w:sz="8" w:color="auto"/>
            </w:tcBorders>
            <w:shd w:val="clear" w:color="auto" w:fill="D8D8D8"/>
          </w:tcPr>
          <w:p>
            <w:pPr>
              <w:spacing w:after="0"/>
              <w:rPr>
                <w:sz w:val="21"/>
                <w:szCs w:val="21"/>
                <w:color w:val="auto"/>
              </w:rPr>
            </w:pPr>
          </w:p>
        </w:tc>
        <w:tc>
          <w:tcPr>
            <w:tcW w:w="1080" w:type="dxa"/>
            <w:vAlign w:val="bottom"/>
            <w:tcBorders>
              <w:bottom w:val="single" w:sz="8" w:color="auto"/>
            </w:tcBorders>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263.0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During the years ended December 31, 2022, 2021, and 2020, the amortization of losses related to the portion of our risk management hedging instruments, fair value hedges, and cash flow hedges that was excluded from the assessment of effectiveness was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investment hedges:</w:t>
            </w:r>
          </w:p>
        </w:tc>
        <w:tc>
          <w:tcPr>
            <w:tcW w:w="27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2700" w:type="dxa"/>
            <w:vAlign w:val="bottom"/>
          </w:tcPr>
          <w:p>
            <w:pPr>
              <w:jc w:val="right"/>
              <w:ind w:right="65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324.9</w:t>
            </w:r>
          </w:p>
        </w:tc>
        <w:tc>
          <w:tcPr>
            <w:tcW w:w="94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435.0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(404.0)</w:t>
            </w:r>
          </w:p>
        </w:tc>
      </w:tr>
      <w:tr>
        <w:trPr>
          <w:trHeight w:val="230"/>
        </w:trPr>
        <w:tc>
          <w:tcPr>
            <w:tcW w:w="4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Cross-currency interest rate swaps</w:t>
            </w:r>
          </w:p>
        </w:tc>
        <w:tc>
          <w:tcPr>
            <w:tcW w:w="27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52.0</w:t>
            </w:r>
          </w:p>
        </w:tc>
        <w:tc>
          <w:tcPr>
            <w:tcW w:w="94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7"/>
              </w:rPr>
              <w:t>213.7</w:t>
            </w:r>
          </w:p>
        </w:tc>
        <w:tc>
          <w:tcPr>
            <w:tcW w:w="4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(207.9)</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2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9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hedges:</w:t>
            </w:r>
          </w:p>
        </w:tc>
        <w:tc>
          <w:tcPr>
            <w:tcW w:w="27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2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391.5</w:t>
            </w:r>
          </w:p>
        </w:tc>
        <w:tc>
          <w:tcPr>
            <w:tcW w:w="9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4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Cross-currency interest rate swaps</w:t>
            </w:r>
          </w:p>
        </w:tc>
        <w:tc>
          <w:tcPr>
            <w:tcW w:w="27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29.8</w:t>
            </w:r>
          </w:p>
        </w:tc>
        <w:tc>
          <w:tcPr>
            <w:tcW w:w="94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42.3</w:t>
            </w:r>
          </w:p>
        </w:tc>
        <w:tc>
          <w:tcPr>
            <w:tcW w:w="4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(53.7)</w:t>
            </w:r>
          </w:p>
        </w:tc>
      </w:tr>
    </w:tbl>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next 12 months, we expect to reclassify $ 16.8 million of pretax net losses on cash flow hedges from accumulated other comprehensive income (loss) to other–net, (income) expense. During the years ended December 31, 2022, 2021, and 2020, the amounts excluded from the assessment of hedge effectiveness recognized in other comprehensive income (loss) were not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following table summarizes certain fair value information at December 31, 2022 and 2021 for risk-management assets and liabilities measured at fair value on a recurring basis: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180" w:type="dxa"/>
            <w:vAlign w:val="bottom"/>
          </w:tcPr>
          <w:p>
            <w:pPr>
              <w:jc w:val="center"/>
              <w:ind w:right="259"/>
              <w:spacing w:after="0" w:line="119" w:lineRule="exact"/>
              <w:rPr>
                <w:sz w:val="20"/>
                <w:szCs w:val="20"/>
                <w:color w:val="auto"/>
              </w:rPr>
            </w:pPr>
            <w:r>
              <w:rPr>
                <w:rFonts w:ascii="Arial" w:cs="Arial" w:eastAsia="Arial" w:hAnsi="Arial"/>
                <w:sz w:val="13"/>
                <w:szCs w:val="13"/>
                <w:b w:val="1"/>
                <w:bCs w:val="1"/>
                <w:color w:val="auto"/>
                <w:w w:val="96"/>
              </w:rPr>
              <w:t>Significant</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6"/>
              </w:rPr>
              <w:t>Significant</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259"/>
              <w:spacing w:after="0" w:line="135" w:lineRule="exact"/>
              <w:rPr>
                <w:sz w:val="20"/>
                <w:szCs w:val="20"/>
                <w:color w:val="auto"/>
              </w:rPr>
            </w:pPr>
            <w:r>
              <w:rPr>
                <w:rFonts w:ascii="Arial" w:cs="Arial" w:eastAsia="Arial" w:hAnsi="Arial"/>
                <w:sz w:val="13"/>
                <w:szCs w:val="13"/>
                <w:b w:val="1"/>
                <w:bCs w:val="1"/>
                <w:color w:val="auto"/>
                <w:w w:val="92"/>
              </w:rPr>
              <w:t>Other</w:t>
            </w:r>
          </w:p>
        </w:tc>
        <w:tc>
          <w:tcPr>
            <w:tcW w:w="160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375"/>
              <w:spacing w:after="0"/>
              <w:rPr>
                <w:sz w:val="20"/>
                <w:szCs w:val="20"/>
                <w:color w:val="auto"/>
              </w:rPr>
            </w:pPr>
            <w:r>
              <w:rPr>
                <w:rFonts w:ascii="Arial" w:cs="Arial" w:eastAsia="Arial" w:hAnsi="Arial"/>
                <w:sz w:val="13"/>
                <w:szCs w:val="13"/>
                <w:b w:val="1"/>
                <w:bCs w:val="1"/>
                <w:color w:val="auto"/>
              </w:rPr>
              <w:t>Carrying</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Active Markets for</w:t>
            </w:r>
          </w:p>
        </w:tc>
        <w:tc>
          <w:tcPr>
            <w:tcW w:w="280" w:type="dxa"/>
            <w:vAlign w:val="bottom"/>
          </w:tcPr>
          <w:p>
            <w:pPr>
              <w:spacing w:after="0"/>
              <w:rPr>
                <w:sz w:val="10"/>
                <w:szCs w:val="10"/>
                <w:color w:val="auto"/>
              </w:rPr>
            </w:pPr>
          </w:p>
        </w:tc>
        <w:tc>
          <w:tcPr>
            <w:tcW w:w="1180" w:type="dxa"/>
            <w:vAlign w:val="bottom"/>
          </w:tcPr>
          <w:p>
            <w:pPr>
              <w:jc w:val="center"/>
              <w:ind w:right="259"/>
              <w:spacing w:after="0" w:line="122" w:lineRule="exact"/>
              <w:rPr>
                <w:sz w:val="20"/>
                <w:szCs w:val="20"/>
                <w:color w:val="auto"/>
              </w:rPr>
            </w:pPr>
            <w:r>
              <w:rPr>
                <w:rFonts w:ascii="Arial" w:cs="Arial" w:eastAsia="Arial" w:hAnsi="Arial"/>
                <w:sz w:val="13"/>
                <w:szCs w:val="13"/>
                <w:b w:val="1"/>
                <w:bCs w:val="1"/>
                <w:color w:val="auto"/>
                <w:w w:val="95"/>
              </w:rPr>
              <w:t>Observable</w:t>
            </w:r>
          </w:p>
        </w:tc>
        <w:tc>
          <w:tcPr>
            <w:tcW w:w="1600" w:type="dxa"/>
            <w:vAlign w:val="bottom"/>
            <w:gridSpan w:val="2"/>
          </w:tcPr>
          <w:p>
            <w:pPr>
              <w:jc w:val="center"/>
              <w:ind w:right="44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960" w:type="dxa"/>
            <w:vAlign w:val="bottom"/>
            <w:vMerge w:val="restart"/>
          </w:tcPr>
          <w:p>
            <w:pPr>
              <w:jc w:val="right"/>
              <w:ind w:right="435"/>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180" w:type="dxa"/>
            <w:vAlign w:val="bottom"/>
          </w:tcPr>
          <w:p>
            <w:pPr>
              <w:jc w:val="center"/>
              <w:ind w:right="279"/>
              <w:spacing w:after="0" w:line="135" w:lineRule="exact"/>
              <w:rPr>
                <w:sz w:val="20"/>
                <w:szCs w:val="20"/>
                <w:color w:val="auto"/>
              </w:rPr>
            </w:pPr>
            <w:r>
              <w:rPr>
                <w:rFonts w:ascii="Arial" w:cs="Arial" w:eastAsia="Arial" w:hAnsi="Arial"/>
                <w:sz w:val="13"/>
                <w:szCs w:val="13"/>
                <w:b w:val="1"/>
                <w:bCs w:val="1"/>
                <w:color w:val="auto"/>
                <w:w w:val="97"/>
              </w:rPr>
              <w:t>Inputs</w:t>
            </w:r>
          </w:p>
        </w:tc>
        <w:tc>
          <w:tcPr>
            <w:tcW w:w="16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Inputs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Amount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59"/>
              <w:spacing w:after="0"/>
              <w:rPr>
                <w:sz w:val="20"/>
                <w:szCs w:val="20"/>
                <w:color w:val="auto"/>
              </w:rPr>
            </w:pPr>
            <w:r>
              <w:rPr>
                <w:rFonts w:ascii="Arial" w:cs="Arial" w:eastAsia="Arial" w:hAnsi="Arial"/>
                <w:sz w:val="13"/>
                <w:szCs w:val="13"/>
                <w:b w:val="1"/>
                <w:bCs w:val="1"/>
                <w:color w:val="auto"/>
                <w:w w:val="98"/>
              </w:rPr>
              <w:t>(Level 2)</w:t>
            </w:r>
          </w:p>
        </w:tc>
        <w:tc>
          <w:tcPr>
            <w:tcW w:w="16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8"/>
              </w:rPr>
              <w:t>(Level 3)</w:t>
            </w: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5"/>
        </w:trPr>
        <w:tc>
          <w:tcPr>
            <w:tcW w:w="4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Interest rate contracts designated as fair value hedges: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(134.3)</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(134.3)</w:t>
            </w:r>
          </w:p>
        </w:tc>
        <w:tc>
          <w:tcPr>
            <w:tcW w:w="160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176"/>
        </w:trPr>
        <w:tc>
          <w:tcPr>
            <w:tcW w:w="460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Interest rate contracts designated as cash flow</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hedges:</w:t>
            </w: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162.9</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162.9</w:t>
            </w:r>
          </w:p>
        </w:tc>
        <w:tc>
          <w:tcPr>
            <w:tcW w:w="16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246.0</w:t>
            </w:r>
          </w:p>
        </w:tc>
        <w:tc>
          <w:tcPr>
            <w:tcW w:w="1240" w:type="dxa"/>
            <w:vAlign w:val="bottom"/>
            <w:shd w:val="clear" w:color="auto" w:fill="DBDBDB"/>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8"/>
                <w:szCs w:val="18"/>
                <w:color w:val="auto"/>
              </w:rPr>
              <w:t>246.0</w:t>
            </w:r>
          </w:p>
        </w:tc>
        <w:tc>
          <w:tcPr>
            <w:tcW w:w="1600" w:type="dxa"/>
            <w:vAlign w:val="bottom"/>
            <w:gridSpan w:val="2"/>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176"/>
        </w:trPr>
        <w:tc>
          <w:tcPr>
            <w:tcW w:w="4600" w:type="dxa"/>
            <w:vAlign w:val="bottom"/>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ind w:left="180"/>
              <w:spacing w:after="0"/>
              <w:rPr>
                <w:sz w:val="20"/>
                <w:szCs w:val="20"/>
                <w:color w:val="auto"/>
              </w:rPr>
            </w:pPr>
            <w:r>
              <w:rPr>
                <w:rFonts w:ascii="Arial" w:cs="Arial" w:eastAsia="Arial" w:hAnsi="Arial"/>
                <w:sz w:val="18"/>
                <w:szCs w:val="18"/>
                <w:color w:val="auto"/>
              </w:rPr>
              <w:t>net investment hedges: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67.6</w:t>
            </w:r>
          </w:p>
        </w:tc>
        <w:tc>
          <w:tcPr>
            <w:tcW w:w="1240" w:type="dxa"/>
            <w:vAlign w:val="bottom"/>
            <w:shd w:val="clear" w:color="auto" w:fill="DBDBDB"/>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0"/>
                <w:szCs w:val="20"/>
                <w:color w:val="auto"/>
              </w:rPr>
            </w:pP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8"/>
                <w:szCs w:val="18"/>
                <w:color w:val="auto"/>
              </w:rPr>
              <w:t>67.6</w:t>
            </w:r>
          </w:p>
        </w:tc>
        <w:tc>
          <w:tcPr>
            <w:tcW w:w="1600" w:type="dxa"/>
            <w:vAlign w:val="bottom"/>
            <w:gridSpan w:val="2"/>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75"/>
        </w:trPr>
        <w:tc>
          <w:tcPr>
            <w:tcW w:w="4600" w:type="dxa"/>
            <w:vAlign w:val="bottom"/>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53.1</w:t>
            </w:r>
          </w:p>
        </w:tc>
        <w:tc>
          <w:tcPr>
            <w:tcW w:w="1240" w:type="dxa"/>
            <w:vAlign w:val="bottom"/>
            <w:shd w:val="clear" w:color="auto" w:fill="DBDBDB"/>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0"/>
                <w:szCs w:val="20"/>
                <w:color w:val="auto"/>
              </w:rPr>
            </w:pP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8"/>
                <w:szCs w:val="18"/>
                <w:color w:val="auto"/>
              </w:rPr>
              <w:t>53.1</w:t>
            </w:r>
          </w:p>
        </w:tc>
        <w:tc>
          <w:tcPr>
            <w:tcW w:w="1600" w:type="dxa"/>
            <w:vAlign w:val="bottom"/>
            <w:gridSpan w:val="2"/>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76"/>
        </w:trPr>
        <w:tc>
          <w:tcPr>
            <w:tcW w:w="460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designated as hedging</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(38.3)</w:t>
            </w:r>
          </w:p>
        </w:tc>
        <w:tc>
          <w:tcPr>
            <w:tcW w:w="1240" w:type="dxa"/>
            <w:vAlign w:val="bottom"/>
            <w:shd w:val="clear" w:color="auto" w:fill="DBDBDB"/>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0"/>
                <w:szCs w:val="20"/>
                <w:color w:val="auto"/>
              </w:rPr>
            </w:pPr>
          </w:p>
        </w:tc>
        <w:tc>
          <w:tcPr>
            <w:tcW w:w="1180" w:type="dxa"/>
            <w:vAlign w:val="bottom"/>
            <w:shd w:val="clear" w:color="auto" w:fill="DBDBDB"/>
          </w:tcPr>
          <w:p>
            <w:pPr>
              <w:jc w:val="right"/>
              <w:ind w:right="79"/>
              <w:spacing w:after="0"/>
              <w:rPr>
                <w:sz w:val="20"/>
                <w:szCs w:val="20"/>
                <w:color w:val="auto"/>
              </w:rPr>
            </w:pPr>
            <w:r>
              <w:rPr>
                <w:rFonts w:ascii="Arial" w:cs="Arial" w:eastAsia="Arial" w:hAnsi="Arial"/>
                <w:sz w:val="18"/>
                <w:szCs w:val="18"/>
                <w:color w:val="auto"/>
              </w:rPr>
              <w:t>(38.3)</w:t>
            </w:r>
          </w:p>
        </w:tc>
        <w:tc>
          <w:tcPr>
            <w:tcW w:w="1600" w:type="dxa"/>
            <w:vAlign w:val="bottom"/>
            <w:gridSpan w:val="2"/>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76"/>
        </w:trPr>
        <w:tc>
          <w:tcPr>
            <w:tcW w:w="460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not designated as hedging</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0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26.6</w:t>
            </w:r>
          </w:p>
        </w:tc>
        <w:tc>
          <w:tcPr>
            <w:tcW w:w="1240" w:type="dxa"/>
            <w:vAlign w:val="bottom"/>
            <w:shd w:val="clear" w:color="auto" w:fill="DBDBDB"/>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0"/>
                <w:szCs w:val="20"/>
                <w:color w:val="auto"/>
              </w:rPr>
            </w:pP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8"/>
                <w:szCs w:val="18"/>
                <w:color w:val="auto"/>
              </w:rPr>
              <w:t>26.6</w:t>
            </w:r>
          </w:p>
        </w:tc>
        <w:tc>
          <w:tcPr>
            <w:tcW w:w="1600" w:type="dxa"/>
            <w:vAlign w:val="bottom"/>
            <w:gridSpan w:val="2"/>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(21.5)</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(21.5)</w:t>
            </w:r>
          </w:p>
        </w:tc>
        <w:tc>
          <w:tcPr>
            <w:tcW w:w="16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Contingent consideration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(39.5)</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200" w:type="dxa"/>
            <w:vAlign w:val="bottom"/>
          </w:tcPr>
          <w:p>
            <w:pPr>
              <w:ind w:left="700"/>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(70.6)</w:t>
            </w:r>
          </w:p>
        </w:tc>
        <w:tc>
          <w:tcPr>
            <w:tcW w:w="1240" w:type="dxa"/>
            <w:vAlign w:val="bottom"/>
            <w:shd w:val="clear" w:color="auto" w:fill="DBDBDB"/>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(70.6)</w:t>
            </w: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3" w:right="3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4"/>
          </w:tcPr>
          <w:p>
            <w:pPr>
              <w:jc w:val="center"/>
              <w:ind w:right="17"/>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540" w:type="dxa"/>
            <w:vAlign w:val="bottom"/>
            <w:gridSpan w:val="2"/>
            <w:vMerge w:val="restart"/>
          </w:tcPr>
          <w:p>
            <w:pPr>
              <w:jc w:val="center"/>
              <w:ind w:right="215"/>
              <w:spacing w:after="0"/>
              <w:rPr>
                <w:sz w:val="20"/>
                <w:szCs w:val="20"/>
                <w:color w:val="auto"/>
              </w:rPr>
            </w:pPr>
            <w:r>
              <w:rPr>
                <w:rFonts w:ascii="Arial" w:cs="Arial" w:eastAsia="Arial" w:hAnsi="Arial"/>
                <w:sz w:val="13"/>
                <w:szCs w:val="13"/>
                <w:b w:val="1"/>
                <w:bCs w:val="1"/>
                <w:color w:val="auto"/>
                <w:w w:val="96"/>
              </w:rPr>
              <w:t>Quoted Prices in</w:t>
            </w:r>
          </w:p>
        </w:tc>
        <w:tc>
          <w:tcPr>
            <w:tcW w:w="108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9"/>
              </w:rPr>
              <w:t>Significant</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080" w:type="dxa"/>
            <w:vAlign w:val="bottom"/>
          </w:tcPr>
          <w:p>
            <w:pPr>
              <w:jc w:val="center"/>
              <w:ind w:right="158"/>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3"/>
                <w:szCs w:val="13"/>
                <w:b w:val="1"/>
                <w:bCs w:val="1"/>
                <w:color w:val="auto"/>
              </w:rPr>
              <w:t>Carrying</w:t>
            </w:r>
          </w:p>
        </w:tc>
        <w:tc>
          <w:tcPr>
            <w:tcW w:w="1540" w:type="dxa"/>
            <w:vAlign w:val="bottom"/>
            <w:gridSpan w:val="2"/>
          </w:tcPr>
          <w:p>
            <w:pPr>
              <w:jc w:val="center"/>
              <w:ind w:right="235"/>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108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80" w:type="dxa"/>
            <w:vAlign w:val="bottom"/>
            <w:gridSpan w:val="2"/>
          </w:tcPr>
          <w:p>
            <w:pPr>
              <w:jc w:val="center"/>
              <w:ind w:right="54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960" w:type="dxa"/>
            <w:vAlign w:val="bottom"/>
            <w:vMerge w:val="restart"/>
          </w:tcPr>
          <w:p>
            <w:pPr>
              <w:jc w:val="right"/>
              <w:ind w:right="414"/>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33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080" w:type="dxa"/>
            <w:vAlign w:val="bottom"/>
          </w:tcPr>
          <w:p>
            <w:pPr>
              <w:jc w:val="center"/>
              <w:ind w:right="178"/>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4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7"/>
              </w:rPr>
              <w:t>Inputs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5"/>
              <w:spacing w:after="0"/>
              <w:rPr>
                <w:sz w:val="20"/>
                <w:szCs w:val="20"/>
                <w:color w:val="auto"/>
              </w:rPr>
            </w:pPr>
            <w:r>
              <w:rPr>
                <w:rFonts w:ascii="Arial" w:cs="Arial" w:eastAsia="Arial" w:hAnsi="Arial"/>
                <w:sz w:val="13"/>
                <w:szCs w:val="13"/>
                <w:b w:val="1"/>
                <w:bCs w:val="1"/>
                <w:color w:val="auto"/>
                <w:w w:val="98"/>
              </w:rPr>
              <w:t>(Level 1)</w:t>
            </w: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3"/>
                <w:szCs w:val="13"/>
                <w:b w:val="1"/>
                <w:bCs w:val="1"/>
                <w:color w:val="auto"/>
                <w:w w:val="94"/>
              </w:rPr>
              <w:t>(Level 3)</w:t>
            </w: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5"/>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Interest rate contracts designated as fair value</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86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6"/>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Interest rate contracts designated as cash flow</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net investment 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DBDBDB"/>
          </w:tcPr>
          <w:p>
            <w:pPr>
              <w:spacing w:after="0"/>
              <w:rPr>
                <w:sz w:val="20"/>
                <w:szCs w:val="20"/>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5"/>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flow 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not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color w:val="auto"/>
              </w:rPr>
              <w:t>9.9</w:t>
            </w:r>
          </w:p>
        </w:tc>
        <w:tc>
          <w:tcPr>
            <w:tcW w:w="120" w:type="dxa"/>
            <w:vAlign w:val="bottom"/>
            <w:shd w:val="clear" w:color="auto" w:fill="DBDBDB"/>
          </w:tcPr>
          <w:p>
            <w:pPr>
              <w:spacing w:after="0"/>
              <w:rPr>
                <w:sz w:val="20"/>
                <w:szCs w:val="20"/>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9.9</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Contingent consideration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0"/>
                <w:szCs w:val="20"/>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w w:val="97"/>
              </w:rPr>
              <w:t>(70.5)</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Contingent consideration liabilities relate to our liabilities arising in connection with the CVRs issued as a result of both the Akouos and Prevail acquisitions.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 See Note 3 for additional information related to the CVR arrangements for both Akouos and Prevail.</w:t>
      </w:r>
    </w:p>
    <w:p>
      <w:pPr>
        <w:sectPr>
          <w:pgSz w:w="11900" w:h="16838" w:orient="portrait"/>
          <w:cols w:equalWidth="0" w:num="1">
            <w:col w:w="11200"/>
          </w:cols>
          <w:pgMar w:left="320" w:top="124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 The change in goodwill during 2022 was primarily related to our acquisition of Akouos. See Note 3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2022,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60" w:type="dxa"/>
            <w:vAlign w:val="bottom"/>
          </w:tcPr>
          <w:p>
            <w:pPr>
              <w:jc w:val="center"/>
              <w:ind w:right="137"/>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040" w:type="dxa"/>
            <w:vAlign w:val="bottom"/>
          </w:tcPr>
          <w:p>
            <w:pPr>
              <w:jc w:val="center"/>
              <w:ind w:right="137"/>
              <w:spacing w:after="0" w:line="14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97"/>
              <w:spacing w:after="0" w:line="14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60" w:type="dxa"/>
            <w:vAlign w:val="bottom"/>
          </w:tcPr>
          <w:p>
            <w:pPr>
              <w:jc w:val="center"/>
              <w:ind w:right="197"/>
              <w:spacing w:after="0" w:line="14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3"/>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7,922.1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(2,589.9)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5,332.2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7,987.2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(2,229.2)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5,758.0</w:t>
            </w:r>
          </w:p>
        </w:tc>
        <w:tc>
          <w:tcPr>
            <w:tcW w:w="0" w:type="dxa"/>
            <w:vAlign w:val="bottom"/>
          </w:tcPr>
          <w:p>
            <w:pPr>
              <w:spacing w:after="0"/>
              <w:rPr>
                <w:sz w:val="1"/>
                <w:szCs w:val="1"/>
                <w:color w:val="auto"/>
              </w:rPr>
            </w:pPr>
          </w:p>
        </w:tc>
      </w:tr>
      <w:tr>
        <w:trPr>
          <w:trHeight w:val="229"/>
        </w:trPr>
        <w:tc>
          <w:tcPr>
            <w:tcW w:w="30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35.4</w:t>
            </w:r>
          </w:p>
        </w:tc>
        <w:tc>
          <w:tcPr>
            <w:tcW w:w="2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(32.8)</w:t>
            </w:r>
          </w:p>
        </w:tc>
        <w:tc>
          <w:tcPr>
            <w:tcW w:w="28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auto"/>
            </w:tcBorders>
            <w:shd w:val="clear" w:color="auto" w:fill="D8D8D8"/>
          </w:tcPr>
          <w:p>
            <w:pPr>
              <w:spacing w:after="0"/>
              <w:rPr>
                <w:sz w:val="19"/>
                <w:szCs w:val="19"/>
                <w:color w:val="auto"/>
              </w:rPr>
            </w:pPr>
          </w:p>
        </w:tc>
        <w:tc>
          <w:tcPr>
            <w:tcW w:w="22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69.4</w:t>
            </w:r>
          </w:p>
        </w:tc>
        <w:tc>
          <w:tcPr>
            <w:tcW w:w="260" w:type="dxa"/>
            <w:vAlign w:val="bottom"/>
            <w:tcBorders>
              <w:bottom w:val="single" w:sz="8" w:color="auto"/>
            </w:tcBorders>
            <w:shd w:val="clear" w:color="auto" w:fill="D8D8D8"/>
          </w:tcPr>
          <w:p>
            <w:pPr>
              <w:spacing w:after="0"/>
              <w:rPr>
                <w:sz w:val="19"/>
                <w:szCs w:val="19"/>
                <w:color w:val="auto"/>
              </w:rPr>
            </w:pPr>
          </w:p>
        </w:tc>
        <w:tc>
          <w:tcPr>
            <w:tcW w:w="1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7,957.5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(2,622.7)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8,056.6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(2,289.7)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5,766.9</w:t>
            </w:r>
          </w:p>
        </w:tc>
        <w:tc>
          <w:tcPr>
            <w:tcW w:w="0" w:type="dxa"/>
            <w:vAlign w:val="bottom"/>
          </w:tcPr>
          <w:p>
            <w:pPr>
              <w:spacing w:after="0"/>
              <w:rPr>
                <w:sz w:val="1"/>
                <w:szCs w:val="1"/>
                <w:color w:val="auto"/>
              </w:rPr>
            </w:pPr>
          </w:p>
        </w:tc>
      </w:tr>
      <w:tr>
        <w:trPr>
          <w:trHeight w:val="229"/>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Acquired IPR&amp;D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1,871.8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1,871.8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1,925.0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Other intangibles</w:t>
            </w:r>
          </w:p>
        </w:tc>
        <w:tc>
          <w:tcPr>
            <w:tcW w:w="2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9,829.3</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(2,622.7)</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7,206.6</w:t>
            </w:r>
          </w:p>
        </w:tc>
        <w:tc>
          <w:tcPr>
            <w:tcW w:w="100" w:type="dxa"/>
            <w:vAlign w:val="bottom"/>
            <w:tcBorders>
              <w:bottom w:val="single" w:sz="8" w:color="auto"/>
            </w:tcBorders>
            <w:shd w:val="clear" w:color="auto" w:fill="D8D8D8"/>
          </w:tcPr>
          <w:p>
            <w:pPr>
              <w:spacing w:after="0"/>
              <w:rPr>
                <w:sz w:val="20"/>
                <w:szCs w:val="20"/>
                <w:color w:val="auto"/>
              </w:rPr>
            </w:pPr>
          </w:p>
        </w:tc>
        <w:tc>
          <w:tcPr>
            <w:tcW w:w="2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9,981.6</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(2,289.7)</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7,691.9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Other finite-lived intangible assets consist primarily of the amortized cost of licensed platform technologies that have alternative future uses in research and development, manufacturing technologies, and customer relationships from business combinations.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consists of the fair values of acquired IPR&amp;D projects acquired in business combination, adjusted for subsequent impairments, if any. The costs of acquired IPR&amp;D projects acquired directly in a transaction other than a business combination are capitalized as other intangible assets if the projects have an alternative future use; otherwise, they are expensed immediately. See Note 3 for significant acquired IPR&amp;D projects that had no alternative future use.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analyst expectations,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200"/>
        <w:spacing w:after="0" w:line="268" w:lineRule="auto"/>
        <w:rPr>
          <w:sz w:val="20"/>
          <w:szCs w:val="20"/>
          <w:color w:val="auto"/>
        </w:rPr>
      </w:pPr>
      <w:r>
        <w:rPr>
          <w:rFonts w:ascii="Arial" w:cs="Arial" w:eastAsia="Arial" w:hAnsi="Arial"/>
          <w:sz w:val="18"/>
          <w:szCs w:val="18"/>
          <w:color w:val="auto"/>
        </w:rPr>
        <w:t>The decrease in acquired IPR&amp;D intangibles in 2022 is due to the impairment of an intangible asset for GBA1 Gene Therapy (PR001). See Note 5 for additional information. This decrease was partially offset by acquired IPR&amp;D assets recognized from the acquisition of Akouos. See Note 3 for additional information.</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w:t>
      </w:r>
    </w:p>
    <w:p>
      <w:pPr>
        <w:spacing w:after="0" w:line="7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Intangible assets with finite lives are capitalized and are amortized primarily to cost of sales over their estimated useful lives, ranging from one to 20 years. As of December 31, 2022, the remaining weighted-average amortization period for finite-lived intangible assets was approximately 13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24"/>
        </w:trPr>
        <w:tc>
          <w:tcPr>
            <w:tcW w:w="4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Amortization expense</w:t>
            </w:r>
          </w:p>
        </w:tc>
        <w:tc>
          <w:tcPr>
            <w:tcW w:w="338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579.7</w:t>
            </w:r>
          </w:p>
        </w:tc>
        <w:tc>
          <w:tcPr>
            <w:tcW w:w="96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628.8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428.2</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2022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2027</w:t>
            </w:r>
          </w:p>
        </w:tc>
      </w:tr>
      <w:tr>
        <w:trPr>
          <w:trHeight w:val="224"/>
        </w:trPr>
        <w:tc>
          <w:tcPr>
            <w:tcW w:w="5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Estimated amortization expense</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497.5</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447.7</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435.5</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424.8</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r>
      <w:tr>
        <w:trPr>
          <w:trHeight w:val="224"/>
        </w:trPr>
        <w:tc>
          <w:tcPr>
            <w:tcW w:w="6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Land</w:t>
            </w:r>
          </w:p>
        </w:tc>
        <w:tc>
          <w:tcPr>
            <w:tcW w:w="84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360" w:type="dxa"/>
            <w:vAlign w:val="bottom"/>
            <w:gridSpan w:val="2"/>
            <w:shd w:val="clear" w:color="auto" w:fill="D8D8D8"/>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256.6</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258.7</w:t>
            </w:r>
          </w:p>
        </w:tc>
        <w:tc>
          <w:tcPr>
            <w:tcW w:w="40" w:type="dxa"/>
            <w:vAlign w:val="bottom"/>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7,915.9</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7,588.1</w:t>
            </w:r>
          </w:p>
        </w:tc>
        <w:tc>
          <w:tcPr>
            <w:tcW w:w="40" w:type="dxa"/>
            <w:vAlign w:val="bottom"/>
          </w:tcPr>
          <w:p>
            <w:pPr>
              <w:spacing w:after="0"/>
              <w:rPr>
                <w:sz w:val="19"/>
                <w:szCs w:val="19"/>
                <w:color w:val="auto"/>
              </w:rPr>
            </w:pPr>
          </w:p>
        </w:tc>
      </w:tr>
      <w:tr>
        <w:trPr>
          <w:trHeight w:val="229"/>
        </w:trPr>
        <w:tc>
          <w:tcPr>
            <w:tcW w:w="6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Equipment</w:t>
            </w:r>
          </w:p>
        </w:tc>
        <w:tc>
          <w:tcPr>
            <w:tcW w:w="84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9,406.3</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8,937.2</w:t>
            </w:r>
          </w:p>
        </w:tc>
        <w:tc>
          <w:tcPr>
            <w:tcW w:w="40" w:type="dxa"/>
            <w:vAlign w:val="bottom"/>
          </w:tcPr>
          <w:p>
            <w:pPr>
              <w:spacing w:after="0"/>
              <w:rPr>
                <w:sz w:val="19"/>
                <w:szCs w:val="19"/>
                <w:color w:val="auto"/>
              </w:rPr>
            </w:pPr>
          </w:p>
        </w:tc>
      </w:tr>
      <w:tr>
        <w:trPr>
          <w:trHeight w:val="230"/>
        </w:trPr>
        <w:tc>
          <w:tcPr>
            <w:tcW w:w="63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Construction in progress</w:t>
            </w:r>
          </w:p>
        </w:tc>
        <w:tc>
          <w:tcPr>
            <w:tcW w:w="840" w:type="dxa"/>
            <w:vAlign w:val="bottom"/>
            <w:tcBorders>
              <w:bottom w:val="single" w:sz="8" w:color="D8D8D8"/>
            </w:tcBorders>
          </w:tcPr>
          <w:p>
            <w:pPr>
              <w:spacing w:after="0"/>
              <w:rPr>
                <w:sz w:val="19"/>
                <w:szCs w:val="19"/>
                <w:color w:val="auto"/>
              </w:rPr>
            </w:pPr>
          </w:p>
        </w:tc>
        <w:tc>
          <w:tcPr>
            <w:tcW w:w="1140" w:type="dxa"/>
            <w:vAlign w:val="bottom"/>
            <w:tcBorders>
              <w:bottom w:val="single" w:sz="8" w:color="D8D8D8"/>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2,798.6</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2,177.8</w:t>
            </w:r>
          </w:p>
        </w:tc>
        <w:tc>
          <w:tcPr>
            <w:tcW w:w="40" w:type="dxa"/>
            <w:vAlign w:val="bottom"/>
          </w:tcPr>
          <w:p>
            <w:pPr>
              <w:spacing w:after="0"/>
              <w:rPr>
                <w:sz w:val="19"/>
                <w:szCs w:val="19"/>
                <w:color w:val="auto"/>
              </w:rPr>
            </w:pPr>
          </w:p>
        </w:tc>
      </w:tr>
      <w:tr>
        <w:trPr>
          <w:trHeight w:val="223"/>
        </w:trPr>
        <w:tc>
          <w:tcPr>
            <w:tcW w:w="630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20,377.4</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18,961.8</w:t>
            </w:r>
          </w:p>
        </w:tc>
        <w:tc>
          <w:tcPr>
            <w:tcW w:w="40" w:type="dxa"/>
            <w:vAlign w:val="bottom"/>
          </w:tcPr>
          <w:p>
            <w:pPr>
              <w:spacing w:after="0"/>
              <w:rPr>
                <w:sz w:val="19"/>
                <w:szCs w:val="19"/>
                <w:color w:val="auto"/>
              </w:rPr>
            </w:pPr>
          </w:p>
        </w:tc>
      </w:tr>
      <w:tr>
        <w:trPr>
          <w:trHeight w:val="230"/>
        </w:trPr>
        <w:tc>
          <w:tcPr>
            <w:tcW w:w="63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840" w:type="dxa"/>
            <w:vAlign w:val="bottom"/>
            <w:tcBorders>
              <w:bottom w:val="single" w:sz="8" w:color="D8D8D8"/>
            </w:tcBorders>
          </w:tcPr>
          <w:p>
            <w:pPr>
              <w:spacing w:after="0"/>
              <w:rPr>
                <w:sz w:val="19"/>
                <w:szCs w:val="19"/>
                <w:color w:val="auto"/>
              </w:rPr>
            </w:pPr>
          </w:p>
        </w:tc>
        <w:tc>
          <w:tcPr>
            <w:tcW w:w="1140" w:type="dxa"/>
            <w:vAlign w:val="bottom"/>
            <w:tcBorders>
              <w:bottom w:val="single" w:sz="8" w:color="D8D8D8"/>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(10,233.4)</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(9,976.7)</w:t>
            </w:r>
          </w:p>
        </w:tc>
        <w:tc>
          <w:tcPr>
            <w:tcW w:w="40" w:type="dxa"/>
            <w:vAlign w:val="bottom"/>
          </w:tcPr>
          <w:p>
            <w:pPr>
              <w:spacing w:after="0"/>
              <w:rPr>
                <w:sz w:val="19"/>
                <w:szCs w:val="19"/>
                <w:color w:val="auto"/>
              </w:rPr>
            </w:pPr>
          </w:p>
        </w:tc>
      </w:tr>
      <w:tr>
        <w:trPr>
          <w:trHeight w:val="243"/>
        </w:trPr>
        <w:tc>
          <w:tcPr>
            <w:tcW w:w="63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Property and equipment, net</w:t>
            </w:r>
          </w:p>
        </w:tc>
        <w:tc>
          <w:tcPr>
            <w:tcW w:w="840" w:type="dxa"/>
            <w:vAlign w:val="bottom"/>
            <w:tcBorders>
              <w:bottom w:val="single" w:sz="8" w:color="D8D8D8"/>
            </w:tcBorders>
            <w:shd w:val="clear" w:color="auto" w:fill="D8D8D8"/>
          </w:tcPr>
          <w:p>
            <w:pPr>
              <w:spacing w:after="0"/>
              <w:rPr>
                <w:sz w:val="21"/>
                <w:szCs w:val="21"/>
                <w:color w:val="auto"/>
              </w:rPr>
            </w:pPr>
          </w:p>
        </w:tc>
        <w:tc>
          <w:tcPr>
            <w:tcW w:w="114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auto"/>
            </w:tcBorders>
            <w:gridSpan w:val="2"/>
            <w:shd w:val="clear" w:color="auto" w:fill="D8D8D8"/>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10,144.0</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8,985.1</w:t>
            </w:r>
          </w:p>
        </w:tc>
        <w:tc>
          <w:tcPr>
            <w:tcW w:w="40" w:type="dxa"/>
            <w:vAlign w:val="bottom"/>
          </w:tcPr>
          <w:p>
            <w:pPr>
              <w:spacing w:after="0"/>
              <w:rPr>
                <w:sz w:val="21"/>
                <w:szCs w:val="21"/>
                <w:color w:val="auto"/>
              </w:rPr>
            </w:pPr>
          </w:p>
        </w:tc>
      </w:tr>
      <w:tr>
        <w:trPr>
          <w:trHeight w:val="410"/>
        </w:trPr>
        <w:tc>
          <w:tcPr>
            <w:tcW w:w="6300" w:type="dxa"/>
            <w:vAlign w:val="bottom"/>
          </w:tcPr>
          <w:p>
            <w:pPr>
              <w:spacing w:after="0"/>
              <w:rPr>
                <w:sz w:val="20"/>
                <w:szCs w:val="20"/>
                <w:color w:val="auto"/>
              </w:rPr>
            </w:pPr>
            <w:r>
              <w:rPr>
                <w:rFonts w:ascii="Arial" w:cs="Arial" w:eastAsia="Arial" w:hAnsi="Arial"/>
                <w:sz w:val="18"/>
                <w:szCs w:val="18"/>
                <w:color w:val="auto"/>
              </w:rPr>
              <w:t>Depreciation expense related to property and equipment was as follows: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3"/>
        </w:trPr>
        <w:tc>
          <w:tcPr>
            <w:tcW w:w="6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4"/>
                <w:szCs w:val="24"/>
                <w:color w:val="auto"/>
              </w:rPr>
            </w:pPr>
          </w:p>
        </w:tc>
      </w:tr>
      <w:tr>
        <w:trPr>
          <w:trHeight w:val="224"/>
        </w:trPr>
        <w:tc>
          <w:tcPr>
            <w:tcW w:w="6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Depreciation expense</w:t>
            </w:r>
          </w:p>
        </w:tc>
        <w:tc>
          <w:tcPr>
            <w:tcW w:w="8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8D8D8"/>
          </w:tcPr>
          <w:p>
            <w:pPr>
              <w:jc w:val="right"/>
              <w:ind w:right="59"/>
              <w:spacing w:after="0"/>
              <w:rPr>
                <w:sz w:val="20"/>
                <w:szCs w:val="20"/>
                <w:color w:val="auto"/>
              </w:rPr>
            </w:pPr>
            <w:r>
              <w:rPr>
                <w:rFonts w:ascii="Arial" w:cs="Arial" w:eastAsia="Arial" w:hAnsi="Arial"/>
                <w:sz w:val="18"/>
                <w:szCs w:val="18"/>
                <w:b w:val="1"/>
                <w:bCs w:val="1"/>
                <w:color w:val="auto"/>
              </w:rPr>
              <w:t>816.6</w:t>
            </w:r>
          </w:p>
        </w:tc>
        <w:tc>
          <w:tcPr>
            <w:tcW w:w="360" w:type="dxa"/>
            <w:vAlign w:val="bottom"/>
            <w:gridSpan w:val="2"/>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787.0</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765.2</w:t>
            </w:r>
          </w:p>
        </w:tc>
        <w:tc>
          <w:tcPr>
            <w:tcW w:w="40" w:type="dxa"/>
            <w:vAlign w:val="bottom"/>
            <w:shd w:val="clear" w:color="auto" w:fill="D8D8D8"/>
          </w:tcPr>
          <w:p>
            <w:pPr>
              <w:spacing w:after="0"/>
              <w:rPr>
                <w:sz w:val="19"/>
                <w:szCs w:val="19"/>
                <w:color w:val="auto"/>
              </w:rPr>
            </w:pPr>
          </w:p>
        </w:tc>
      </w:tr>
      <w:tr>
        <w:trPr>
          <w:trHeight w:val="409"/>
        </w:trPr>
        <w:tc>
          <w:tcPr>
            <w:tcW w:w="8280" w:type="dxa"/>
            <w:vAlign w:val="bottom"/>
            <w:gridSpan w:val="3"/>
          </w:tcPr>
          <w:p>
            <w:pPr>
              <w:spacing w:after="0"/>
              <w:rPr>
                <w:sz w:val="20"/>
                <w:szCs w:val="20"/>
                <w:color w:val="auto"/>
              </w:rPr>
            </w:pPr>
            <w:r>
              <w:rPr>
                <w:rFonts w:ascii="Arial" w:cs="Arial" w:eastAsia="Arial" w:hAnsi="Arial"/>
                <w:sz w:val="18"/>
                <w:szCs w:val="18"/>
                <w:color w:val="auto"/>
              </w:rPr>
              <w:t>Capitalized interest costs were not material for the years ended December 31, 2022, 2021, and 2020.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300" w:type="dxa"/>
            <w:vAlign w:val="bottom"/>
          </w:tcPr>
          <w:p>
            <w:pPr>
              <w:spacing w:after="0"/>
              <w:rPr>
                <w:sz w:val="20"/>
                <w:szCs w:val="20"/>
                <w:color w:val="auto"/>
              </w:rPr>
            </w:pPr>
            <w:r>
              <w:rPr>
                <w:rFonts w:ascii="Arial" w:cs="Arial" w:eastAsia="Arial" w:hAnsi="Arial"/>
                <w:sz w:val="18"/>
                <w:szCs w:val="18"/>
                <w:color w:val="auto"/>
              </w:rPr>
              <w:t>The following table summarizes long-lived assets by geographical area:</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3"/>
        </w:trPr>
        <w:tc>
          <w:tcPr>
            <w:tcW w:w="6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24"/>
                <w:szCs w:val="24"/>
                <w:color w:val="auto"/>
              </w:rPr>
            </w:pPr>
          </w:p>
        </w:tc>
      </w:tr>
      <w:tr>
        <w:trPr>
          <w:trHeight w:val="224"/>
        </w:trPr>
        <w:tc>
          <w:tcPr>
            <w:tcW w:w="6300" w:type="dxa"/>
            <w:vAlign w:val="bottom"/>
            <w:shd w:val="clear" w:color="auto" w:fill="D8D8D8"/>
          </w:tcPr>
          <w:p>
            <w:pPr>
              <w:ind w:left="20"/>
              <w:spacing w:after="0" w:line="224"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4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U.S. and Puerto Rico</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7,709.7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6,620.0</w:t>
            </w:r>
          </w:p>
        </w:tc>
        <w:tc>
          <w:tcPr>
            <w:tcW w:w="40" w:type="dxa"/>
            <w:vAlign w:val="bottom"/>
          </w:tcPr>
          <w:p>
            <w:pPr>
              <w:spacing w:after="0"/>
              <w:rPr>
                <w:sz w:val="19"/>
                <w:szCs w:val="19"/>
                <w:color w:val="auto"/>
              </w:rPr>
            </w:pPr>
          </w:p>
        </w:tc>
      </w:tr>
      <w:tr>
        <w:trPr>
          <w:trHeight w:val="230"/>
        </w:trPr>
        <w:tc>
          <w:tcPr>
            <w:tcW w:w="63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Ireland</w:t>
            </w:r>
          </w:p>
        </w:tc>
        <w:tc>
          <w:tcPr>
            <w:tcW w:w="84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1,898.5</w:t>
            </w:r>
          </w:p>
        </w:tc>
        <w:tc>
          <w:tcPr>
            <w:tcW w:w="40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1,702.3</w:t>
            </w:r>
          </w:p>
        </w:tc>
        <w:tc>
          <w:tcPr>
            <w:tcW w:w="40" w:type="dxa"/>
            <w:vAlign w:val="bottom"/>
            <w:shd w:val="clear" w:color="auto" w:fill="D8D8D8"/>
          </w:tcPr>
          <w:p>
            <w:pPr>
              <w:spacing w:after="0"/>
              <w:rPr>
                <w:sz w:val="19"/>
                <w:szCs w:val="19"/>
                <w:color w:val="auto"/>
              </w:rPr>
            </w:pPr>
          </w:p>
        </w:tc>
      </w:tr>
      <w:tr>
        <w:trPr>
          <w:trHeight w:val="230"/>
        </w:trPr>
        <w:tc>
          <w:tcPr>
            <w:tcW w:w="630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840" w:type="dxa"/>
            <w:vAlign w:val="bottom"/>
            <w:tcBorders>
              <w:bottom w:val="single" w:sz="8" w:color="D8D8D8"/>
            </w:tcBorders>
          </w:tcPr>
          <w:p>
            <w:pPr>
              <w:spacing w:after="0"/>
              <w:rPr>
                <w:sz w:val="19"/>
                <w:szCs w:val="19"/>
                <w:color w:val="auto"/>
              </w:rPr>
            </w:pPr>
          </w:p>
        </w:tc>
        <w:tc>
          <w:tcPr>
            <w:tcW w:w="1140" w:type="dxa"/>
            <w:vAlign w:val="bottom"/>
            <w:tcBorders>
              <w:bottom w:val="single" w:sz="8" w:color="D8D8D8"/>
            </w:tcBorders>
          </w:tcPr>
          <w:p>
            <w:pPr>
              <w:spacing w:after="0"/>
              <w:rPr>
                <w:sz w:val="19"/>
                <w:szCs w:val="19"/>
                <w:color w:val="auto"/>
              </w:rPr>
            </w:pPr>
          </w:p>
        </w:tc>
        <w:tc>
          <w:tcPr>
            <w:tcW w:w="40" w:type="dxa"/>
            <w:vAlign w:val="bottom"/>
            <w:tcBorders>
              <w:bottom w:val="single" w:sz="8" w:color="D8D8D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1,625.9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1,691.0</w:t>
            </w:r>
          </w:p>
        </w:tc>
        <w:tc>
          <w:tcPr>
            <w:tcW w:w="40" w:type="dxa"/>
            <w:vAlign w:val="bottom"/>
            <w:tcBorders>
              <w:bottom w:val="single" w:sz="8" w:color="auto"/>
            </w:tcBorders>
          </w:tcPr>
          <w:p>
            <w:pPr>
              <w:spacing w:after="0"/>
              <w:rPr>
                <w:sz w:val="19"/>
                <w:szCs w:val="19"/>
                <w:color w:val="auto"/>
              </w:rPr>
            </w:pPr>
          </w:p>
        </w:tc>
      </w:tr>
      <w:tr>
        <w:trPr>
          <w:trHeight w:val="230"/>
        </w:trPr>
        <w:tc>
          <w:tcPr>
            <w:tcW w:w="63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D8D8D8"/>
            </w:tcBorders>
            <w:shd w:val="clear" w:color="auto" w:fill="D8D8D8"/>
          </w:tcPr>
          <w:p>
            <w:pPr>
              <w:spacing w:after="0"/>
              <w:rPr>
                <w:sz w:val="20"/>
                <w:szCs w:val="20"/>
                <w:color w:val="auto"/>
              </w:rPr>
            </w:pPr>
          </w:p>
        </w:tc>
        <w:tc>
          <w:tcPr>
            <w:tcW w:w="1140" w:type="dxa"/>
            <w:vAlign w:val="bottom"/>
            <w:tcBorders>
              <w:bottom w:val="single" w:sz="8" w:color="D8D8D8"/>
            </w:tcBorders>
            <w:shd w:val="clear" w:color="auto" w:fill="D8D8D8"/>
          </w:tcPr>
          <w:p>
            <w:pPr>
              <w:spacing w:after="0"/>
              <w:rPr>
                <w:sz w:val="20"/>
                <w:szCs w:val="20"/>
                <w:color w:val="auto"/>
              </w:rPr>
            </w:pPr>
          </w:p>
        </w:tc>
        <w:tc>
          <w:tcPr>
            <w:tcW w:w="40" w:type="dxa"/>
            <w:vAlign w:val="bottom"/>
            <w:tcBorders>
              <w:bottom w:val="single" w:sz="8" w:color="D8D8D8"/>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11,234.1</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10,013.3</w:t>
            </w:r>
          </w:p>
        </w:tc>
        <w:tc>
          <w:tcPr>
            <w:tcW w:w="40" w:type="dxa"/>
            <w:vAlign w:val="bottom"/>
            <w:tcBorders>
              <w:bottom w:val="single" w:sz="8" w:color="auto"/>
            </w:tcBorders>
            <w:shd w:val="clear" w:color="auto" w:fill="D8D8D8"/>
          </w:tcPr>
          <w:p>
            <w:pPr>
              <w:spacing w:after="0"/>
              <w:rPr>
                <w:sz w:val="20"/>
                <w:szCs w:val="20"/>
                <w:color w:val="auto"/>
              </w:rPr>
            </w:pPr>
          </w:p>
        </w:tc>
      </w:tr>
    </w:tbl>
    <w:p>
      <w:pPr>
        <w:spacing w:after="0" w:line="85" w:lineRule="exact"/>
        <w:rPr>
          <w:sz w:val="20"/>
          <w:szCs w:val="20"/>
          <w:color w:val="auto"/>
        </w:rPr>
      </w:pPr>
    </w:p>
    <w:p>
      <w:pPr>
        <w:ind w:left="140" w:hanging="132"/>
        <w:spacing w:after="0"/>
        <w:tabs>
          <w:tab w:leader="none" w:pos="140" w:val="left"/>
        </w:tabs>
        <w:numPr>
          <w:ilvl w:val="0"/>
          <w:numId w:val="54"/>
        </w:numPr>
        <w:rPr>
          <w:rFonts w:ascii="Arial" w:cs="Arial" w:eastAsia="Arial" w:hAnsi="Arial"/>
          <w:sz w:val="16"/>
          <w:szCs w:val="16"/>
          <w:color w:val="auto"/>
          <w:vertAlign w:val="superscript"/>
        </w:rPr>
      </w:pPr>
      <w:r>
        <w:rPr>
          <w:rFonts w:ascii="Arial" w:cs="Arial" w:eastAsia="Arial" w:hAnsi="Arial"/>
          <w:sz w:val="12"/>
          <w:szCs w:val="12"/>
          <w:color w:val="auto"/>
        </w:rPr>
        <w:t>Long-lived assets consist of property and equipment, net, operating lease assets, and certain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10: Leases</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We determine if an arrangement is a lease at inception. We have leases with terms up to 14 years primarily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Operating lease right-of-use assets are presented as other noncurrent assets in our consolidated balance sheets, and the current and long-term portions of operating lease liabilities are included in other current liabilities and other noncurrent liabilities, respectively, in our consolidated balance sheets. Short-term leases, which are deemed at inception to have a lease term of 12 months or less, are not recorded on the consolidated balance sheets.</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6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$148.8 million, $159.4 million, and $154.6 million during the years ended December 31, 2022, 2021, and 2020, respectively.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years ended December 31, 2022, 2021, and 2020. Short-term lease expense was not material during the years ended December 31, 2022, 2021, and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as of December 31, 2022 and 2021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2021</w:t>
            </w:r>
          </w:p>
        </w:tc>
      </w:tr>
      <w:tr>
        <w:trPr>
          <w:trHeight w:val="224"/>
        </w:trPr>
        <w:tc>
          <w:tcPr>
            <w:tcW w:w="8580" w:type="dxa"/>
            <w:vAlign w:val="bottom"/>
            <w:shd w:val="clear" w:color="auto" w:fill="D8D8D8"/>
          </w:tcPr>
          <w:p>
            <w:pPr>
              <w:ind w:left="20"/>
              <w:spacing w:after="0"/>
              <w:rPr>
                <w:sz w:val="20"/>
                <w:szCs w:val="20"/>
                <w:color w:val="auto"/>
              </w:rPr>
            </w:pPr>
            <w:r>
              <w:rPr>
                <w:rFonts w:ascii="Arial" w:cs="Arial" w:eastAsia="Arial" w:hAnsi="Arial"/>
                <w:sz w:val="18"/>
                <w:szCs w:val="18"/>
                <w:color w:val="auto"/>
              </w:rPr>
              <w:t>Weighted-average remaining lease term</w:t>
            </w:r>
          </w:p>
        </w:tc>
        <w:tc>
          <w:tcPr>
            <w:tcW w:w="1120" w:type="dxa"/>
            <w:vAlign w:val="bottom"/>
            <w:shd w:val="clear" w:color="auto" w:fill="D8D8D8"/>
          </w:tcPr>
          <w:p>
            <w:pPr>
              <w:jc w:val="right"/>
              <w:ind w:right="310"/>
              <w:spacing w:after="0"/>
              <w:rPr>
                <w:sz w:val="20"/>
                <w:szCs w:val="20"/>
                <w:color w:val="auto"/>
              </w:rPr>
            </w:pPr>
            <w:r>
              <w:rPr>
                <w:rFonts w:ascii="Arial" w:cs="Arial" w:eastAsia="Arial" w:hAnsi="Arial"/>
                <w:sz w:val="18"/>
                <w:szCs w:val="18"/>
                <w:b w:val="1"/>
                <w:bCs w:val="1"/>
                <w:color w:val="auto"/>
              </w:rPr>
              <w:t>7 years</w:t>
            </w:r>
          </w:p>
        </w:tc>
        <w:tc>
          <w:tcPr>
            <w:tcW w:w="1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 years</w:t>
            </w:r>
          </w:p>
        </w:tc>
      </w:tr>
      <w:tr>
        <w:trPr>
          <w:trHeight w:val="247"/>
        </w:trPr>
        <w:tc>
          <w:tcPr>
            <w:tcW w:w="85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3.6 %</w:t>
            </w:r>
          </w:p>
        </w:tc>
        <w:tc>
          <w:tcPr>
            <w:tcW w:w="154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during the years ended December 31, 2022, 2021, and 2020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86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7"/>
              </w:rPr>
              <w:t>149.7</w:t>
            </w:r>
          </w:p>
        </w:tc>
        <w:tc>
          <w:tcPr>
            <w:tcW w:w="98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97"/>
              </w:rPr>
              <w:t>156.7</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160.9</w:t>
            </w:r>
          </w:p>
        </w:tc>
      </w:tr>
      <w:tr>
        <w:trPr>
          <w:trHeight w:val="247"/>
        </w:trPr>
        <w:tc>
          <w:tcPr>
            <w:tcW w:w="68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155.4</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163.5</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annual minimum lease payments of our operating lease liabilities as of December 31, 2022 were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2023</w:t>
            </w:r>
          </w:p>
        </w:tc>
        <w:tc>
          <w:tcPr>
            <w:tcW w:w="1080" w:type="dxa"/>
            <w:vAlign w:val="bottom"/>
            <w:tcBorders>
              <w:top w:val="single" w:sz="8" w:color="auto"/>
            </w:tcBorders>
            <w:shd w:val="clear" w:color="auto" w:fill="D8D8D8"/>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154.2</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2024</w:t>
            </w:r>
          </w:p>
        </w:tc>
        <w:tc>
          <w:tcPr>
            <w:tcW w:w="10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2025</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115.1</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2026</w:t>
            </w:r>
          </w:p>
        </w:tc>
        <w:tc>
          <w:tcPr>
            <w:tcW w:w="10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2027</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76.3</w:t>
            </w:r>
          </w:p>
        </w:tc>
      </w:tr>
      <w:tr>
        <w:trPr>
          <w:trHeight w:val="230"/>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After 2027</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r>
      <w:tr>
        <w:trPr>
          <w:trHeight w:val="223"/>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Total lease payments</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823.4</w:t>
            </w:r>
          </w:p>
        </w:tc>
      </w:tr>
      <w:tr>
        <w:trPr>
          <w:trHeight w:val="230"/>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30"/>
        </w:trPr>
        <w:tc>
          <w:tcPr>
            <w:tcW w:w="86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8D8D8"/>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728.2</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balance sheets. Finance leases are not material to our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11: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commercial paper borrowings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1,498.0</w:t>
            </w:r>
          </w:p>
        </w:tc>
        <w:tc>
          <w:tcPr>
            <w:tcW w:w="38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Long-term notes</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14,815.3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16,741.2</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debt</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6.9</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(77.2)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adjustment on hedged long-term notes</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216.9</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16,238.6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16,884.7</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(1,501.1)</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(1,538.3)</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14,737.5</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15,346.4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effective borrowing rate on short-term commercial paper borrowings at December 31, 2022 was 4.20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following table summarizes long-term notes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r>
      <w:tr>
        <w:trPr>
          <w:trHeight w:val="251"/>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2.35% notes due 2022</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750.0</w:t>
            </w: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3.00% notes due 2022</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56"/>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1.00% euro denominated notes due 2022</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678.2</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0.15% Swiss franc denominated notes due 2024</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649.5</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654.7</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7.125% notes due 2025</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217.5</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217.5</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2.75% notes due 2025</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560.6</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560.6</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1.625% euro denominated notes due 2026</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799.3</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5.5% notes due 2027</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364.3</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3.1% notes due 2027</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401.5</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401.5</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0.45% Swiss franc denominated notes due 2028</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433.0</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436.4</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3.375% notes due 2029</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930.6</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930.6</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0.42% Japanese yen denominated notes due 2029</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172.1</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2.125% euro denominated notes due 2030</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799.3</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0.625% euro denominated notes due 2031</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639.4</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678.2</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0.50% euro denominated notes due 2033</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639.4</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678.2</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0.56% Japanese yen denominated notes due 2034</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6.77% notes due 2036</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158.6</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158.6</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5.55% notes due 2037</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444.7</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444.7</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5.95% notes due 2037</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266.8</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266.8</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3.875% notes due 2039</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240.3</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1.625% British pound denominated notes due 2043</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301.2</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337.1</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4.65% notes due 2044</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3.7% notes due 2045</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386.8</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386.8</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3.95% notes due 2047</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347.0</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347.0</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3.95% notes due 2049</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958.2</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958.2</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1.70% euro denominated notes due 2049</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1,065.7</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1,130.3</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0.97% Japanese yen denominated notes due 2049</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57.4</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2.25% notes due 2050</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1,250.0</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1.125% euro denominated notes due 2051</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532.9</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565.2</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4.15% notes due 2059</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591.3</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591.3</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2.50% notes due 2060</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850.0</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850.0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1.375% euro denominated notes due 2061</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746.0</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791.2</w:t>
            </w:r>
          </w:p>
        </w:tc>
      </w:tr>
      <w:tr>
        <w:trPr>
          <w:trHeight w:val="256"/>
        </w:trPr>
        <w:tc>
          <w:tcPr>
            <w:tcW w:w="7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Unamortized note discounts</w:t>
            </w:r>
          </w:p>
        </w:tc>
        <w:tc>
          <w:tcPr>
            <w:tcW w:w="440" w:type="dxa"/>
            <w:vAlign w:val="bottom"/>
            <w:tcBorders>
              <w:bottom w:val="single" w:sz="8" w:color="auto"/>
            </w:tcBorders>
            <w:shd w:val="clear" w:color="auto" w:fill="DDDDDD"/>
          </w:tcPr>
          <w:p>
            <w:pPr>
              <w:spacing w:after="0"/>
              <w:rPr>
                <w:sz w:val="22"/>
                <w:szCs w:val="22"/>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(96.1)</w:t>
            </w:r>
          </w:p>
        </w:tc>
        <w:tc>
          <w:tcPr>
            <w:tcW w:w="40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(105.2)</w:t>
            </w:r>
          </w:p>
        </w:tc>
      </w:tr>
      <w:tr>
        <w:trPr>
          <w:trHeight w:val="258"/>
        </w:trPr>
        <w:tc>
          <w:tcPr>
            <w:tcW w:w="7720" w:type="dxa"/>
            <w:vAlign w:val="bottom"/>
          </w:tcPr>
          <w:p>
            <w:pPr>
              <w:ind w:left="20"/>
              <w:spacing w:after="0"/>
              <w:rPr>
                <w:sz w:val="20"/>
                <w:szCs w:val="20"/>
                <w:color w:val="auto"/>
              </w:rPr>
            </w:pPr>
            <w:r>
              <w:rPr>
                <w:rFonts w:ascii="Arial" w:cs="Arial" w:eastAsia="Arial" w:hAnsi="Arial"/>
                <w:sz w:val="18"/>
                <w:szCs w:val="18"/>
                <w:color w:val="auto"/>
              </w:rPr>
              <w:t>Total long-term notes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14,815.3</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16,741.2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effective borrowing rate for each issuance of the long term-notes approximates the stated interest rate.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2022, we had a total of $7.33 billion of unused committed bank credit facilities, which consisted primarily of a $3.00 billion credit facility that expires in December 2026 and a $4.00 billion 364-day facility that expires in September 2023, both of which are available to support our commercial paper program. We have not drawn against the $3.00 billion and $4.00 billion facilities as of December 31, 2022. Of the remaining committed bank credit facilities, the outstanding balances as of December 31, 2022 and 2021 were not material. Compensating balances and commitment fees are not material, and there are no conditions that are probable of occurring under which the lines may be withdrawn.</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September 2021, we issued euro-denominated notes consisting of €600.0 million of 0.50 percent fixed-rate notes due in September 2033, with interest to be paid annually. The net proceeds from the offering have been, and will continue to be, used to fund, in whole or in part, eligible projects designed to advance one or more of our environmental, social, and governance objectives.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color w:val="auto"/>
        </w:rPr>
        <w:t>In September 2021, we issued euro-denominated notes consisting of €500.0 million of 1.125 percent fixed-rate notes due in September 2051</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and €700.0 million of 1.375 percent fixed-rate notes due in September 2061, with interest to be paid annually, and British pound-denominated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consisting of £250.0 million of 1.625 percent fixed-rate notes due in September 2043, with interest to be paid annually. We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 billion of the net cash proceeds from the offering to purchase and redeem certain higher interest rate U.S. dollar-denominated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an aggregate principal amount of $1.50 billion, resulting in a debt extinguishment loss of $405.2 million. This loss was included in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expense in our consolidated statement of operations for the year ended December 31, 2021. The $1.50 billion principal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higher interest rate U.S. dollar-denominated notes that were redeemed primarily included $541.8 million of 3.95 percent notes due 2049,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$408.7 million of 4.15 percent notes due 2059, and $219.4 million of 3.375 percent notes due 2029. We used the remaining net proceeds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 offering to prefund certain 2022 debt maturities and for general corporate purposes.</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May 2020, we issued $1.00 billion of 2.25 percent fixed-rate notes due in May 2050, with interest to be paid semi-annually. We used the net cash proceeds from the offering of $988.6 million for general corporate purposes, including the repayment of outstanding commercial paper.</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August 2020, we issued $ 850.0 million of 2.50 percent fixed-rate notes due in September 2060 and an additional $250.0 million of our 2.25 percent fixed-rate notes due in May 2050, with interest to be paid semi-annually. We used the net cash proceeds from the offering of $1.07 billion for general corporate purposes, including the repayment of outstanding commercial paper.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2027</w:t>
            </w:r>
          </w:p>
        </w:tc>
      </w:tr>
      <w:tr>
        <w:trPr>
          <w:trHeight w:val="224"/>
        </w:trPr>
        <w:tc>
          <w:tcPr>
            <w:tcW w:w="5520" w:type="dxa"/>
            <w:vAlign w:val="bottom"/>
            <w:shd w:val="clear" w:color="auto" w:fill="D8D8D8"/>
          </w:tcPr>
          <w:p>
            <w:pPr>
              <w:ind w:left="20"/>
              <w:spacing w:after="0"/>
              <w:rPr>
                <w:sz w:val="20"/>
                <w:szCs w:val="20"/>
                <w:color w:val="auto"/>
              </w:rPr>
            </w:pPr>
            <w:r>
              <w:rPr>
                <w:rFonts w:ascii="Arial" w:cs="Arial" w:eastAsia="Arial" w:hAnsi="Arial"/>
                <w:sz w:val="18"/>
                <w:szCs w:val="18"/>
                <w:color w:val="auto"/>
              </w:rPr>
              <w:t>Maturities on long-term debt</w:t>
            </w:r>
          </w:p>
        </w:tc>
        <w:tc>
          <w:tcPr>
            <w:tcW w:w="700" w:type="dxa"/>
            <w:vAlign w:val="bottom"/>
            <w:shd w:val="clear" w:color="auto" w:fill="DBDBDB"/>
          </w:tcPr>
          <w:p>
            <w:pPr>
              <w:jc w:val="right"/>
              <w:ind w:right="4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649.5</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778.1</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799.3</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765.8</w:t>
            </w:r>
          </w:p>
        </w:tc>
      </w:tr>
    </w:tbl>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converted approximately 10 percent of our long-term fixed-rate notes to floating rates through the use of interest rate swaps. The weighted-average effective borrowing rates based on long-term debt obligations and interest rates at December 31, 2022 and 2021, including the effects of interest rate swaps for hedged debt obligations, were 2.87 percent and 2.27 percent,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for interest on borrowings</w:t>
            </w:r>
          </w:p>
        </w:tc>
        <w:tc>
          <w:tcPr>
            <w:tcW w:w="86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7"/>
              </w:rPr>
              <w:t>323.7</w:t>
            </w:r>
          </w:p>
        </w:tc>
        <w:tc>
          <w:tcPr>
            <w:tcW w:w="98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338.0</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345.8</w:t>
            </w:r>
          </w:p>
        </w:tc>
      </w:tr>
    </w:tbl>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relative value awards (RVAs),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RVA, and RSU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4"/>
        </w:trPr>
        <w:tc>
          <w:tcPr>
            <w:tcW w:w="4880" w:type="dxa"/>
            <w:vAlign w:val="bottom"/>
            <w:shd w:val="clear" w:color="auto" w:fill="D8D8D8"/>
          </w:tcPr>
          <w:p>
            <w:pPr>
              <w:ind w:left="20"/>
              <w:spacing w:after="0"/>
              <w:rPr>
                <w:sz w:val="20"/>
                <w:szCs w:val="20"/>
                <w:color w:val="auto"/>
              </w:rPr>
            </w:pPr>
            <w:r>
              <w:rPr>
                <w:rFonts w:ascii="Arial" w:cs="Arial" w:eastAsia="Arial" w:hAnsi="Arial"/>
                <w:sz w:val="18"/>
                <w:szCs w:val="18"/>
                <w:color w:val="auto"/>
              </w:rPr>
              <w:t>Stock-based compensation expense</w:t>
            </w:r>
          </w:p>
        </w:tc>
        <w:tc>
          <w:tcPr>
            <w:tcW w:w="2800" w:type="dxa"/>
            <w:vAlign w:val="bottom"/>
            <w:shd w:val="clear" w:color="auto" w:fill="D8D8D8"/>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371.1</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342.8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308.1</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77.9</w:t>
            </w:r>
          </w:p>
        </w:tc>
        <w:tc>
          <w:tcPr>
            <w:tcW w:w="4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72.0</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w:t>
            </w:r>
          </w:p>
        </w:tc>
      </w:tr>
    </w:tbl>
    <w:p>
      <w:pPr>
        <w:spacing w:after="0" w:line="16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At December 31, 2022, stock-based compensation awards may be granted under the 2002 Lilly Stock Plan for not more than 50.0 million additional shares.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Performance Award Program</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2022, 2021, and 2020 were $234.93, $198.57, and $137.33, respectively. The number of shares ultimately issued for the PA program is dependent upon the EPS achieved during the vesting period. Pursuant to this program, approximately 0.7 million shares, 0.7 million shares, and 1.1 million shares were issued during the years ended December 31, 2022, 2021, and 2020, respectively. Approximately 0.5 million shares are expected to be issued in 2023. As of December 31, 2022, the total remaining unrecognized compensation cost related to nonvested PAs was $38.4 million, which will be amortized over the weighted-average remaining requisite service period of 12 months.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2022, 2021, and 2020 were $203.88, $230.19, and $139.14, respectively, determined using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2022</w:t>
            </w:r>
          </w:p>
        </w:tc>
        <w:tc>
          <w:tcPr>
            <w:tcW w:w="16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4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3840" w:type="dxa"/>
            <w:vAlign w:val="bottom"/>
            <w:shd w:val="clear" w:color="auto" w:fill="D8D8D8"/>
          </w:tcPr>
          <w:p>
            <w:pPr>
              <w:jc w:val="right"/>
              <w:ind w:right="275"/>
              <w:spacing w:after="0"/>
              <w:rPr>
                <w:sz w:val="20"/>
                <w:szCs w:val="20"/>
                <w:color w:val="auto"/>
              </w:rPr>
            </w:pPr>
            <w:r>
              <w:rPr>
                <w:rFonts w:ascii="Arial" w:cs="Arial" w:eastAsia="Arial" w:hAnsi="Arial"/>
                <w:sz w:val="18"/>
                <w:szCs w:val="18"/>
                <w:b w:val="1"/>
                <w:bCs w:val="1"/>
                <w:color w:val="auto"/>
              </w:rPr>
              <w:t>1.60 %</w:t>
            </w:r>
          </w:p>
        </w:tc>
        <w:tc>
          <w:tcPr>
            <w:tcW w:w="1620" w:type="dxa"/>
            <w:vAlign w:val="bottom"/>
            <w:shd w:val="clear" w:color="auto" w:fill="D8D8D8"/>
          </w:tcPr>
          <w:p>
            <w:pPr>
              <w:jc w:val="right"/>
              <w:ind w:right="275"/>
              <w:spacing w:after="0"/>
              <w:rPr>
                <w:sz w:val="20"/>
                <w:szCs w:val="20"/>
                <w:color w:val="auto"/>
              </w:rPr>
            </w:pPr>
            <w:r>
              <w:rPr>
                <w:rFonts w:ascii="Arial" w:cs="Arial" w:eastAsia="Arial" w:hAnsi="Arial"/>
                <w:sz w:val="18"/>
                <w:szCs w:val="18"/>
                <w:color w:val="auto"/>
              </w:rPr>
              <w:t>2.50 %</w:t>
            </w:r>
          </w:p>
        </w:tc>
        <w:tc>
          <w:tcPr>
            <w:tcW w:w="1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495"/>
              <w:spacing w:after="0"/>
              <w:rPr>
                <w:sz w:val="20"/>
                <w:szCs w:val="20"/>
                <w:color w:val="auto"/>
              </w:rPr>
            </w:pPr>
            <w:r>
              <w:rPr>
                <w:rFonts w:ascii="Arial" w:cs="Arial" w:eastAsia="Arial" w:hAnsi="Arial"/>
                <w:sz w:val="18"/>
                <w:szCs w:val="18"/>
                <w:b w:val="1"/>
                <w:bCs w:val="1"/>
                <w:color w:val="auto"/>
              </w:rPr>
              <w:t>1.57</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0.19</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1.38</w:t>
            </w:r>
          </w:p>
        </w:tc>
      </w:tr>
      <w:tr>
        <w:trPr>
          <w:trHeight w:val="230"/>
        </w:trPr>
        <w:tc>
          <w:tcPr>
            <w:tcW w:w="4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3840" w:type="dxa"/>
            <w:vAlign w:val="bottom"/>
            <w:shd w:val="clear" w:color="auto" w:fill="D8D8D8"/>
          </w:tcPr>
          <w:p>
            <w:pPr>
              <w:jc w:val="right"/>
              <w:ind w:right="495"/>
              <w:spacing w:after="0"/>
              <w:rPr>
                <w:sz w:val="20"/>
                <w:szCs w:val="20"/>
                <w:color w:val="auto"/>
              </w:rPr>
            </w:pPr>
            <w:r>
              <w:rPr>
                <w:rFonts w:ascii="Arial" w:cs="Arial" w:eastAsia="Arial" w:hAnsi="Arial"/>
                <w:sz w:val="18"/>
                <w:szCs w:val="18"/>
                <w:b w:val="1"/>
                <w:bCs w:val="1"/>
                <w:color w:val="auto"/>
              </w:rPr>
              <w:t>32.99</w:t>
            </w:r>
          </w:p>
        </w:tc>
        <w:tc>
          <w:tcPr>
            <w:tcW w:w="1620" w:type="dxa"/>
            <w:vAlign w:val="bottom"/>
            <w:shd w:val="clear" w:color="auto" w:fill="D8D8D8"/>
          </w:tcPr>
          <w:p>
            <w:pPr>
              <w:jc w:val="right"/>
              <w:ind w:right="495"/>
              <w:spacing w:after="0"/>
              <w:rPr>
                <w:sz w:val="20"/>
                <w:szCs w:val="20"/>
                <w:color w:val="auto"/>
              </w:rPr>
            </w:pPr>
            <w:r>
              <w:rPr>
                <w:rFonts w:ascii="Arial" w:cs="Arial" w:eastAsia="Arial" w:hAnsi="Arial"/>
                <w:sz w:val="18"/>
                <w:szCs w:val="18"/>
                <w:color w:val="auto"/>
              </w:rPr>
              <w:t>31.42</w:t>
            </w:r>
          </w:p>
        </w:tc>
        <w:tc>
          <w:tcPr>
            <w:tcW w:w="128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20.90</w:t>
            </w:r>
          </w:p>
        </w:tc>
      </w:tr>
    </w:tbl>
    <w:p>
      <w:pPr>
        <w:spacing w:after="0" w:line="18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Pursuant to this program, approximately 0.5 million shares, 1.0 million shares, and 0.8 million shares were issued during the years ended December 31, 2022, 2021, and 2020, respectively. Approximately 0.3 million shares are expected to be issued in 2023. As of December 31, 2022, the total remaining unrecognized compensation cost related to nonvested SVAs was $43.3 million, which will be amortized over the weighted-average remaining requisite service period of 21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Value Award Program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RVAs are granted to officers and management and are payable in shares of our common stock. The number of shares actually issued, if any, varies depending on the growth of our stock price at the end of the three-year vesting period compared to our peers. We measure the fair value of the RVA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our peers' stock price, and other factors. Similarly, the dividend yield is based on historical experience and our estimate of future dividend yields. The risk-free interest rate is derived from the U.S. Treasury yield curve in effect at the time of grant. The weighted-average fair value of the RVA units granted during the years ended December 31, 2022, 2021 and 2020 were $230.00, $286.71, and $179.90, respectively, determined using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2022</w:t>
            </w:r>
          </w:p>
        </w:tc>
        <w:tc>
          <w:tcPr>
            <w:tcW w:w="16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4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3840" w:type="dxa"/>
            <w:vAlign w:val="bottom"/>
            <w:shd w:val="clear" w:color="auto" w:fill="D8D8D8"/>
          </w:tcPr>
          <w:p>
            <w:pPr>
              <w:jc w:val="right"/>
              <w:ind w:right="275"/>
              <w:spacing w:after="0"/>
              <w:rPr>
                <w:sz w:val="20"/>
                <w:szCs w:val="20"/>
                <w:color w:val="auto"/>
              </w:rPr>
            </w:pPr>
            <w:r>
              <w:rPr>
                <w:rFonts w:ascii="Arial" w:cs="Arial" w:eastAsia="Arial" w:hAnsi="Arial"/>
                <w:sz w:val="18"/>
                <w:szCs w:val="18"/>
                <w:b w:val="1"/>
                <w:bCs w:val="1"/>
                <w:color w:val="auto"/>
              </w:rPr>
              <w:t>1.60 %</w:t>
            </w:r>
          </w:p>
        </w:tc>
        <w:tc>
          <w:tcPr>
            <w:tcW w:w="1620" w:type="dxa"/>
            <w:vAlign w:val="bottom"/>
            <w:shd w:val="clear" w:color="auto" w:fill="D8D8D8"/>
          </w:tcPr>
          <w:p>
            <w:pPr>
              <w:jc w:val="right"/>
              <w:ind w:right="275"/>
              <w:spacing w:after="0"/>
              <w:rPr>
                <w:sz w:val="20"/>
                <w:szCs w:val="20"/>
                <w:color w:val="auto"/>
              </w:rPr>
            </w:pPr>
            <w:r>
              <w:rPr>
                <w:rFonts w:ascii="Arial" w:cs="Arial" w:eastAsia="Arial" w:hAnsi="Arial"/>
                <w:sz w:val="18"/>
                <w:szCs w:val="18"/>
                <w:color w:val="auto"/>
              </w:rPr>
              <w:t>2.50 %</w:t>
            </w:r>
          </w:p>
        </w:tc>
        <w:tc>
          <w:tcPr>
            <w:tcW w:w="1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495"/>
              <w:spacing w:after="0"/>
              <w:rPr>
                <w:sz w:val="20"/>
                <w:szCs w:val="20"/>
                <w:color w:val="auto"/>
              </w:rPr>
            </w:pPr>
            <w:r>
              <w:rPr>
                <w:rFonts w:ascii="Arial" w:cs="Arial" w:eastAsia="Arial" w:hAnsi="Arial"/>
                <w:sz w:val="18"/>
                <w:szCs w:val="18"/>
                <w:b w:val="1"/>
                <w:bCs w:val="1"/>
                <w:color w:val="auto"/>
              </w:rPr>
              <w:t>1.57</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0.19</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1.38</w:t>
            </w:r>
          </w:p>
        </w:tc>
      </w:tr>
      <w:tr>
        <w:trPr>
          <w:trHeight w:val="230"/>
        </w:trPr>
        <w:tc>
          <w:tcPr>
            <w:tcW w:w="4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3840" w:type="dxa"/>
            <w:vAlign w:val="bottom"/>
            <w:shd w:val="clear" w:color="auto" w:fill="D8D8D8"/>
          </w:tcPr>
          <w:p>
            <w:pPr>
              <w:jc w:val="right"/>
              <w:ind w:right="495"/>
              <w:spacing w:after="0"/>
              <w:rPr>
                <w:sz w:val="20"/>
                <w:szCs w:val="20"/>
                <w:color w:val="auto"/>
              </w:rPr>
            </w:pPr>
            <w:r>
              <w:rPr>
                <w:rFonts w:ascii="Arial" w:cs="Arial" w:eastAsia="Arial" w:hAnsi="Arial"/>
                <w:sz w:val="18"/>
                <w:szCs w:val="18"/>
                <w:b w:val="1"/>
                <w:bCs w:val="1"/>
                <w:color w:val="auto"/>
              </w:rPr>
              <w:t>32.86</w:t>
            </w:r>
          </w:p>
        </w:tc>
        <w:tc>
          <w:tcPr>
            <w:tcW w:w="1620" w:type="dxa"/>
            <w:vAlign w:val="bottom"/>
            <w:shd w:val="clear" w:color="auto" w:fill="D8D8D8"/>
          </w:tcPr>
          <w:p>
            <w:pPr>
              <w:jc w:val="right"/>
              <w:ind w:right="495"/>
              <w:spacing w:after="0"/>
              <w:rPr>
                <w:sz w:val="20"/>
                <w:szCs w:val="20"/>
                <w:color w:val="auto"/>
              </w:rPr>
            </w:pPr>
            <w:r>
              <w:rPr>
                <w:rFonts w:ascii="Arial" w:cs="Arial" w:eastAsia="Arial" w:hAnsi="Arial"/>
                <w:sz w:val="18"/>
                <w:szCs w:val="18"/>
                <w:color w:val="auto"/>
              </w:rPr>
              <w:t>30.95</w:t>
            </w:r>
          </w:p>
        </w:tc>
        <w:tc>
          <w:tcPr>
            <w:tcW w:w="128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19.89</w:t>
            </w:r>
          </w:p>
        </w:tc>
      </w:tr>
    </w:tbl>
    <w:p>
      <w:pPr>
        <w:spacing w:after="0" w:line="17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Approximately 0.1 million shares are expected to be issued in 2023. As of December 31, 2022, the total remaining unrecognized compensation cost related to nonvested RVAs was $17.5 million, which will be amortized over the weighted-average remaining requisite service period of 22 months.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Restricted Stock Units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weighted-average fair values of RSU awards granted during the years ended December 31, 2022, 2021, and 2020 were $239.88, $196.30, and $135.42, respectively. The number of shares ultimately issued for the RSU program remains constant with the exception of forfeitures. Pursuant to this program, 1.0 million, 0.7 million, and 1.1 million shares were granted and approximately 0.8 million, 0.6 million, and 0.6 million shares were issued during the years ended December 31, 2022, 2021, and 2020, respectively. Approximately 0.6 million shares are expected to be issued in 2023. As of December 31, 2022, the total remaining unrecognized compensation cost related to nonvested RSUs was $221.6 million, which will be amortized over the weighted-average remaining requisite service period of 25 months.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Shareholders' Equity</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2022, 2021, and 2020, we repurchased $1.50 billion, $ 1.25 billion, and $500.0 million, respectively, of shares associated with our share repurchase programs. As of December 31, 2022, we had $3.25 billion remaining under our $5.00 billion share repurchase program that our board authorized in May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2022 and 2021, no preferred stock was issued.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2022 and 2021, to provide a source of funds to assist us in meeting our obligations under various employee benefit plans. The cost basis of the shares held in the trust was $3.01 billion at both December 31, 2022 and 2021,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2022, 2021, and 2020.</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Deferred taxes related to global intangible low-taxed income (GILTI) are also recognized for the future tax effects of temporary differences.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based on its technical merits, will be sustained upon examination by the taxing authority. The tax benefits recognized in the financial statements from such a position are measured based on the largest benefit that has a greater than 50 percent likelihood of being realized upon ultimate resolution.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30"/>
        </w:trPr>
        <w:tc>
          <w:tcPr>
            <w:tcW w:w="6820" w:type="dxa"/>
            <w:vAlign w:val="bottom"/>
          </w:tcPr>
          <w:p>
            <w:pPr>
              <w:ind w:left="140"/>
              <w:spacing w:after="0" w:line="230" w:lineRule="exact"/>
              <w:rPr>
                <w:sz w:val="20"/>
                <w:szCs w:val="20"/>
                <w:color w:val="auto"/>
              </w:rPr>
            </w:pPr>
            <w:r>
              <w:rPr>
                <w:rFonts w:ascii="Arial" w:cs="Arial" w:eastAsia="Arial" w:hAnsi="Arial"/>
                <w:sz w:val="18"/>
                <w:szCs w:val="18"/>
                <w:color w:val="auto"/>
              </w:rPr>
              <w:t>Federal</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2,153.6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567.6</w:t>
            </w:r>
          </w:p>
        </w:tc>
      </w:tr>
      <w:tr>
        <w:trPr>
          <w:trHeight w:val="229"/>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547.7</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466.0</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650.4</w:t>
            </w:r>
          </w:p>
        </w:tc>
      </w:tr>
      <w:tr>
        <w:trPr>
          <w:trHeight w:val="230"/>
        </w:trPr>
        <w:tc>
          <w:tcPr>
            <w:tcW w:w="682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45.5</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23"/>
        </w:trPr>
        <w:tc>
          <w:tcPr>
            <w:tcW w:w="68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2,746.8</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1,376.1</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1,170.7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(1,992.4)</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(977.5)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(78.2)</w:t>
            </w:r>
          </w:p>
        </w:tc>
        <w:tc>
          <w:tcPr>
            <w:tcW w:w="4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(114.6)</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6820" w:type="dxa"/>
            <w:vAlign w:val="bottom"/>
            <w:tcBorders>
              <w:bottom w:val="single" w:sz="8" w:color="D8D8D8"/>
            </w:tcBorders>
          </w:tcPr>
          <w:p>
            <w:pPr>
              <w:ind w:left="360"/>
              <w:spacing w:after="0"/>
              <w:rPr>
                <w:sz w:val="20"/>
                <w:szCs w:val="20"/>
                <w:color w:val="auto"/>
              </w:rPr>
            </w:pPr>
            <w:r>
              <w:rPr>
                <w:rFonts w:ascii="Arial" w:cs="Arial" w:eastAsia="Arial" w:hAnsi="Arial"/>
                <w:sz w:val="18"/>
                <w:szCs w:val="18"/>
                <w:color w:val="auto"/>
              </w:rPr>
              <w:t>Total deferred tax benefit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(2,185.2)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r>
      <w:tr>
        <w:trPr>
          <w:trHeight w:val="230"/>
        </w:trPr>
        <w:tc>
          <w:tcPr>
            <w:tcW w:w="6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561.6</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573.8</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1,036.2</w:t>
            </w:r>
          </w:p>
        </w:tc>
      </w:tr>
    </w:tbl>
    <w:p>
      <w:pPr>
        <w:spacing w:after="0" w:line="85" w:lineRule="exact"/>
        <w:rPr>
          <w:sz w:val="20"/>
          <w:szCs w:val="20"/>
          <w:color w:val="auto"/>
        </w:rPr>
      </w:pPr>
    </w:p>
    <w:p>
      <w:pPr>
        <w:ind w:left="180" w:right="140" w:hanging="172"/>
        <w:spacing w:after="0" w:line="222" w:lineRule="auto"/>
        <w:tabs>
          <w:tab w:leader="none" w:pos="172"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The 2022, 2021, and 2020 current tax expense includes $189.5 million, $64.7 million, and $144.4 million of tax benefit, respectively, from utilization of net operating loss and other tax carryforwards.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Significant components of our deferred tax assets and liabilities as of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24"/>
        </w:trPr>
        <w:tc>
          <w:tcPr>
            <w:tcW w:w="8320" w:type="dxa"/>
            <w:vAlign w:val="bottom"/>
            <w:shd w:val="clear" w:color="auto" w:fill="D4D4D4"/>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Purchases of intangible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2,071.3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2,347.4</w:t>
            </w:r>
          </w:p>
        </w:tc>
      </w:tr>
      <w:tr>
        <w:trPr>
          <w:trHeight w:val="229"/>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427.9</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634.7</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477.6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463.7</w:t>
            </w:r>
          </w:p>
        </w:tc>
      </w:tr>
      <w:tr>
        <w:trPr>
          <w:trHeight w:val="229"/>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Tax loss and other tax carryforwards and carrybacks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626.0</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645.4</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Sales rebates and discounts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1,312.9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832.3</w:t>
            </w:r>
          </w:p>
        </w:tc>
      </w:tr>
      <w:tr>
        <w:trPr>
          <w:trHeight w:val="230"/>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Correlative tax adjustments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752.5</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560.8</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Foreign tax redeterminations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267.8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30"/>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147.5</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Capitalized research and development</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1,615.4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29"/>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4D4D4"/>
          </w:tcPr>
          <w:p>
            <w:pPr>
              <w:spacing w:after="0"/>
              <w:rPr>
                <w:sz w:val="19"/>
                <w:szCs w:val="19"/>
                <w:color w:val="auto"/>
              </w:rPr>
            </w:pPr>
          </w:p>
        </w:tc>
        <w:tc>
          <w:tcPr>
            <w:tcW w:w="1120" w:type="dxa"/>
            <w:vAlign w:val="bottom"/>
            <w:tcBorders>
              <w:bottom w:val="single" w:sz="8" w:color="auto"/>
            </w:tcBorders>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361.0</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477.9</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8,059.9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6,662.2</w:t>
            </w:r>
          </w:p>
        </w:tc>
      </w:tr>
      <w:tr>
        <w:trPr>
          <w:trHeight w:val="229"/>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shd w:val="clear" w:color="auto" w:fill="D4D4D4"/>
          </w:tcPr>
          <w:p>
            <w:pPr>
              <w:spacing w:after="0"/>
              <w:rPr>
                <w:sz w:val="19"/>
                <w:szCs w:val="19"/>
                <w:color w:val="auto"/>
              </w:rPr>
            </w:pPr>
          </w:p>
        </w:tc>
        <w:tc>
          <w:tcPr>
            <w:tcW w:w="11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(775.1)</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(875.6)</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7,284.8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5,786.6</w:t>
            </w:r>
          </w:p>
        </w:tc>
      </w:tr>
      <w:tr>
        <w:trPr>
          <w:trHeight w:val="229"/>
        </w:trPr>
        <w:tc>
          <w:tcPr>
            <w:tcW w:w="8320" w:type="dxa"/>
            <w:vAlign w:val="bottom"/>
            <w:shd w:val="clear" w:color="auto" w:fill="D4D4D4"/>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Earnings of foreign subsidiaries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(1,226.0)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(1,583.3)</w:t>
            </w:r>
          </w:p>
        </w:tc>
      </w:tr>
      <w:tr>
        <w:trPr>
          <w:trHeight w:val="229"/>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(1,387.9)</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(1,516.1)</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(639.5)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(596.4)</w:t>
            </w:r>
          </w:p>
        </w:tc>
      </w:tr>
      <w:tr>
        <w:trPr>
          <w:trHeight w:val="230"/>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Prepaid employee benefits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(546.5)</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(560.6)</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(433.5)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(338.7)</w:t>
            </w:r>
          </w:p>
        </w:tc>
      </w:tr>
      <w:tr>
        <w:trPr>
          <w:trHeight w:val="230"/>
        </w:trPr>
        <w:tc>
          <w:tcPr>
            <w:tcW w:w="8320" w:type="dxa"/>
            <w:vAlign w:val="bottom"/>
            <w:shd w:val="clear" w:color="auto" w:fill="D4D4D4"/>
          </w:tcPr>
          <w:p>
            <w:pPr>
              <w:ind w:left="140"/>
              <w:spacing w:after="0"/>
              <w:rPr>
                <w:sz w:val="20"/>
                <w:szCs w:val="20"/>
                <w:color w:val="auto"/>
              </w:rPr>
            </w:pPr>
            <w:r>
              <w:rPr>
                <w:rFonts w:ascii="Arial" w:cs="Arial" w:eastAsia="Arial" w:hAnsi="Arial"/>
                <w:sz w:val="18"/>
                <w:szCs w:val="18"/>
                <w:color w:val="auto"/>
              </w:rPr>
              <w:t>Financial instruments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(215.0)</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(303.0)</w:t>
            </w:r>
          </w:p>
        </w:tc>
      </w:tr>
      <w:tr>
        <w:trPr>
          <w:trHeight w:val="230"/>
        </w:trPr>
        <w:tc>
          <w:tcPr>
            <w:tcW w:w="832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r>
      <w:tr>
        <w:trPr>
          <w:trHeight w:val="223"/>
        </w:trPr>
        <w:tc>
          <w:tcPr>
            <w:tcW w:w="8320" w:type="dxa"/>
            <w:vAlign w:val="bottom"/>
            <w:shd w:val="clear" w:color="auto" w:fill="D4D4D4"/>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4D4D4"/>
          </w:tcPr>
          <w:p>
            <w:pPr>
              <w:spacing w:after="0"/>
              <w:rPr>
                <w:sz w:val="19"/>
                <w:szCs w:val="19"/>
                <w:color w:val="auto"/>
              </w:rPr>
            </w:pPr>
          </w:p>
        </w:tc>
        <w:tc>
          <w:tcPr>
            <w:tcW w:w="11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(4,579.1)</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(5,030.7)</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Deferred tax assets -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2,705.7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w:t>
            </w:r>
          </w:p>
        </w:tc>
      </w:tr>
    </w:tbl>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deferred tax asset and related valuation allowance amounts for U.S. federal, international, and state net operating losses and tax credits shown above have been reduced for differences between financial reporting and tax return filings.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At December 31, 2022, based on filed tax returns we have tax credit carryforwards and carrybacks of $873.6 million available to reduce future income taxes; $148.8 million, if unused, will expire by 2026, and $27.1 million, if unused, will expire between 2028 and 2042. The remaining portion of the tax credit carryforwards is related to federal tax credits of $68.6 million, international tax credits of $118.6 million, and state tax credits of $510.5 million, all of which are fully reserved.</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2022, based on filed tax returns we had net operating losses and other carryforwards for international and U.S. federal income tax purposes of $2.52 billion: $319.1 million will expire by 2027; $1.44 billion will expire between 2028 and 2042; and $762.0 million of the carryforwards will never expire. Net operating losses and other carryforwards for international and U.S. federal income tax purposes are partially reserved. Deferred tax assets related to state net operating losses and other carryforwards of $246.2 million are fully reserved as of December 31, 2022.</w:t>
      </w:r>
    </w:p>
    <w:p>
      <w:pPr>
        <w:spacing w:after="0" w:line="7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At December 31, 2022 and 2021, prepaid expenses and other current assets included prepaid taxes of $2.37 billion and $1.98 billion, respectively.</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Domestic and Puerto Rican companies contributed approximately 33 percent, 28 percent, and 39 percent for the years ended December 31, 2022, 2021, and 2020, respectively, to consolidated income before income taxes. We have a subsidiary operating in Puerto Rico under a tax incentive grant effective through the end of 2031, which was amended in 2022 to apply the alternate tax regime established by recently enacted Puerto Rico legislation starting in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spacing w:after="0" w:line="244" w:lineRule="auto"/>
        <w:rPr>
          <w:sz w:val="20"/>
          <w:szCs w:val="20"/>
          <w:color w:val="auto"/>
        </w:rPr>
      </w:pPr>
      <w:r>
        <w:rPr>
          <w:rFonts w:ascii="Arial" w:cs="Arial" w:eastAsia="Arial" w:hAnsi="Arial"/>
          <w:sz w:val="18"/>
          <w:szCs w:val="18"/>
          <w:color w:val="auto"/>
        </w:rPr>
        <w:t>Substantially all of the unremitted earnings of our foreign subsidiaries are considered not to be indefinitely reinvested for continued use in our foreign operations. At December 31, 2022 and 2021, we accrued an immaterial amount of foreign withholding taxes and state income taxes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Cash payments of U.S. federal, state, and foreign income taxes, net of refunds,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24"/>
        </w:trPr>
        <w:tc>
          <w:tcPr>
            <w:tcW w:w="470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of income taxes</w:t>
            </w:r>
          </w:p>
        </w:tc>
        <w:tc>
          <w:tcPr>
            <w:tcW w:w="24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2,672.9</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1,598.8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954.6</w:t>
            </w:r>
          </w:p>
        </w:tc>
      </w:tr>
    </w:tbl>
    <w:p>
      <w:pPr>
        <w:spacing w:after="0" w:line="170"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In December 2017, the Tax Cuts and Job Act (2017 Tax Act) was signed into law. The 2017 Tax Act included significant changes to the U.S. corporate income tax system, including a one-time repatriation transition tax (also known as the 'Toll Tax') on unremitted foreign earnings. The 2017 Tax Act provided an election to taxpayers subject to the Toll Tax to make payments over an eight-year period beginning in 2018 through 2025. Having made this election, our future cash payments relating to the Toll Tax as of December 31, 2022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Less than 1 Year</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1-3 Years</w:t>
            </w:r>
          </w:p>
        </w:tc>
      </w:tr>
      <w:tr>
        <w:trPr>
          <w:trHeight w:val="224"/>
        </w:trPr>
        <w:tc>
          <w:tcPr>
            <w:tcW w:w="3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2017 Tax Act Toll Tax</w:t>
            </w:r>
          </w:p>
        </w:tc>
        <w:tc>
          <w:tcPr>
            <w:tcW w:w="266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1,895.8</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475.7</w:t>
            </w:r>
          </w:p>
        </w:tc>
        <w:tc>
          <w:tcPr>
            <w:tcW w:w="34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1,420.1</w:t>
            </w:r>
          </w:p>
        </w:tc>
      </w:tr>
    </w:tbl>
    <w:p>
      <w:pPr>
        <w:spacing w:after="0" w:line="184"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As of December 31, 2022, we have additional noncurrent income tax payables of $2.28 billion unrelated to the Toll Tax; we cannot reasonably estimate the timing of future cash outflows associated with these liabilities.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Following is a reconciliation of the consolidated income tax expense applying the U.S. federal statutory rate to income before income taxes to reported consolidated income tax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 at the U.S. federal statutory tax rate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1,429.3</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1,292.6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1,518.3</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820" w:type="dxa"/>
            <w:vAlign w:val="bottom"/>
            <w:shd w:val="clear" w:color="auto" w:fill="D8D8D8"/>
          </w:tcPr>
          <w:p>
            <w:pPr>
              <w:ind w:left="140"/>
              <w:spacing w:after="0" w:line="230" w:lineRule="exact"/>
              <w:rPr>
                <w:sz w:val="20"/>
                <w:szCs w:val="20"/>
                <w:color w:val="auto"/>
              </w:rPr>
            </w:pPr>
            <w:r>
              <w:rPr>
                <w:rFonts w:ascii="Arial" w:cs="Arial" w:eastAsia="Arial" w:hAnsi="Arial"/>
                <w:sz w:val="18"/>
                <w:szCs w:val="18"/>
                <w:color w:val="auto"/>
              </w:rPr>
              <w:t>International operations, including Puerto Rico</w:t>
            </w:r>
            <w:r>
              <w:rPr>
                <w:rFonts w:ascii="Arial" w:cs="Arial" w:eastAsia="Arial" w:hAnsi="Arial"/>
                <w:sz w:val="23"/>
                <w:szCs w:val="23"/>
                <w:color w:val="auto"/>
                <w:vertAlign w:val="superscript"/>
              </w:rPr>
              <w:t>(1)</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(299.5)</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(447.5)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(297.2)</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General business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(155.0)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30"/>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Foreign-derived intangible income deduction</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(287.5)</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(86.7)</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Valuation allowance release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(116.4)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8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(9.3)</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(65.1)</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561.6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573.8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w:t>
            </w:r>
          </w:p>
        </w:tc>
      </w:tr>
    </w:tbl>
    <w:p>
      <w:pPr>
        <w:spacing w:after="0" w:line="85" w:lineRule="exact"/>
        <w:rPr>
          <w:sz w:val="20"/>
          <w:szCs w:val="20"/>
          <w:color w:val="auto"/>
        </w:rPr>
      </w:pPr>
    </w:p>
    <w:p>
      <w:pPr>
        <w:ind w:left="140" w:hanging="132"/>
        <w:spacing w:after="0"/>
        <w:tabs>
          <w:tab w:leader="none" w:pos="140" w:val="left"/>
        </w:tabs>
        <w:numPr>
          <w:ilvl w:val="0"/>
          <w:numId w:val="56"/>
        </w:numPr>
        <w:rPr>
          <w:rFonts w:ascii="Arial" w:cs="Arial" w:eastAsia="Arial" w:hAnsi="Arial"/>
          <w:sz w:val="16"/>
          <w:szCs w:val="16"/>
          <w:color w:val="auto"/>
          <w:vertAlign w:val="superscript"/>
        </w:rPr>
      </w:pPr>
      <w:r>
        <w:rPr>
          <w:rFonts w:ascii="Arial" w:cs="Arial" w:eastAsia="Arial" w:hAnsi="Arial"/>
          <w:sz w:val="12"/>
          <w:szCs w:val="12"/>
          <w:color w:val="auto"/>
        </w:rPr>
        <w:t>Includes the impact of Puerto Rico Excise Tax, GILTI tax, and other U.S. taxation of foreign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2,798.3</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2,551.9</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2,108.6</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274.2</w:t>
            </w:r>
          </w:p>
        </w:tc>
        <w:tc>
          <w:tcPr>
            <w:tcW w:w="4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310.3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30"/>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34.6</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98.6</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310.8</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(44.8)</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(72.0)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(52.6)</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(66.2)</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2,987.0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2,798.3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2,551.9</w:t>
            </w:r>
          </w:p>
        </w:tc>
      </w:tr>
    </w:tbl>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$1.70 billion at both December 31, 2022 and 2021.</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file U.S. federal, foreign, and various state and local income tax returns. We are no longer subject to U.S. federal income tax examination for years before 2016. In most major foreign and state jurisdictions, we are no longer subject to income tax examination for years before 2012.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2" w:name="page93"/>
    <w:bookmarkEnd w:id="92"/>
    <w:p>
      <w:pPr>
        <w:ind w:right="80"/>
        <w:spacing w:after="0" w:line="262" w:lineRule="auto"/>
        <w:rPr>
          <w:sz w:val="20"/>
          <w:szCs w:val="20"/>
          <w:color w:val="auto"/>
        </w:rPr>
      </w:pPr>
      <w:r>
        <w:rPr>
          <w:rFonts w:ascii="Arial" w:cs="Arial" w:eastAsia="Arial" w:hAnsi="Arial"/>
          <w:sz w:val="18"/>
          <w:szCs w:val="18"/>
          <w:color w:val="auto"/>
        </w:rPr>
        <w:t>The U.S. examination of tax years 2016-2018 began in 2019 and remains ongoing. While it is reasonably possible that the Internal Revenue Service examination of these tax years could conclude within the next 12 months, final resolution of certain matters is dependent upon several factors, including the potential for formal administrative proceedings. As a result, an estimate of the range of reasonably possible changes in unrecognized tax benefits cannot be made.</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Interest and penalties related to unrecognized tax benefits are recognized in income tax expense and were not material for the years ended December 31, 2022, 2021, and 2020. Our accrued interest and penalties related to unrecognized tax benefits were $271.5 million and $220.1 million at December 31, 2022 and 2021,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Benefits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left="413"/>
              <w:spacing w:after="0"/>
              <w:rPr>
                <w:sz w:val="20"/>
                <w:szCs w:val="20"/>
                <w:color w:val="auto"/>
              </w:rPr>
            </w:pPr>
            <w:r>
              <w:rPr>
                <w:rFonts w:ascii="Arial" w:cs="Arial" w:eastAsia="Arial" w:hAnsi="Arial"/>
                <w:sz w:val="14"/>
                <w:szCs w:val="14"/>
                <w:b w:val="1"/>
                <w:bCs w:val="1"/>
                <w:color w:val="auto"/>
              </w:rPr>
              <w:t>Defined Benefit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left="433"/>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85"/>
        </w:trPr>
        <w:tc>
          <w:tcPr>
            <w:tcW w:w="57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433"/>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433"/>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6"/>
                <w:szCs w:val="16"/>
                <w:color w:val="auto"/>
              </w:rPr>
            </w:pPr>
          </w:p>
        </w:tc>
      </w:tr>
      <w:tr>
        <w:trPr>
          <w:trHeight w:val="195"/>
        </w:trPr>
        <w:tc>
          <w:tcPr>
            <w:tcW w:w="5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224"/>
        </w:trPr>
        <w:tc>
          <w:tcPr>
            <w:tcW w:w="5740" w:type="dxa"/>
            <w:vAlign w:val="bottom"/>
            <w:shd w:val="clear" w:color="auto" w:fill="D8D8D8"/>
          </w:tcPr>
          <w:p>
            <w:pPr>
              <w:ind w:left="20"/>
              <w:spacing w:after="0"/>
              <w:rPr>
                <w:sz w:val="20"/>
                <w:szCs w:val="20"/>
                <w:color w:val="auto"/>
              </w:rPr>
            </w:pPr>
            <w:r>
              <w:rPr>
                <w:rFonts w:ascii="Arial" w:cs="Arial" w:eastAsia="Arial" w:hAnsi="Arial"/>
                <w:sz w:val="18"/>
                <w:szCs w:val="18"/>
                <w:color w:val="auto"/>
              </w:rPr>
              <w:t>Change in benefit obligation:</w:t>
            </w:r>
          </w:p>
        </w:tc>
        <w:tc>
          <w:tcPr>
            <w:tcW w:w="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52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52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3"/>
              <w:spacing w:after="0"/>
              <w:rPr>
                <w:sz w:val="20"/>
                <w:szCs w:val="20"/>
                <w:color w:val="auto"/>
              </w:rPr>
            </w:pPr>
            <w:r>
              <w:rPr>
                <w:rFonts w:ascii="Arial" w:cs="Arial" w:eastAsia="Arial" w:hAnsi="Arial"/>
                <w:sz w:val="18"/>
                <w:szCs w:val="18"/>
                <w:b w:val="1"/>
                <w:bCs w:val="1"/>
                <w:color w:val="auto"/>
              </w:rPr>
              <w:t>17,565.0</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18,225.5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1,663.8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1,753.7</w:t>
            </w:r>
          </w:p>
        </w:tc>
      </w:tr>
      <w:tr>
        <w:trPr>
          <w:trHeight w:val="229"/>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Service cost</w:t>
            </w:r>
          </w:p>
        </w:tc>
        <w:tc>
          <w:tcPr>
            <w:tcW w:w="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351.7</w:t>
            </w:r>
          </w:p>
        </w:tc>
        <w:tc>
          <w:tcPr>
            <w:tcW w:w="520" w:type="dxa"/>
            <w:vAlign w:val="bottom"/>
            <w:shd w:val="clear" w:color="auto" w:fill="D8D8D8"/>
          </w:tcPr>
          <w:p>
            <w:pPr>
              <w:spacing w:after="0"/>
              <w:rPr>
                <w:sz w:val="19"/>
                <w:szCs w:val="19"/>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46.6</w:t>
            </w:r>
          </w:p>
        </w:tc>
        <w:tc>
          <w:tcPr>
            <w:tcW w:w="52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b w:val="1"/>
                <w:bCs w:val="1"/>
                <w:color w:val="auto"/>
              </w:rPr>
              <w:t>398.1</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37.8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Actuarial (gain) loss</w:t>
            </w:r>
          </w:p>
        </w:tc>
        <w:tc>
          <w:tcPr>
            <w:tcW w:w="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(4,158.9)</w:t>
            </w:r>
          </w:p>
        </w:tc>
        <w:tc>
          <w:tcPr>
            <w:tcW w:w="520" w:type="dxa"/>
            <w:vAlign w:val="bottom"/>
            <w:shd w:val="clear" w:color="auto" w:fill="D8D8D8"/>
          </w:tcPr>
          <w:p>
            <w:pPr>
              <w:spacing w:after="0"/>
              <w:rPr>
                <w:sz w:val="19"/>
                <w:szCs w:val="19"/>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(564.3)</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(395.9)</w:t>
            </w:r>
          </w:p>
        </w:tc>
        <w:tc>
          <w:tcPr>
            <w:tcW w:w="52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(86.1)</w:t>
            </w: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(608.9)</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(86.8)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 currency exchange rate changes and other adjustments</w:t>
            </w:r>
          </w:p>
        </w:tc>
        <w:tc>
          <w:tcPr>
            <w:tcW w:w="60" w:type="dxa"/>
            <w:vAlign w:val="bottom"/>
            <w:tcBorders>
              <w:bottom w:val="single" w:sz="8" w:color="auto"/>
            </w:tcBorders>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(325.0)</w:t>
            </w:r>
          </w:p>
        </w:tc>
        <w:tc>
          <w:tcPr>
            <w:tcW w:w="520" w:type="dxa"/>
            <w:vAlign w:val="bottom"/>
            <w:tcBorders>
              <w:bottom w:val="single" w:sz="8" w:color="auto"/>
            </w:tcBorders>
            <w:shd w:val="clear" w:color="auto" w:fill="D8D8D8"/>
          </w:tcPr>
          <w:p>
            <w:pPr>
              <w:spacing w:after="0"/>
              <w:rPr>
                <w:sz w:val="19"/>
                <w:szCs w:val="19"/>
                <w:color w:val="auto"/>
              </w:rPr>
            </w:pPr>
          </w:p>
        </w:tc>
        <w:tc>
          <w:tcPr>
            <w:tcW w:w="8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auto"/>
            </w:tcBorders>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(6.7)</w:t>
            </w:r>
          </w:p>
        </w:tc>
        <w:tc>
          <w:tcPr>
            <w:tcW w:w="520" w:type="dxa"/>
            <w:vAlign w:val="bottom"/>
            <w:tcBorders>
              <w:bottom w:val="single" w:sz="8" w:color="auto"/>
            </w:tcBorders>
            <w:shd w:val="clear" w:color="auto" w:fill="D8D8D8"/>
          </w:tcPr>
          <w:p>
            <w:pPr>
              <w:spacing w:after="0"/>
              <w:rPr>
                <w:sz w:val="19"/>
                <w:szCs w:val="19"/>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w:t>
            </w:r>
          </w:p>
        </w:tc>
      </w:tr>
      <w:tr>
        <w:trPr>
          <w:trHeight w:val="240"/>
        </w:trPr>
        <w:tc>
          <w:tcPr>
            <w:tcW w:w="5740" w:type="dxa"/>
            <w:vAlign w:val="bottom"/>
          </w:tcPr>
          <w:p>
            <w:pPr>
              <w:ind w:left="140"/>
              <w:spacing w:after="0"/>
              <w:rPr>
                <w:sz w:val="20"/>
                <w:szCs w:val="20"/>
                <w:color w:val="auto"/>
              </w:rPr>
            </w:pPr>
            <w:r>
              <w:rPr>
                <w:rFonts w:ascii="Arial" w:cs="Arial" w:eastAsia="Arial" w:hAnsi="Arial"/>
                <w:sz w:val="18"/>
                <w:szCs w:val="18"/>
                <w:color w:val="auto"/>
              </w:rPr>
              <w:t>Benefit obligation at end of year</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b w:val="1"/>
                <w:bCs w:val="1"/>
                <w:color w:val="auto"/>
              </w:rPr>
              <w:t>13,222.0</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17,565.0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1,258.8</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1,663.8</w:t>
            </w:r>
          </w:p>
        </w:tc>
      </w:tr>
      <w:tr>
        <w:trPr>
          <w:trHeight w:val="104"/>
        </w:trPr>
        <w:tc>
          <w:tcPr>
            <w:tcW w:w="5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30"/>
        </w:trPr>
        <w:tc>
          <w:tcPr>
            <w:tcW w:w="5740" w:type="dxa"/>
            <w:vAlign w:val="bottom"/>
            <w:shd w:val="clear" w:color="auto" w:fill="D8D8D8"/>
          </w:tcPr>
          <w:p>
            <w:pPr>
              <w:ind w:left="20"/>
              <w:spacing w:after="0"/>
              <w:rPr>
                <w:sz w:val="20"/>
                <w:szCs w:val="20"/>
                <w:color w:val="auto"/>
              </w:rPr>
            </w:pPr>
            <w:r>
              <w:rPr>
                <w:rFonts w:ascii="Arial" w:cs="Arial" w:eastAsia="Arial" w:hAnsi="Arial"/>
                <w:sz w:val="18"/>
                <w:szCs w:val="18"/>
                <w:color w:val="auto"/>
              </w:rPr>
              <w:t>Change in plan assets:</w:t>
            </w:r>
          </w:p>
        </w:tc>
        <w:tc>
          <w:tcPr>
            <w:tcW w:w="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52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52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16,416.0</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3,361.4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3,227.0</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Actual return on plan assets</w:t>
            </w:r>
          </w:p>
        </w:tc>
        <w:tc>
          <w:tcPr>
            <w:tcW w:w="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(2,388.1)</w:t>
            </w:r>
          </w:p>
        </w:tc>
        <w:tc>
          <w:tcPr>
            <w:tcW w:w="520" w:type="dxa"/>
            <w:vAlign w:val="bottom"/>
            <w:shd w:val="clear" w:color="auto" w:fill="D8D8D8"/>
          </w:tcPr>
          <w:p>
            <w:pPr>
              <w:spacing w:after="0"/>
              <w:rPr>
                <w:sz w:val="19"/>
                <w:szCs w:val="19"/>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2,458.1</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(796.0)</w:t>
            </w:r>
          </w:p>
        </w:tc>
        <w:tc>
          <w:tcPr>
            <w:tcW w:w="52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202.6</w:t>
            </w: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Employer contribution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118.1</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13.9</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Benefits paid</w:t>
            </w:r>
          </w:p>
        </w:tc>
        <w:tc>
          <w:tcPr>
            <w:tcW w:w="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(608.9)</w:t>
            </w:r>
          </w:p>
        </w:tc>
        <w:tc>
          <w:tcPr>
            <w:tcW w:w="520" w:type="dxa"/>
            <w:vAlign w:val="bottom"/>
            <w:shd w:val="clear" w:color="auto" w:fill="D8D8D8"/>
          </w:tcPr>
          <w:p>
            <w:pPr>
              <w:spacing w:after="0"/>
              <w:rPr>
                <w:sz w:val="19"/>
                <w:szCs w:val="19"/>
                <w:color w:val="auto"/>
              </w:rPr>
            </w:pPr>
          </w:p>
        </w:tc>
        <w:tc>
          <w:tcPr>
            <w:tcW w:w="9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(630.1)</w:t>
            </w: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(86.8)</w:t>
            </w:r>
          </w:p>
        </w:tc>
        <w:tc>
          <w:tcPr>
            <w:tcW w:w="52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574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Foreign currency exchange rate changes and other adjustments</w:t>
            </w:r>
          </w:p>
        </w:tc>
        <w:tc>
          <w:tcPr>
            <w:tcW w:w="60" w:type="dxa"/>
            <w:vAlign w:val="bottom"/>
            <w:tcBorders>
              <w:bottom w:val="single" w:sz="8" w:color="D8D8D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(341.3)</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(122.2)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13,195.8</w:t>
            </w:r>
          </w:p>
        </w:tc>
        <w:tc>
          <w:tcPr>
            <w:tcW w:w="520" w:type="dxa"/>
            <w:vAlign w:val="bottom"/>
            <w:shd w:val="clear" w:color="auto" w:fill="D8D8D8"/>
          </w:tcPr>
          <w:p>
            <w:pPr>
              <w:spacing w:after="0"/>
              <w:rPr>
                <w:sz w:val="19"/>
                <w:szCs w:val="19"/>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16,416.0</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2,492.5</w:t>
            </w:r>
          </w:p>
        </w:tc>
        <w:tc>
          <w:tcPr>
            <w:tcW w:w="52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0628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Funded status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net actuarial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prior service (benefit)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amount recognized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recognized in the consolidated balance sheet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current 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line="323" w:lineRule="auto"/>
        <w:rPr>
          <w:sz w:val="20"/>
          <w:szCs w:val="20"/>
          <w:color w:val="auto"/>
        </w:rPr>
      </w:pPr>
      <w:r>
        <w:rPr>
          <w:rFonts w:ascii="Arial" w:cs="Arial" w:eastAsia="Arial" w:hAnsi="Arial"/>
          <w:sz w:val="18"/>
          <w:szCs w:val="18"/>
          <w:color w:val="auto"/>
        </w:rPr>
        <w:t>Accumulated other comprehensive (income) loss before income taxes Net amount recognized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(1,149.0)</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1,233.7</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1,697.6</w:t>
            </w:r>
          </w:p>
        </w:tc>
      </w:tr>
      <w:tr>
        <w:trPr>
          <w:trHeight w:val="229"/>
        </w:trPr>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2,687.2</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3,908.2</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54.5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(497.2)</w:t>
            </w:r>
          </w:p>
        </w:tc>
      </w:tr>
      <w:tr>
        <w:trPr>
          <w:trHeight w:val="235"/>
        </w:trPr>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8.4</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2,669.4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2,770.4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1,226.0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575"/>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1,208.0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668.5</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1,383.4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1,910.2</w:t>
            </w:r>
          </w:p>
        </w:tc>
      </w:tr>
      <w:tr>
        <w:trPr>
          <w:trHeight w:val="230"/>
        </w:trPr>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(1,163.8)</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(1,749.3)</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35"/>
        </w:trPr>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2,695.6</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3,919.5</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w:t>
            </w:r>
          </w:p>
        </w:tc>
      </w:tr>
      <w:tr>
        <w:trPr>
          <w:trHeight w:val="23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2,669.4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2,770.4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1,226.0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bl>
    <w:p>
      <w:pPr>
        <w:spacing w:after="0" w:line="183" w:lineRule="exact"/>
        <w:rPr>
          <w:sz w:val="20"/>
          <w:szCs w:val="20"/>
          <w:color w:val="auto"/>
        </w:rPr>
      </w:pPr>
    </w:p>
    <w:p>
      <w:pPr>
        <w:sectPr>
          <w:pgSz w:w="11900" w:h="16838" w:orient="portrait"/>
          <w:cols w:equalWidth="0" w:num="2">
            <w:col w:w="5700" w:space="40"/>
            <w:col w:w="5480"/>
          </w:cols>
          <w:pgMar w:left="320" w:top="1201" w:right="359" w:bottom="1440" w:gutter="0" w:footer="0" w:header="0"/>
          <w:type w:val="continuous"/>
        </w:sectPr>
      </w:pPr>
    </w:p>
    <w:p>
      <w:pPr>
        <w:spacing w:after="0" w:line="287" w:lineRule="auto"/>
        <w:rPr>
          <w:sz w:val="20"/>
          <w:szCs w:val="20"/>
          <w:color w:val="auto"/>
        </w:rPr>
      </w:pPr>
      <w:r>
        <w:rPr>
          <w:rFonts w:ascii="Arial" w:cs="Arial" w:eastAsia="Arial" w:hAnsi="Arial"/>
          <w:sz w:val="18"/>
          <w:szCs w:val="18"/>
          <w:color w:val="auto"/>
        </w:rPr>
        <w:t>The unrecognized net actuarial (gain) loss and unrecognized prior service (benefit) cost have not yet been recognized in net periodic pension costs and were included in accumulated other comprehensive loss at December 31, 2022 and 2021.</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93" w:name="page94"/>
    <w:bookmarkEnd w:id="93"/>
    <w:p>
      <w:pPr>
        <w:ind w:right="200"/>
        <w:spacing w:after="0" w:line="287" w:lineRule="auto"/>
        <w:rPr>
          <w:sz w:val="20"/>
          <w:szCs w:val="20"/>
          <w:color w:val="auto"/>
        </w:rPr>
      </w:pPr>
      <w:r>
        <w:rPr>
          <w:rFonts w:ascii="Arial" w:cs="Arial" w:eastAsia="Arial" w:hAnsi="Arial"/>
          <w:sz w:val="18"/>
          <w:szCs w:val="18"/>
          <w:color w:val="auto"/>
        </w:rPr>
        <w:t>The $4.75 billion and $750.4 million declines in benefit obligation in 2022 and 2021, respectively, were both driven primarily by increases in the discount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jc w:val="center"/>
              <w:ind w:right="57"/>
              <w:spacing w:after="0"/>
              <w:rPr>
                <w:sz w:val="20"/>
                <w:szCs w:val="20"/>
                <w:color w:val="auto"/>
              </w:rPr>
            </w:pPr>
            <w:r>
              <w:rPr>
                <w:rFonts w:ascii="Arial" w:cs="Arial" w:eastAsia="Arial" w:hAnsi="Arial"/>
                <w:sz w:val="14"/>
                <w:szCs w:val="14"/>
                <w:b w:val="1"/>
                <w:bCs w:val="1"/>
                <w:color w:val="auto"/>
              </w:rPr>
              <w:t>Defined Benefit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rPr>
              <w:t>Retiree Health</w:t>
            </w:r>
          </w:p>
        </w:tc>
        <w:tc>
          <w:tcPr>
            <w:tcW w:w="760" w:type="dxa"/>
            <w:vAlign w:val="bottom"/>
          </w:tcPr>
          <w:p>
            <w:pPr>
              <w:spacing w:after="0"/>
              <w:rPr>
                <w:sz w:val="14"/>
                <w:szCs w:val="14"/>
                <w:color w:val="auto"/>
              </w:rPr>
            </w:pPr>
          </w:p>
        </w:tc>
      </w:tr>
      <w:tr>
        <w:trPr>
          <w:trHeight w:val="185"/>
        </w:trPr>
        <w:tc>
          <w:tcPr>
            <w:tcW w:w="54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Pension Plans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 Plans</w:t>
            </w:r>
          </w:p>
        </w:tc>
        <w:tc>
          <w:tcPr>
            <w:tcW w:w="760" w:type="dxa"/>
            <w:vAlign w:val="bottom"/>
            <w:tcBorders>
              <w:bottom w:val="single" w:sz="8" w:color="auto"/>
            </w:tcBorders>
          </w:tcPr>
          <w:p>
            <w:pPr>
              <w:spacing w:after="0"/>
              <w:rPr>
                <w:sz w:val="16"/>
                <w:szCs w:val="16"/>
                <w:color w:val="auto"/>
              </w:rPr>
            </w:pPr>
          </w:p>
        </w:tc>
      </w:tr>
      <w:tr>
        <w:trPr>
          <w:trHeight w:val="19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(Percents)</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Discount rate for benefit obligation</w:t>
            </w:r>
          </w:p>
        </w:tc>
        <w:tc>
          <w:tcPr>
            <w:tcW w:w="88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5.1 %</w:t>
            </w:r>
          </w:p>
        </w:tc>
        <w:tc>
          <w:tcPr>
            <w:tcW w:w="1200" w:type="dxa"/>
            <w:vAlign w:val="bottom"/>
            <w:shd w:val="clear" w:color="auto" w:fill="D8D8D8"/>
          </w:tcPr>
          <w:p>
            <w:pPr>
              <w:ind w:left="480"/>
              <w:spacing w:after="0"/>
              <w:rPr>
                <w:sz w:val="20"/>
                <w:szCs w:val="20"/>
                <w:color w:val="auto"/>
              </w:rPr>
            </w:pPr>
            <w:r>
              <w:rPr>
                <w:rFonts w:ascii="Arial" w:cs="Arial" w:eastAsia="Arial" w:hAnsi="Arial"/>
                <w:sz w:val="18"/>
                <w:szCs w:val="18"/>
                <w:color w:val="auto"/>
              </w:rPr>
              <w:t>2.8 %</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D8D8D8"/>
          </w:tcPr>
          <w:p>
            <w:pPr>
              <w:spacing w:after="0"/>
              <w:rPr>
                <w:sz w:val="19"/>
                <w:szCs w:val="19"/>
                <w:color w:val="auto"/>
              </w:rPr>
            </w:pPr>
          </w:p>
        </w:tc>
        <w:tc>
          <w:tcPr>
            <w:tcW w:w="90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5.2 %</w:t>
            </w:r>
          </w:p>
        </w:tc>
        <w:tc>
          <w:tcPr>
            <w:tcW w:w="1180" w:type="dxa"/>
            <w:vAlign w:val="bottom"/>
            <w:shd w:val="clear" w:color="auto" w:fill="D8D8D8"/>
          </w:tcPr>
          <w:p>
            <w:pPr>
              <w:ind w:left="460"/>
              <w:spacing w:after="0"/>
              <w:rPr>
                <w:sz w:val="20"/>
                <w:szCs w:val="20"/>
                <w:color w:val="auto"/>
              </w:rPr>
            </w:pPr>
            <w:r>
              <w:rPr>
                <w:rFonts w:ascii="Arial" w:cs="Arial" w:eastAsia="Arial" w:hAnsi="Arial"/>
                <w:sz w:val="18"/>
                <w:szCs w:val="18"/>
                <w:color w:val="auto"/>
              </w:rPr>
              <w:t>3.0 %</w:t>
            </w:r>
          </w:p>
        </w:tc>
        <w:tc>
          <w:tcPr>
            <w:tcW w:w="760" w:type="dxa"/>
            <w:vAlign w:val="bottom"/>
            <w:shd w:val="clear" w:color="auto" w:fill="D8D8D8"/>
          </w:tcPr>
          <w:p>
            <w:pPr>
              <w:ind w:left="280"/>
              <w:spacing w:after="0"/>
              <w:rPr>
                <w:sz w:val="20"/>
                <w:szCs w:val="20"/>
                <w:color w:val="auto"/>
              </w:rPr>
            </w:pPr>
            <w:r>
              <w:rPr>
                <w:rFonts w:ascii="Arial" w:cs="Arial" w:eastAsia="Arial" w:hAnsi="Arial"/>
                <w:sz w:val="18"/>
                <w:szCs w:val="18"/>
                <w:color w:val="auto"/>
                <w:w w:val="99"/>
              </w:rPr>
              <w:t>2.6 %</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Discount rate for net benefit costs</w:t>
            </w:r>
          </w:p>
        </w:tc>
        <w:tc>
          <w:tcPr>
            <w:tcW w:w="880" w:type="dxa"/>
            <w:vAlign w:val="bottom"/>
          </w:tcPr>
          <w:p>
            <w:pPr>
              <w:ind w:left="380"/>
              <w:spacing w:after="0"/>
              <w:rPr>
                <w:sz w:val="20"/>
                <w:szCs w:val="20"/>
                <w:color w:val="auto"/>
              </w:rPr>
            </w:pPr>
            <w:r>
              <w:rPr>
                <w:rFonts w:ascii="Arial" w:cs="Arial" w:eastAsia="Arial" w:hAnsi="Arial"/>
                <w:sz w:val="18"/>
                <w:szCs w:val="18"/>
                <w:b w:val="1"/>
                <w:bCs w:val="1"/>
                <w:color w:val="auto"/>
              </w:rPr>
              <w:t>2.8</w:t>
            </w:r>
          </w:p>
        </w:tc>
        <w:tc>
          <w:tcPr>
            <w:tcW w:w="1200" w:type="dxa"/>
            <w:vAlign w:val="bottom"/>
          </w:tcPr>
          <w:p>
            <w:pPr>
              <w:ind w:left="480"/>
              <w:spacing w:after="0"/>
              <w:rPr>
                <w:sz w:val="20"/>
                <w:szCs w:val="20"/>
                <w:color w:val="auto"/>
              </w:rPr>
            </w:pPr>
            <w:r>
              <w:rPr>
                <w:rFonts w:ascii="Arial" w:cs="Arial" w:eastAsia="Arial" w:hAnsi="Arial"/>
                <w:sz w:val="18"/>
                <w:szCs w:val="18"/>
                <w:color w:val="auto"/>
              </w:rPr>
              <w:t>2.4</w:t>
            </w:r>
          </w:p>
        </w:tc>
        <w:tc>
          <w:tcPr>
            <w:tcW w:w="740" w:type="dxa"/>
            <w:vAlign w:val="bottom"/>
          </w:tcPr>
          <w:p>
            <w:pPr>
              <w:ind w:left="2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Arial" w:cs="Arial" w:eastAsia="Arial" w:hAnsi="Arial"/>
                <w:sz w:val="18"/>
                <w:szCs w:val="18"/>
                <w:b w:val="1"/>
                <w:bCs w:val="1"/>
                <w:color w:val="auto"/>
              </w:rPr>
              <w:t>3.0</w:t>
            </w:r>
          </w:p>
        </w:tc>
        <w:tc>
          <w:tcPr>
            <w:tcW w:w="1180" w:type="dxa"/>
            <w:vAlign w:val="bottom"/>
          </w:tcPr>
          <w:p>
            <w:pPr>
              <w:ind w:left="460"/>
              <w:spacing w:after="0"/>
              <w:rPr>
                <w:sz w:val="20"/>
                <w:szCs w:val="20"/>
                <w:color w:val="auto"/>
              </w:rPr>
            </w:pPr>
            <w:r>
              <w:rPr>
                <w:rFonts w:ascii="Arial" w:cs="Arial" w:eastAsia="Arial" w:hAnsi="Arial"/>
                <w:sz w:val="18"/>
                <w:szCs w:val="18"/>
                <w:color w:val="auto"/>
              </w:rPr>
              <w:t>2.6</w:t>
            </w:r>
          </w:p>
        </w:tc>
        <w:tc>
          <w:tcPr>
            <w:tcW w:w="760" w:type="dxa"/>
            <w:vAlign w:val="bottom"/>
          </w:tcPr>
          <w:p>
            <w:pPr>
              <w:ind w:left="280"/>
              <w:spacing w:after="0"/>
              <w:rPr>
                <w:sz w:val="20"/>
                <w:szCs w:val="20"/>
                <w:color w:val="auto"/>
              </w:rPr>
            </w:pPr>
            <w:r>
              <w:rPr>
                <w:rFonts w:ascii="Arial" w:cs="Arial" w:eastAsia="Arial" w:hAnsi="Arial"/>
                <w:sz w:val="18"/>
                <w:szCs w:val="18"/>
                <w:color w:val="auto"/>
              </w:rPr>
              <w:t>3.3</w:t>
            </w:r>
          </w:p>
        </w:tc>
      </w:tr>
      <w:tr>
        <w:trPr>
          <w:trHeight w:val="229"/>
        </w:trPr>
        <w:tc>
          <w:tcPr>
            <w:tcW w:w="54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Rate of compensation increase for benefit obligation</w:t>
            </w:r>
          </w:p>
        </w:tc>
        <w:tc>
          <w:tcPr>
            <w:tcW w:w="88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4.3</w:t>
            </w:r>
          </w:p>
        </w:tc>
        <w:tc>
          <w:tcPr>
            <w:tcW w:w="1200" w:type="dxa"/>
            <w:vAlign w:val="bottom"/>
            <w:shd w:val="clear" w:color="auto" w:fill="D8D8D8"/>
          </w:tcPr>
          <w:p>
            <w:pPr>
              <w:ind w:left="480"/>
              <w:spacing w:after="0"/>
              <w:rPr>
                <w:sz w:val="20"/>
                <w:szCs w:val="20"/>
                <w:color w:val="auto"/>
              </w:rPr>
            </w:pPr>
            <w:r>
              <w:rPr>
                <w:rFonts w:ascii="Arial" w:cs="Arial" w:eastAsia="Arial" w:hAnsi="Arial"/>
                <w:sz w:val="18"/>
                <w:szCs w:val="18"/>
                <w:color w:val="auto"/>
              </w:rPr>
              <w:t>3.5</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Rate of compensation increase for net benefit costs</w:t>
            </w:r>
          </w:p>
        </w:tc>
        <w:tc>
          <w:tcPr>
            <w:tcW w:w="880" w:type="dxa"/>
            <w:vAlign w:val="bottom"/>
          </w:tcPr>
          <w:p>
            <w:pPr>
              <w:ind w:left="380"/>
              <w:spacing w:after="0"/>
              <w:rPr>
                <w:sz w:val="20"/>
                <w:szCs w:val="20"/>
                <w:color w:val="auto"/>
              </w:rPr>
            </w:pPr>
            <w:r>
              <w:rPr>
                <w:rFonts w:ascii="Arial" w:cs="Arial" w:eastAsia="Arial" w:hAnsi="Arial"/>
                <w:sz w:val="18"/>
                <w:szCs w:val="18"/>
                <w:b w:val="1"/>
                <w:bCs w:val="1"/>
                <w:color w:val="auto"/>
              </w:rPr>
              <w:t>3.5</w:t>
            </w:r>
          </w:p>
        </w:tc>
        <w:tc>
          <w:tcPr>
            <w:tcW w:w="1200" w:type="dxa"/>
            <w:vAlign w:val="bottom"/>
          </w:tcPr>
          <w:p>
            <w:pPr>
              <w:ind w:left="480"/>
              <w:spacing w:after="0"/>
              <w:rPr>
                <w:sz w:val="20"/>
                <w:szCs w:val="20"/>
                <w:color w:val="auto"/>
              </w:rPr>
            </w:pPr>
            <w:r>
              <w:rPr>
                <w:rFonts w:ascii="Arial" w:cs="Arial" w:eastAsia="Arial" w:hAnsi="Arial"/>
                <w:sz w:val="18"/>
                <w:szCs w:val="18"/>
                <w:color w:val="auto"/>
              </w:rPr>
              <w:t>3.3</w:t>
            </w:r>
          </w:p>
        </w:tc>
        <w:tc>
          <w:tcPr>
            <w:tcW w:w="740" w:type="dxa"/>
            <w:vAlign w:val="bottom"/>
          </w:tcPr>
          <w:p>
            <w:pPr>
              <w:ind w:left="2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4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Expected return on plan assets for net benefit costs</w:t>
            </w:r>
          </w:p>
        </w:tc>
        <w:tc>
          <w:tcPr>
            <w:tcW w:w="88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8.1</w:t>
            </w:r>
          </w:p>
        </w:tc>
        <w:tc>
          <w:tcPr>
            <w:tcW w:w="1200" w:type="dxa"/>
            <w:vAlign w:val="bottom"/>
            <w:shd w:val="clear" w:color="auto" w:fill="D8D8D8"/>
          </w:tcPr>
          <w:p>
            <w:pPr>
              <w:ind w:left="480"/>
              <w:spacing w:after="0"/>
              <w:rPr>
                <w:sz w:val="20"/>
                <w:szCs w:val="20"/>
                <w:color w:val="auto"/>
              </w:rPr>
            </w:pPr>
            <w:r>
              <w:rPr>
                <w:rFonts w:ascii="Arial" w:cs="Arial" w:eastAsia="Arial" w:hAnsi="Arial"/>
                <w:sz w:val="18"/>
                <w:szCs w:val="18"/>
                <w:color w:val="auto"/>
              </w:rPr>
              <w:t>6.8</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8D8D8"/>
          </w:tcPr>
          <w:p>
            <w:pPr>
              <w:spacing w:after="0"/>
              <w:rPr>
                <w:sz w:val="19"/>
                <w:szCs w:val="19"/>
                <w:color w:val="auto"/>
              </w:rPr>
            </w:pPr>
          </w:p>
        </w:tc>
        <w:tc>
          <w:tcPr>
            <w:tcW w:w="90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7.3</w:t>
            </w:r>
          </w:p>
        </w:tc>
        <w:tc>
          <w:tcPr>
            <w:tcW w:w="1180" w:type="dxa"/>
            <w:vAlign w:val="bottom"/>
            <w:shd w:val="clear" w:color="auto" w:fill="D8D8D8"/>
          </w:tcPr>
          <w:p>
            <w:pPr>
              <w:ind w:left="460"/>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ind w:left="280"/>
              <w:spacing w:after="0"/>
              <w:rPr>
                <w:sz w:val="20"/>
                <w:szCs w:val="20"/>
                <w:color w:val="auto"/>
              </w:rPr>
            </w:pPr>
            <w:r>
              <w:rPr>
                <w:rFonts w:ascii="Arial" w:cs="Arial" w:eastAsia="Arial" w:hAnsi="Arial"/>
                <w:sz w:val="18"/>
                <w:szCs w:val="18"/>
                <w:color w:val="auto"/>
              </w:rPr>
              <w:t>6.0</w:t>
            </w:r>
          </w:p>
        </w:tc>
      </w:tr>
    </w:tbl>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2027</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2028-2032</w:t>
            </w:r>
          </w:p>
        </w:tc>
      </w:tr>
      <w:tr>
        <w:trPr>
          <w:trHeight w:val="224"/>
        </w:trPr>
        <w:tc>
          <w:tcPr>
            <w:tcW w:w="2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648.2</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664.5</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682.6</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705.9</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732.7</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4,079.4</w:t>
            </w:r>
          </w:p>
        </w:tc>
      </w:tr>
      <w:tr>
        <w:trPr>
          <w:trHeight w:val="239"/>
        </w:trPr>
        <w:tc>
          <w:tcPr>
            <w:tcW w:w="2860" w:type="dxa"/>
            <w:vAlign w:val="bottom"/>
          </w:tcPr>
          <w:p>
            <w:pPr>
              <w:ind w:left="2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89.0</w:t>
            </w:r>
          </w:p>
        </w:tc>
        <w:tc>
          <w:tcPr>
            <w:tcW w:w="38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91.6</w:t>
            </w:r>
          </w:p>
        </w:tc>
        <w:tc>
          <w:tcPr>
            <w:tcW w:w="3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92.4</w:t>
            </w:r>
          </w:p>
        </w:tc>
        <w:tc>
          <w:tcPr>
            <w:tcW w:w="3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92.8</w:t>
            </w:r>
          </w:p>
        </w:tc>
        <w:tc>
          <w:tcPr>
            <w:tcW w:w="3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24"/>
        </w:trPr>
        <w:tc>
          <w:tcPr>
            <w:tcW w:w="5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Projected benefit obligation</w:t>
            </w:r>
          </w:p>
        </w:tc>
        <w:tc>
          <w:tcPr>
            <w:tcW w:w="340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6"/>
              <w:spacing w:after="0"/>
              <w:rPr>
                <w:sz w:val="20"/>
                <w:szCs w:val="20"/>
                <w:color w:val="auto"/>
              </w:rPr>
            </w:pPr>
            <w:r>
              <w:rPr>
                <w:rFonts w:ascii="Arial" w:cs="Arial" w:eastAsia="Arial" w:hAnsi="Arial"/>
                <w:sz w:val="18"/>
                <w:szCs w:val="18"/>
                <w:b w:val="1"/>
                <w:bCs w:val="1"/>
                <w:color w:val="auto"/>
              </w:rPr>
              <w:t>2,211.2</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3,360.3</w:t>
            </w: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4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977.1</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1,542.8</w:t>
            </w:r>
          </w:p>
        </w:tc>
      </w:tr>
    </w:tbl>
    <w:p>
      <w:pPr>
        <w:spacing w:after="0" w:line="16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rPr>
              <w:t>Retiree Health</w:t>
            </w:r>
          </w:p>
        </w:tc>
        <w:tc>
          <w:tcPr>
            <w:tcW w:w="800" w:type="dxa"/>
            <w:vAlign w:val="bottom"/>
          </w:tcPr>
          <w:p>
            <w:pPr>
              <w:spacing w:after="0"/>
              <w:rPr>
                <w:sz w:val="14"/>
                <w:szCs w:val="14"/>
                <w:color w:val="auto"/>
              </w:rPr>
            </w:pPr>
          </w:p>
        </w:tc>
      </w:tr>
      <w:tr>
        <w:trPr>
          <w:trHeight w:val="185"/>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Benefit Plans</w:t>
            </w:r>
          </w:p>
        </w:tc>
        <w:tc>
          <w:tcPr>
            <w:tcW w:w="800" w:type="dxa"/>
            <w:vAlign w:val="bottom"/>
            <w:tcBorders>
              <w:bottom w:val="single" w:sz="8" w:color="auto"/>
            </w:tcBorders>
          </w:tcPr>
          <w:p>
            <w:pPr>
              <w:spacing w:after="0"/>
              <w:rPr>
                <w:sz w:val="16"/>
                <w:szCs w:val="16"/>
                <w:color w:val="auto"/>
              </w:rPr>
            </w:pPr>
          </w:p>
        </w:tc>
      </w:tr>
      <w:tr>
        <w:trPr>
          <w:trHeight w:val="195"/>
        </w:trPr>
        <w:tc>
          <w:tcPr>
            <w:tcW w:w="5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24"/>
        </w:trPr>
        <w:tc>
          <w:tcPr>
            <w:tcW w:w="59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1,721.7</w:t>
            </w:r>
          </w:p>
        </w:tc>
        <w:tc>
          <w:tcPr>
            <w:tcW w:w="54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2,532.0</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149.8</w:t>
            </w:r>
          </w:p>
        </w:tc>
        <w:tc>
          <w:tcPr>
            <w:tcW w:w="5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212.6</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652.7</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total accumulated benefit obligation for our defined benefit pension plans was $12.01 billion and $16.44 billion at December 31, 2022 and 2021,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5"/>
        </w:trPr>
        <w:tc>
          <w:tcPr>
            <w:tcW w:w="4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224"/>
        </w:trPr>
        <w:tc>
          <w:tcPr>
            <w:tcW w:w="42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351.7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369.2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46.6</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49.2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398.1</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337.8</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37.8</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(947.6)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(949.3)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(152.1)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29"/>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2.4</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4.2</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(54.8)</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42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Recognized actuarial (gain) loss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342.4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487.7</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22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147.0</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249.6</w:t>
            </w:r>
          </w:p>
        </w:tc>
        <w:tc>
          <w:tcPr>
            <w:tcW w:w="30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auto"/>
            </w:tcBorders>
            <w:shd w:val="clear" w:color="auto" w:fill="D8D8D8"/>
          </w:tcPr>
          <w:p>
            <w:pPr>
              <w:spacing w:after="0"/>
              <w:rPr>
                <w:sz w:val="20"/>
                <w:szCs w:val="20"/>
                <w:color w:val="auto"/>
              </w:rPr>
            </w:pP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(121.6)</w:t>
            </w:r>
          </w:p>
        </w:tc>
        <w:tc>
          <w:tcPr>
            <w:tcW w:w="30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(120.9)</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(136.1)</w:t>
            </w:r>
          </w:p>
        </w:tc>
      </w:tr>
    </w:tbl>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2021, and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Actuarial gain (loss) arising during period</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823.6</w:t>
            </w:r>
          </w:p>
        </w:tc>
        <w:tc>
          <w:tcPr>
            <w:tcW w:w="3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2,072.4</w:t>
            </w:r>
          </w:p>
        </w:tc>
        <w:tc>
          <w:tcPr>
            <w:tcW w:w="3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(552.2)</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142.5</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Plan amendments during period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3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Amortization of prior service (benefit) cost included in</w:t>
            </w:r>
          </w:p>
        </w:tc>
        <w:tc>
          <w:tcPr>
            <w:tcW w:w="240" w:type="dxa"/>
            <w:vAlign w:val="bottom"/>
            <w:shd w:val="clear" w:color="auto" w:fill="DBDBDB"/>
          </w:tcPr>
          <w:p>
            <w:pPr>
              <w:spacing w:after="0"/>
              <w:rPr>
                <w:sz w:val="15"/>
                <w:szCs w:val="15"/>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34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ind w:right="53"/>
              <w:spacing w:after="0"/>
              <w:rPr>
                <w:sz w:val="20"/>
                <w:szCs w:val="20"/>
                <w:color w:val="auto"/>
              </w:rPr>
            </w:pPr>
            <w:r>
              <w:rPr>
                <w:rFonts w:ascii="Arial" w:cs="Arial" w:eastAsia="Arial" w:hAnsi="Arial"/>
                <w:sz w:val="18"/>
                <w:szCs w:val="18"/>
                <w:color w:val="auto"/>
              </w:rPr>
              <w:t>4.2</w:t>
            </w:r>
          </w:p>
        </w:tc>
        <w:tc>
          <w:tcPr>
            <w:tcW w:w="3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(54.8)</w:t>
            </w:r>
          </w:p>
        </w:tc>
        <w:tc>
          <w:tcPr>
            <w:tcW w:w="30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net actuarial (gain) loss included in</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342.4</w:t>
            </w:r>
          </w:p>
        </w:tc>
        <w:tc>
          <w:tcPr>
            <w:tcW w:w="340" w:type="dxa"/>
            <w:vAlign w:val="bottom"/>
          </w:tcPr>
          <w:p>
            <w:pPr>
              <w:spacing w:after="0"/>
              <w:rPr>
                <w:sz w:val="15"/>
                <w:szCs w:val="15"/>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487.7</w:t>
            </w: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0.9</w:t>
            </w:r>
          </w:p>
        </w:tc>
        <w:tc>
          <w:tcPr>
            <w:tcW w:w="300" w:type="dxa"/>
            <w:vAlign w:val="bottom"/>
          </w:tcPr>
          <w:p>
            <w:pPr>
              <w:spacing w:after="0"/>
              <w:rPr>
                <w:sz w:val="15"/>
                <w:szCs w:val="15"/>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currency exchange rate changes and other</w:t>
            </w: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55.5</w:t>
            </w: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color w:val="auto"/>
              </w:rPr>
              <w:t>47.2</w:t>
            </w:r>
          </w:p>
        </w:tc>
        <w:tc>
          <w:tcPr>
            <w:tcW w:w="3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(0.9)</w:t>
            </w:r>
          </w:p>
        </w:tc>
        <w:tc>
          <w:tcPr>
            <w:tcW w:w="30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55"/>
        </w:trPr>
        <w:tc>
          <w:tcPr>
            <w:tcW w:w="4300" w:type="dxa"/>
            <w:vAlign w:val="bottom"/>
          </w:tcPr>
          <w:p>
            <w:pPr>
              <w:ind w:left="20"/>
              <w:spacing w:after="0" w:line="156" w:lineRule="exact"/>
              <w:rPr>
                <w:sz w:val="20"/>
                <w:szCs w:val="20"/>
                <w:color w:val="auto"/>
              </w:rPr>
            </w:pPr>
            <w:r>
              <w:rPr>
                <w:rFonts w:ascii="Arial" w:cs="Arial" w:eastAsia="Arial" w:hAnsi="Arial"/>
                <w:sz w:val="18"/>
                <w:szCs w:val="18"/>
                <w:color w:val="auto"/>
              </w:rPr>
              <w:t>Total other comprehensive income (loss) during</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1,223.9</w:t>
            </w:r>
          </w:p>
        </w:tc>
        <w:tc>
          <w:tcPr>
            <w:tcW w:w="3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2,611.5</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(607.0)</w:t>
            </w:r>
          </w:p>
        </w:tc>
        <w:tc>
          <w:tcPr>
            <w:tcW w:w="300" w:type="dxa"/>
            <w:vAlign w:val="bottom"/>
            <w:vMerge w:val="restart"/>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88.0</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$170.6 million, $167.3 million, and $164.3 million for the years ended December 31, 2022, 2021, and 2020, respectively.</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2022, 2021, and 2020 were not material.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85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right="100"/>
        <w:spacing w:after="0" w:line="256"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75 percent growth investments and 25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bank loans, mortgage-backed securities, commercial mortgage-backed obligations, and any related repurchase agreements.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in fund-of-funds structures and directly into hedge funds. Plan holdings in hedge funds are valued based on net asset values (NAVs) calculated by each fund or general partner, as applicable, and we have the ability to redeem these investments at NAV.</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special situations, private debt, and private real estate investments. Private equity management firms typically acquire and then reorganize private companies to create increased long term value. Private equity-like funds usually have a limited life of approximately 10-15 years, and require a minimum investment commitment from their limited partners. Our private equity-like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Real estate is composed of public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right="560"/>
        <w:spacing w:after="0" w:line="287"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Other than hedge funds, private equity-like investments, and a portion of the real estate holdings, which are discussed above, we determine fair values based on a market approach using quoted market values, significant other observable inputs for identical or comparable assets or liabilities, or discounted cash flow analyses.</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2022 by asset category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300" w:type="dxa"/>
            <w:vAlign w:val="bottom"/>
          </w:tcPr>
          <w:p>
            <w:pPr>
              <w:spacing w:after="0"/>
              <w:rPr>
                <w:sz w:val="10"/>
                <w:szCs w:val="10"/>
                <w:color w:val="auto"/>
              </w:rPr>
            </w:pPr>
          </w:p>
        </w:tc>
        <w:tc>
          <w:tcPr>
            <w:tcW w:w="12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w w:val="96"/>
              </w:rPr>
              <w:t>Significant</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6"/>
              </w:rPr>
              <w:t>Markets for</w:t>
            </w:r>
          </w:p>
        </w:tc>
        <w:tc>
          <w:tcPr>
            <w:tcW w:w="300" w:type="dxa"/>
            <w:vAlign w:val="bottom"/>
          </w:tcPr>
          <w:p>
            <w:pPr>
              <w:spacing w:after="0"/>
              <w:rPr>
                <w:sz w:val="10"/>
                <w:szCs w:val="10"/>
                <w:color w:val="auto"/>
              </w:rPr>
            </w:pPr>
          </w:p>
        </w:tc>
        <w:tc>
          <w:tcPr>
            <w:tcW w:w="1280" w:type="dxa"/>
            <w:vAlign w:val="bottom"/>
          </w:tcPr>
          <w:p>
            <w:pPr>
              <w:jc w:val="center"/>
              <w:ind w:right="235"/>
              <w:spacing w:after="0" w:line="122" w:lineRule="exact"/>
              <w:rPr>
                <w:sz w:val="20"/>
                <w:szCs w:val="20"/>
                <w:color w:val="auto"/>
              </w:rPr>
            </w:pPr>
            <w:r>
              <w:rPr>
                <w:rFonts w:ascii="Arial" w:cs="Arial" w:eastAsia="Arial" w:hAnsi="Arial"/>
                <w:sz w:val="13"/>
                <w:szCs w:val="13"/>
                <w:b w:val="1"/>
                <w:bCs w:val="1"/>
                <w:color w:val="auto"/>
                <w:w w:val="95"/>
              </w:rPr>
              <w:t>Observable</w:t>
            </w: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1"/>
                <w:szCs w:val="11"/>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1"/>
                <w:szCs w:val="11"/>
                <w:color w:val="auto"/>
              </w:rPr>
            </w:pPr>
          </w:p>
        </w:tc>
        <w:tc>
          <w:tcPr>
            <w:tcW w:w="1320" w:type="dxa"/>
            <w:vAlign w:val="bottom"/>
          </w:tcPr>
          <w:p>
            <w:pPr>
              <w:jc w:val="center"/>
              <w:ind w:right="15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00" w:type="dxa"/>
            <w:vAlign w:val="bottom"/>
          </w:tcPr>
          <w:p>
            <w:pPr>
              <w:spacing w:after="0"/>
              <w:rPr>
                <w:sz w:val="11"/>
                <w:szCs w:val="11"/>
                <w:color w:val="auto"/>
              </w:rPr>
            </w:pPr>
          </w:p>
        </w:tc>
        <w:tc>
          <w:tcPr>
            <w:tcW w:w="128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4"/>
              </w:rPr>
              <w:t>(Level 1)</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75"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1,132.4</w:t>
            </w:r>
          </w:p>
        </w:tc>
        <w:tc>
          <w:tcPr>
            <w:tcW w:w="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396.6</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0.1</w:t>
            </w:r>
          </w:p>
        </w:tc>
        <w:tc>
          <w:tcPr>
            <w:tcW w:w="320" w:type="dxa"/>
            <w:vAlign w:val="bottom"/>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1,177.1</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369.4</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300.9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2,445.5</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2,058.2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176"/>
        </w:trPr>
        <w:tc>
          <w:tcPr>
            <w:tcW w:w="350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ind w:right="51"/>
              <w:spacing w:after="0"/>
              <w:rPr>
                <w:sz w:val="20"/>
                <w:szCs w:val="20"/>
                <w:color w:val="auto"/>
              </w:rPr>
            </w:pPr>
            <w:r>
              <w:rPr>
                <w:rFonts w:ascii="Arial" w:cs="Arial" w:eastAsia="Arial" w:hAnsi="Arial"/>
                <w:sz w:val="18"/>
                <w:szCs w:val="18"/>
                <w:color w:val="auto"/>
              </w:rPr>
              <w:t>(706.6)</w:t>
            </w:r>
          </w:p>
        </w:tc>
        <w:tc>
          <w:tcPr>
            <w:tcW w:w="180" w:type="dxa"/>
            <w:vAlign w:val="bottom"/>
            <w:shd w:val="clear" w:color="auto" w:fill="DBDBDB"/>
          </w:tcPr>
          <w:p>
            <w:pPr>
              <w:spacing w:after="0"/>
              <w:rPr>
                <w:sz w:val="15"/>
                <w:szCs w:val="15"/>
                <w:color w:val="auto"/>
              </w:rPr>
            </w:pPr>
          </w:p>
        </w:tc>
        <w:tc>
          <w:tcPr>
            <w:tcW w:w="1320" w:type="dxa"/>
            <w:vAlign w:val="bottom"/>
            <w:vMerge w:val="restart"/>
            <w:shd w:val="clear" w:color="auto" w:fill="DBDBDB"/>
          </w:tcPr>
          <w:p>
            <w:pPr>
              <w:jc w:val="right"/>
              <w:ind w:right="35"/>
              <w:spacing w:after="0"/>
              <w:rPr>
                <w:sz w:val="20"/>
                <w:szCs w:val="20"/>
                <w:color w:val="auto"/>
              </w:rPr>
            </w:pPr>
            <w:r>
              <w:rPr>
                <w:rFonts w:ascii="Arial" w:cs="Arial" w:eastAsia="Arial" w:hAnsi="Arial"/>
                <w:sz w:val="18"/>
                <w:szCs w:val="18"/>
                <w:color w:val="auto"/>
              </w:rPr>
              <w:t>6.4</w:t>
            </w:r>
          </w:p>
        </w:tc>
        <w:tc>
          <w:tcPr>
            <w:tcW w:w="300" w:type="dxa"/>
            <w:vAlign w:val="bottom"/>
            <w:shd w:val="clear" w:color="auto" w:fill="DBDBDB"/>
          </w:tcPr>
          <w:p>
            <w:pPr>
              <w:spacing w:after="0"/>
              <w:rPr>
                <w:sz w:val="15"/>
                <w:szCs w:val="15"/>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(713.0)</w:t>
            </w: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BDBDB"/>
          </w:tcPr>
          <w:p>
            <w:pPr>
              <w:spacing w:after="0"/>
              <w:rPr>
                <w:sz w:val="21"/>
                <w:szCs w:val="21"/>
                <w:color w:val="auto"/>
              </w:rPr>
            </w:pPr>
          </w:p>
        </w:tc>
        <w:tc>
          <w:tcPr>
            <w:tcW w:w="1220" w:type="dxa"/>
            <w:vAlign w:val="bottom"/>
            <w:vMerge w:val="continue"/>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32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280" w:type="dxa"/>
            <w:vAlign w:val="bottom"/>
            <w:vMerge w:val="continue"/>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80" w:type="dxa"/>
            <w:vAlign w:val="bottom"/>
            <w:vMerge w:val="continue"/>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273.5</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3,249.0</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4,014.1</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3,988.7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349.1</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234.9</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1,261.7</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251.0</w:t>
            </w:r>
          </w:p>
        </w:tc>
        <w:tc>
          <w:tcPr>
            <w:tcW w:w="3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(131.8)</w:t>
            </w:r>
          </w:p>
        </w:tc>
        <w:tc>
          <w:tcPr>
            <w:tcW w:w="3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13,195.8</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1,288.7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1,546.4</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10,335.2</w:t>
            </w:r>
          </w:p>
        </w:tc>
        <w:tc>
          <w:tcPr>
            <w:tcW w:w="0" w:type="dxa"/>
            <w:vAlign w:val="bottom"/>
          </w:tcPr>
          <w:p>
            <w:pPr>
              <w:spacing w:after="0"/>
              <w:rPr>
                <w:sz w:val="1"/>
                <w:szCs w:val="1"/>
                <w:color w:val="auto"/>
              </w:rPr>
            </w:pPr>
          </w:p>
        </w:tc>
      </w:tr>
      <w:tr>
        <w:trPr>
          <w:trHeight w:val="95"/>
        </w:trPr>
        <w:tc>
          <w:tcPr>
            <w:tcW w:w="350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22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300" w:type="dxa"/>
            <w:vAlign w:val="bottom"/>
            <w:shd w:val="clear" w:color="auto" w:fill="DBDBDB"/>
          </w:tcPr>
          <w:p>
            <w:pPr>
              <w:spacing w:after="0"/>
              <w:rPr>
                <w:sz w:val="8"/>
                <w:szCs w:val="8"/>
                <w:color w:val="auto"/>
              </w:rPr>
            </w:pPr>
          </w:p>
        </w:tc>
        <w:tc>
          <w:tcPr>
            <w:tcW w:w="1280" w:type="dxa"/>
            <w:vAlign w:val="bottom"/>
            <w:shd w:val="clear" w:color="auto" w:fill="DBDBDB"/>
          </w:tcPr>
          <w:p>
            <w:pPr>
              <w:spacing w:after="0"/>
              <w:rPr>
                <w:sz w:val="8"/>
                <w:szCs w:val="8"/>
                <w:color w:val="auto"/>
              </w:rPr>
            </w:pPr>
          </w:p>
        </w:tc>
        <w:tc>
          <w:tcPr>
            <w:tcW w:w="320" w:type="dxa"/>
            <w:vAlign w:val="bottom"/>
            <w:shd w:val="clear" w:color="auto" w:fill="DBDBDB"/>
          </w:tcPr>
          <w:p>
            <w:pPr>
              <w:spacing w:after="0"/>
              <w:rPr>
                <w:sz w:val="8"/>
                <w:szCs w:val="8"/>
                <w:color w:val="auto"/>
              </w:rPr>
            </w:pPr>
          </w:p>
        </w:tc>
        <w:tc>
          <w:tcPr>
            <w:tcW w:w="1180" w:type="dxa"/>
            <w:vAlign w:val="bottom"/>
            <w:shd w:val="clear" w:color="auto" w:fill="DBDBDB"/>
          </w:tcPr>
          <w:p>
            <w:pPr>
              <w:spacing w:after="0"/>
              <w:rPr>
                <w:sz w:val="8"/>
                <w:szCs w:val="8"/>
                <w:color w:val="auto"/>
              </w:rPr>
            </w:pPr>
          </w:p>
        </w:tc>
        <w:tc>
          <w:tcPr>
            <w:tcW w:w="2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104.2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35.7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294.9</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332.8</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1,470.8</w:t>
            </w:r>
          </w:p>
        </w:tc>
        <w:tc>
          <w:tcPr>
            <w:tcW w:w="180" w:type="dxa"/>
            <w:vAlign w:val="bottom"/>
          </w:tcPr>
          <w:p>
            <w:pPr>
              <w:spacing w:after="0"/>
              <w:rPr>
                <w:sz w:val="15"/>
                <w:szCs w:val="15"/>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1,470.8</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112.1</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2,492.5</w:t>
            </w:r>
          </w:p>
        </w:tc>
        <w:tc>
          <w:tcPr>
            <w:tcW w:w="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113.4</w:t>
            </w:r>
          </w:p>
        </w:tc>
        <w:tc>
          <w:tcPr>
            <w:tcW w:w="3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8"/>
                <w:szCs w:val="18"/>
                <w:color w:val="auto"/>
              </w:rPr>
              <w:t>1,514.0</w:t>
            </w:r>
          </w:p>
        </w:tc>
        <w:tc>
          <w:tcPr>
            <w:tcW w:w="32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57"/>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2022. The activity in the Level 3 investments during the year ended December 31, 2022 was not material.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7" w:name="page98"/>
    <w:bookmarkEnd w:id="97"/>
    <w:p>
      <w:pPr>
        <w:ind w:right="600"/>
        <w:spacing w:after="0" w:line="287"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2021 by asset category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5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Significant Observable</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Markets for Identical</w:t>
            </w:r>
          </w:p>
        </w:tc>
        <w:tc>
          <w:tcPr>
            <w:tcW w:w="1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8"/>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1"/>
                <w:szCs w:val="11"/>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380" w:type="dxa"/>
            <w:vAlign w:val="bottom"/>
          </w:tcPr>
          <w:p>
            <w:pPr>
              <w:jc w:val="center"/>
              <w:ind w:right="75"/>
              <w:spacing w:after="0" w:line="129" w:lineRule="exact"/>
              <w:rPr>
                <w:sz w:val="20"/>
                <w:szCs w:val="20"/>
                <w:color w:val="auto"/>
              </w:rPr>
            </w:pPr>
            <w:r>
              <w:rPr>
                <w:rFonts w:ascii="Arial" w:cs="Arial" w:eastAsia="Arial" w:hAnsi="Arial"/>
                <w:sz w:val="13"/>
                <w:szCs w:val="13"/>
                <w:b w:val="1"/>
                <w:bCs w:val="1"/>
                <w:color w:val="auto"/>
                <w:w w:val="98"/>
              </w:rPr>
              <w:t>Assets</w:t>
            </w:r>
          </w:p>
        </w:tc>
        <w:tc>
          <w:tcPr>
            <w:tcW w:w="360" w:type="dxa"/>
            <w:vAlign w:val="bottom"/>
          </w:tcPr>
          <w:p>
            <w:pPr>
              <w:spacing w:after="0"/>
              <w:rPr>
                <w:sz w:val="11"/>
                <w:szCs w:val="11"/>
                <w:color w:val="auto"/>
              </w:rPr>
            </w:pPr>
          </w:p>
        </w:tc>
        <w:tc>
          <w:tcPr>
            <w:tcW w:w="1220" w:type="dxa"/>
            <w:vAlign w:val="bottom"/>
          </w:tcPr>
          <w:p>
            <w:pPr>
              <w:jc w:val="center"/>
              <w:ind w:right="272"/>
              <w:spacing w:after="0" w:line="129"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4"/>
              </w:rPr>
              <w:t>(Level 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82"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1,325.4</w:t>
            </w:r>
          </w:p>
        </w:tc>
        <w:tc>
          <w:tcPr>
            <w:tcW w:w="120" w:type="dxa"/>
            <w:vAlign w:val="bottom"/>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430.4</w:t>
            </w:r>
          </w:p>
        </w:tc>
        <w:tc>
          <w:tcPr>
            <w:tcW w:w="3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0.1</w:t>
            </w:r>
          </w:p>
        </w:tc>
        <w:tc>
          <w:tcPr>
            <w:tcW w:w="32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2,722.7</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815.0</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4,496.0</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3,356.6</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176"/>
        </w:trPr>
        <w:tc>
          <w:tcPr>
            <w:tcW w:w="350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8D8D8"/>
          </w:tcPr>
          <w:p>
            <w:pPr>
              <w:spacing w:after="0"/>
              <w:rPr>
                <w:sz w:val="15"/>
                <w:szCs w:val="15"/>
                <w:color w:val="auto"/>
              </w:rPr>
            </w:pPr>
          </w:p>
        </w:tc>
        <w:tc>
          <w:tcPr>
            <w:tcW w:w="1220" w:type="dxa"/>
            <w:vAlign w:val="bottom"/>
            <w:vMerge w:val="restart"/>
            <w:shd w:val="clear" w:color="auto" w:fill="D8D8D8"/>
          </w:tcPr>
          <w:p>
            <w:pPr>
              <w:jc w:val="right"/>
              <w:ind w:right="51"/>
              <w:spacing w:after="0"/>
              <w:rPr>
                <w:sz w:val="20"/>
                <w:szCs w:val="20"/>
                <w:color w:val="auto"/>
              </w:rPr>
            </w:pPr>
            <w:r>
              <w:rPr>
                <w:rFonts w:ascii="Arial" w:cs="Arial" w:eastAsia="Arial" w:hAnsi="Arial"/>
                <w:sz w:val="18"/>
                <w:szCs w:val="18"/>
                <w:color w:val="auto"/>
              </w:rPr>
              <w:t>(1,376.2)</w:t>
            </w:r>
          </w:p>
        </w:tc>
        <w:tc>
          <w:tcPr>
            <w:tcW w:w="120" w:type="dxa"/>
            <w:vAlign w:val="bottom"/>
            <w:shd w:val="clear" w:color="auto" w:fill="D8D8D8"/>
          </w:tcPr>
          <w:p>
            <w:pPr>
              <w:spacing w:after="0"/>
              <w:rPr>
                <w:sz w:val="15"/>
                <w:szCs w:val="15"/>
                <w:color w:val="auto"/>
              </w:rPr>
            </w:pPr>
          </w:p>
        </w:tc>
        <w:tc>
          <w:tcPr>
            <w:tcW w:w="1380" w:type="dxa"/>
            <w:vAlign w:val="bottom"/>
            <w:vMerge w:val="restart"/>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5"/>
                <w:szCs w:val="15"/>
                <w:color w:val="auto"/>
              </w:rPr>
            </w:pPr>
          </w:p>
        </w:tc>
        <w:tc>
          <w:tcPr>
            <w:tcW w:w="12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(1,376.2)</w:t>
            </w:r>
          </w:p>
        </w:tc>
        <w:tc>
          <w:tcPr>
            <w:tcW w:w="320" w:type="dxa"/>
            <w:vAlign w:val="bottom"/>
            <w:shd w:val="clear" w:color="auto" w:fill="D8D8D8"/>
          </w:tcPr>
          <w:p>
            <w:pPr>
              <w:spacing w:after="0"/>
              <w:rPr>
                <w:sz w:val="15"/>
                <w:szCs w:val="15"/>
                <w:color w:val="auto"/>
              </w:rPr>
            </w:pPr>
          </w:p>
        </w:tc>
        <w:tc>
          <w:tcPr>
            <w:tcW w:w="11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8D8D8"/>
          </w:tcPr>
          <w:p>
            <w:pPr>
              <w:spacing w:after="0"/>
              <w:rPr>
                <w:sz w:val="21"/>
                <w:szCs w:val="21"/>
                <w:color w:val="auto"/>
              </w:rPr>
            </w:pPr>
          </w:p>
        </w:tc>
        <w:tc>
          <w:tcPr>
            <w:tcW w:w="1220" w:type="dxa"/>
            <w:vAlign w:val="bottom"/>
            <w:vMerge w:val="continue"/>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380" w:type="dxa"/>
            <w:vAlign w:val="bottom"/>
            <w:vMerge w:val="continue"/>
            <w:shd w:val="clear" w:color="auto" w:fill="D8D8D8"/>
          </w:tcPr>
          <w:p>
            <w:pPr>
              <w:spacing w:after="0"/>
              <w:rPr>
                <w:sz w:val="21"/>
                <w:szCs w:val="21"/>
                <w:color w:val="auto"/>
              </w:rPr>
            </w:pPr>
          </w:p>
        </w:tc>
        <w:tc>
          <w:tcPr>
            <w:tcW w:w="360" w:type="dxa"/>
            <w:vAlign w:val="bottom"/>
            <w:shd w:val="clear" w:color="auto" w:fill="D8D8D8"/>
          </w:tcPr>
          <w:p>
            <w:pPr>
              <w:spacing w:after="0"/>
              <w:rPr>
                <w:sz w:val="21"/>
                <w:szCs w:val="21"/>
                <w:color w:val="auto"/>
              </w:rPr>
            </w:pPr>
          </w:p>
        </w:tc>
        <w:tc>
          <w:tcPr>
            <w:tcW w:w="1220" w:type="dxa"/>
            <w:vAlign w:val="bottom"/>
            <w:vMerge w:val="continue"/>
            <w:shd w:val="clear" w:color="auto" w:fill="D8D8D8"/>
          </w:tcPr>
          <w:p>
            <w:pPr>
              <w:spacing w:after="0"/>
              <w:rPr>
                <w:sz w:val="21"/>
                <w:szCs w:val="21"/>
                <w:color w:val="auto"/>
              </w:rPr>
            </w:pPr>
          </w:p>
        </w:tc>
        <w:tc>
          <w:tcPr>
            <w:tcW w:w="320" w:type="dxa"/>
            <w:vAlign w:val="bottom"/>
            <w:shd w:val="clear" w:color="auto" w:fill="D8D8D8"/>
          </w:tcPr>
          <w:p>
            <w:pPr>
              <w:spacing w:after="0"/>
              <w:rPr>
                <w:sz w:val="21"/>
                <w:szCs w:val="21"/>
                <w:color w:val="auto"/>
              </w:rPr>
            </w:pPr>
          </w:p>
        </w:tc>
        <w:tc>
          <w:tcPr>
            <w:tcW w:w="1180" w:type="dxa"/>
            <w:vAlign w:val="bottom"/>
            <w:vMerge w:val="continue"/>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30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250.5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3,046.8</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3,046.8</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3,816.4</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2.1</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3,808.8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630.3</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363.8</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1,143.6</w:t>
            </w:r>
          </w:p>
        </w:tc>
        <w:tc>
          <w:tcPr>
            <w:tcW w:w="120" w:type="dxa"/>
            <w:vAlign w:val="bottom"/>
            <w:tcBorders>
              <w:bottom w:val="single" w:sz="8" w:color="auto"/>
            </w:tcBorders>
            <w:shd w:val="clear" w:color="auto" w:fill="D8D8D8"/>
          </w:tcPr>
          <w:p>
            <w:pPr>
              <w:spacing w:after="0"/>
              <w:rPr>
                <w:sz w:val="19"/>
                <w:szCs w:val="19"/>
                <w:color w:val="auto"/>
              </w:rPr>
            </w:pP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103.2</w:t>
            </w:r>
          </w:p>
        </w:tc>
        <w:tc>
          <w:tcPr>
            <w:tcW w:w="36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263.2</w:t>
            </w:r>
          </w:p>
        </w:tc>
        <w:tc>
          <w:tcPr>
            <w:tcW w:w="32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16,416.0</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1,728.4</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2,501.7</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12,170.5</w:t>
            </w:r>
          </w:p>
        </w:tc>
        <w:tc>
          <w:tcPr>
            <w:tcW w:w="0" w:type="dxa"/>
            <w:vAlign w:val="bottom"/>
          </w:tcPr>
          <w:p>
            <w:pPr>
              <w:spacing w:after="0"/>
              <w:rPr>
                <w:sz w:val="1"/>
                <w:szCs w:val="1"/>
                <w:color w:val="auto"/>
              </w:rPr>
            </w:pPr>
          </w:p>
        </w:tc>
      </w:tr>
      <w:tr>
        <w:trPr>
          <w:trHeight w:val="94"/>
        </w:trPr>
        <w:tc>
          <w:tcPr>
            <w:tcW w:w="3500" w:type="dxa"/>
            <w:vAlign w:val="bottom"/>
            <w:shd w:val="clear" w:color="auto" w:fill="D8D8D8"/>
          </w:tcPr>
          <w:p>
            <w:pPr>
              <w:spacing w:after="0"/>
              <w:rPr>
                <w:sz w:val="8"/>
                <w:szCs w:val="8"/>
                <w:color w:val="auto"/>
              </w:rPr>
            </w:pPr>
          </w:p>
        </w:tc>
        <w:tc>
          <w:tcPr>
            <w:tcW w:w="34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1380" w:type="dxa"/>
            <w:vAlign w:val="bottom"/>
            <w:shd w:val="clear" w:color="auto" w:fill="D8D8D8"/>
          </w:tcPr>
          <w:p>
            <w:pPr>
              <w:spacing w:after="0"/>
              <w:rPr>
                <w:sz w:val="8"/>
                <w:szCs w:val="8"/>
                <w:color w:val="auto"/>
              </w:rPr>
            </w:pPr>
          </w:p>
        </w:tc>
        <w:tc>
          <w:tcPr>
            <w:tcW w:w="36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320" w:type="dxa"/>
            <w:vAlign w:val="bottom"/>
            <w:shd w:val="clear" w:color="auto" w:fill="D8D8D8"/>
          </w:tcPr>
          <w:p>
            <w:pPr>
              <w:spacing w:after="0"/>
              <w:rPr>
                <w:sz w:val="8"/>
                <w:szCs w:val="8"/>
                <w:color w:val="auto"/>
              </w:rPr>
            </w:pPr>
          </w:p>
        </w:tc>
        <w:tc>
          <w:tcPr>
            <w:tcW w:w="1180" w:type="dxa"/>
            <w:vAlign w:val="bottom"/>
            <w:shd w:val="clear" w:color="auto" w:fill="D8D8D8"/>
          </w:tcPr>
          <w:p>
            <w:pPr>
              <w:spacing w:after="0"/>
              <w:rPr>
                <w:sz w:val="8"/>
                <w:szCs w:val="8"/>
                <w:color w:val="auto"/>
              </w:rPr>
            </w:pPr>
          </w:p>
        </w:tc>
        <w:tc>
          <w:tcPr>
            <w:tcW w:w="28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124.7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40.9</w:t>
            </w: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47.7</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317.8</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2,166.8</w:t>
            </w:r>
          </w:p>
        </w:tc>
        <w:tc>
          <w:tcPr>
            <w:tcW w:w="120" w:type="dxa"/>
            <w:vAlign w:val="bottom"/>
          </w:tcPr>
          <w:p>
            <w:pPr>
              <w:spacing w:after="0"/>
              <w:rPr>
                <w:sz w:val="15"/>
                <w:szCs w:val="15"/>
                <w:color w:val="auto"/>
              </w:rPr>
            </w:pPr>
          </w:p>
        </w:tc>
        <w:tc>
          <w:tcPr>
            <w:tcW w:w="138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18"/>
                <w:szCs w:val="18"/>
                <w:color w:val="auto"/>
              </w:rPr>
              <w:t>2,166.8</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34.5</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0.7</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24.4</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3,361.4</w:t>
            </w:r>
          </w:p>
        </w:tc>
        <w:tc>
          <w:tcPr>
            <w:tcW w:w="12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147.5</w:t>
            </w:r>
          </w:p>
        </w:tc>
        <w:tc>
          <w:tcPr>
            <w:tcW w:w="3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2,290.0</w:t>
            </w:r>
          </w:p>
        </w:tc>
        <w:tc>
          <w:tcPr>
            <w:tcW w:w="32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2021. The activity in the Level 3 investments during the year ended December 31, 2021 was not material.</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2023, we expect to contribute approximately $30 million to our defined benefit pension plans to satisfy minimum funding requirements for the year. We do not currently expect to make material discretionary contributions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16: Contingencies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the legal proceedings in which we are named as defendants are without merit and we are defending against them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European Patent Litigation</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Europe, Alimta (pemetrexed) was protected by a patent through June 2021. A number of legal proceedings that were initiated prior to patent expiration are ongoing.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would be infringed by our launch and continued sales of Emgality for the prevention of migraine in adults.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Following a trial, in November 2022, a jury returned a verdict in favor of Teva. The parties have filed post-trial motions on which the court will rule and then enter final judgment in the case. We intend to appeal the jury verdict if necessary. Pursuant to agreement by the parties, the award, if any, will not become due until completion of the appeal process. This matter is ongoing.</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 We challenged these two patents by filing requests for Inter Partes Review with the Patent Trial and Appeal Board (PTAB) and in October 2022, the PTAB granted our requests.The corresponding district court litigation is stayed while this PTAB proceeding is ongoing.</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November 2018, Boehringer Ingelheim, our partner in marketing and development of Jardiance, initiated U.S. patent litigation in the U.S. District Court for the District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including in some allegations the compound patent, are invalid or would not be infringed. We are not a party to this litigation. This litigation has been stayed.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1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Beginning in May 2020, Lilly and Novartis Pharma AG (Novartis) had been litigating the validity and alleged infringement by Taltz of certain patents Novartis acquired from Genentech, Inc. (Genentech). As of October 2022, we had pending cases in Ireland, Italy, Switzerland, and the Netherlands where Novartis sought injunctions to stop Taltz commercialization.</w:t>
      </w:r>
    </w:p>
    <w:p>
      <w:pPr>
        <w:spacing w:after="0" w:line="6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October 2022, we entered into a cashless (no-payment) settlement and mutual release agreement with Novartis, which resolved such disputes. Without any admission of liability or wrongdoing, we and Novartis have agreed to mutual releases for past claims and mutual covenants not to sue the other in relation to Taltz and the patents Novartis purchased from Genentech. This matter is closed.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Zyprexa Canada Patent Litigation</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judgment, thereby dismissing Apotex's case. Apotex appealed that ruling to the Court of Appeal for Ontario in April 2021. In August 2022, the Court dismissed the appeal and in October 2022, Apotex appealed the decision. This matter is ongoing.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Byetta® Product Liability</w:t>
      </w:r>
    </w:p>
    <w:p>
      <w:pPr>
        <w:spacing w:after="0" w:line="1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been named as a defendant in over 500 Byetta product liability lawsuits in the U.S. that were first initiated in March 2009 and involved over 800 plaintiffs. These lawsuits have been filed in various state and federal jurisdictions, including California state court (coordinated in Los Angeles County Superior Court), and various federal courts, the majority of which are coordinated in a multi -district litigation (MDL) in the U.S. District Court for the Southern District of California. The majority of these suits contained allegations that Byetta caused or contributed to the plaintiffs' cancer (primarily pancreatic cancer or thyroid cancer). All of the MDL and state court lawsuits have been dismissed as of January 2023 and we consider these matters closed.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1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regulations. We seek a declaratory judgment that the defendants violated the Administrative Procedure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notified us that it determined that our policy was contrary to the 340B statute. In response, in May 2021, we amended our complaint to bring claims related to HRSA's determination and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spacing w:after="0" w:line="8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were named as a defendant in a purported class action lawsuit filed in the U.S. District Court for the Western District of New York by Mosaic Health, Inc. alleging antitrust and unjust enrichment claims related to the defendants' 340B distribution programs. We, with Sanofi and Novo Nordisk, filed a motion to dismiss the lawsuit, which was granted in September 2022. In October 2022, the plaintiffs filed a motion for leave to amend their complaint. This matter is ongoing.</w:t>
      </w:r>
    </w:p>
    <w:p>
      <w:pPr>
        <w:spacing w:after="0" w:line="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are cooperating with the subpoena.</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First initiated in 2008, our subsidiary in Brazil, Eli Lilly do Brasil Limitada (Lilly Brasil), is named in a Public Civil Action brought by the Labor Public Attorney (LPA) for the 15th Region in the Labor Court of Paulinia, State of Sao Paulo, Brazil, (the Labor Court) alleging possible harm to employees and former employees caused by alleged exposure to soil and groundwater contaminants at a former Lilly Brasil manufacturing facility in Cosmopolis, Brazil, operated by the company between 1977 and 2003. In May 2014, the Labor Court judge ruled against Lilly Brasil, ordering it to undertake several remedial and compensatory actions including health coverage for a class of individuals and certain of their children. In July 2018, the appeals court (TRT) generally affirmed our appeal of the Labor Court's ruling, which included a liquidated award of 300 million Brazilian reais, which, when adjusted for inflation and the addition of pre and post judgment interest using the current Central Bank of Brazil's special system of clearance and custody rate, is approximately one billion Brazilian reais (approximately $ 184 million as of December 31, 2022). In August 2019, Lilly Brasil filed an appeal to the superior labor court (TST) and in June 2021, the TRT published its decision on the admissibility of Lilly Brasil's appeal, allowing the majority of the elements, which were allowed to proceed in June 2021; elements not proceeding are subject to an interlocutory appeal to the TST that was filed in June 2021. In September 2019, the TRT stayed a number of elements of its trial court decision pending the determination of Lilly Brasil's appeal to the TST.</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2019 and September 2020, the LPA filed applications in the Labor Court for enforcement of certain remedies granted by the TRT in its July 2018 decision, requested restrictions on Lilly Brasil’s assets in Brazil, and required Lilly Brasil and Antibióticos do Brasil Ltda. (ABL) to submit a list of potential beneficiaries of the Public Civil Action. In July 2019, the Labor Court issued a ruling requiring a freeze of Lilly Brasil’s immovable property or, alternatively, a security deposit or lien of 500 million Brazilian reais, which ruling was subsequently limited in scope and the security was reduced to 100 million Brazilian reais. ABL and LPA appealed the June 2021 Labor Court ruling to the TST, which appeal is under review. The Labor Court is currently assessing the status of Lilly Brasil’s and ABL’s compliance with such portion of the July 2018 TRT decision and an inspection in the industrial plant is expected. These matters are ongoing.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Lilly Brasil is also named in various pending lawsuits filed in the Labor Court by individual former employees making related claims. These individual lawsuits are at various stages in the litigation process.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award damages. The request was denied by the CFI in our favor and the Municipality filed for revision at the AP, which we opposed, staying the case. In February 2023, the AP denied the Municipality's motion for revision. This matter is ongoing.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filed in November 2014 and unsealed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The 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The case is proceeding with post-trial motions after which the court will enter final judgment in the case. This matter is ongoing.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named as a defendant in two lawsuits filed in Texas and New Jersey state courts in October 2019 seeking damages under the Texas Medicaid Fraud Prevention Act and New Jersey Medicaid False Claims Act, respectively, for certain patient support programs related to our products Humalog, Humulin, and Forteo. The Texas state court action has been stayed. The New Jersey state court action was dismissed with prejudice pending an ongoing appeal before the Appellate Division of the New Jersey Superior Court. This matter is ongoing.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w:t>
      </w:r>
    </w:p>
    <w:p>
      <w:pPr>
        <w:spacing w:after="0" w:line="11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We, along with Sanofi, Novo Nordisk, and in some matters certain pharmacy benefit managers, have been named in lawsuits related to insulin pricing that assert various theories, including consumer protection, fraud, false advertising, unjust enrichment, civil conspiracy, federal and state RICO statutes, deceptive trade practices, and unfair competition claims. These lawsuits include In re. Insulin Pricing Litigation, a putative consumer class action (U.S. District Court for the District of New Jersey, 2017); </w:t>
      </w:r>
      <w:r>
        <w:rPr>
          <w:rFonts w:ascii="Arial" w:cs="Arial" w:eastAsia="Arial" w:hAnsi="Arial"/>
          <w:sz w:val="17"/>
          <w:szCs w:val="17"/>
          <w:i w:val="1"/>
          <w:iCs w:val="1"/>
          <w:color w:val="auto"/>
        </w:rPr>
        <w:t>MSP Recovery Claims, Series, LLC et al. v. Sanofi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Aventis U.S. LLC et al. </w:t>
      </w:r>
      <w:r>
        <w:rPr>
          <w:rFonts w:ascii="Arial" w:cs="Arial" w:eastAsia="Arial" w:hAnsi="Arial"/>
          <w:sz w:val="17"/>
          <w:szCs w:val="17"/>
          <w:color w:val="auto"/>
        </w:rPr>
        <w:t>(U.S. District Court for the District of New Jersey, 2018);</w:t>
      </w:r>
      <w:r>
        <w:rPr>
          <w:rFonts w:ascii="Arial" w:cs="Arial" w:eastAsia="Arial" w:hAnsi="Arial"/>
          <w:sz w:val="17"/>
          <w:szCs w:val="17"/>
          <w:i w:val="1"/>
          <w:iCs w:val="1"/>
          <w:color w:val="auto"/>
        </w:rPr>
        <w:t xml:space="preserve"> FWK Holdings, LLC v. Novo Nordisk Inc., et al.</w:t>
      </w:r>
      <w:r>
        <w:rPr>
          <w:rFonts w:ascii="Arial" w:cs="Arial" w:eastAsia="Arial" w:hAnsi="Arial"/>
          <w:sz w:val="17"/>
          <w:szCs w:val="17"/>
          <w:color w:val="auto"/>
        </w:rPr>
        <w:t>, a putative</w:t>
      </w:r>
      <w:r>
        <w:rPr>
          <w:rFonts w:ascii="Arial" w:cs="Arial" w:eastAsia="Arial" w:hAnsi="Arial"/>
          <w:sz w:val="17"/>
          <w:szCs w:val="17"/>
          <w:i w:val="1"/>
          <w:iCs w:val="1"/>
          <w:color w:val="auto"/>
        </w:rPr>
        <w:t xml:space="preserve"> </w:t>
      </w:r>
      <w:r>
        <w:rPr>
          <w:rFonts w:ascii="Arial" w:cs="Arial" w:eastAsia="Arial" w:hAnsi="Arial"/>
          <w:sz w:val="17"/>
          <w:szCs w:val="17"/>
          <w:color w:val="auto"/>
        </w:rPr>
        <w:t>class action brought by direct purchasers of insulin (U.S. District Court for the District of New Jersey, 2020), and suits brought by the State of Minnesota (U.S. District Court for the District of New Jersey, 2018), State of Kentucky (Franklin County Circuit Court, 2019), State of Mississippi (U.S. District Court for the Southern District of Mississippi, 2021), State of Arkansas (U.S. District Court for the Eastern District of Arkansas, 2022), County of Albany, New York (U.S. District Court for the Northern District of New York, 2022), State of Montana (U.S. District Court for the District of Montana, 2022), State of Kansas (U.S. District Court for the District of Kansas, 2022), State of Illinois (U.S. District Court for the Northern District of Illinois, 2022), State of California (Los Angeles County Superior Court, 2023), Jackson County, Missouri in a putative class action on behalf of Missouri counties and municipalities (Jackson County Circuit Court, 2023), and the Government of Puerto Rico (Court of First Instance Superior Court, San Juan, 2023). These lawsuits are at various stages in the litigation process.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Investigations, Subpoenas, and Inquiries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pricing and sale of our insulin and other products, we have been subject to various investigations and received subpoenas, civil investigative demand requests, information requests, interrogatories, and other inquiries from various governmental entities. These include subpoenas from the New York and Vermont Attorney General Offices, civil investigative demands from the Washington, New Mexico, Colorado, Louisiana, Texas and Ohio Attorney General Offices, the U.S. Department of Justice and the U.S. Federal Trade Commission, as well as information requests from the Mississippi, Washington D.C., California, Florida, Hawaii, and Nevada Attorney General Offices. 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The Michigan Attorney General filed a notice of appeal to the Michigan Court of Appeals, which remains pending.</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received a request in January 2019 from the House of Representatives' Committee on Oversight and Reform seeking commercial information and business records related to the pricing of insulin products, among other issues. We also received similar requests from the Senate Finance Committee and the Senate Committee on Health, Education, Labor, and Pensions, and separate requests from the House Committee on Energy and Commerce majority and minority members. In January 2021, the Senate Finance Committee released a report summarizing the findings of its investigation. In December 2021 the House of Representatives' Committee on Oversight and Reform majority and minority staffs released separate reports with findings from their investigations into drug pricing, including of insulin products.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 aforementioned investigations, subpoenas, and inquiries.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In October 2021, the court issued a summary judgment decision finding in favor of RCT on certain issues, including with respect to a disputed royalty. Both parties filed motions for reconsideration, which were denied. We filed supplemental summary judgment motions. In November 2022, the court stayed proceedings so the parties can pursue mediation. A trial date has not been set. Potential damages payable under the litigation, if finally awarded after an appeal, could be material but are not currently reasonably estimable. This matter is ongoing.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ind w:right="80"/>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06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7"/>
              </w:rPr>
              <w:t>Unrealized Net</w:t>
            </w:r>
          </w:p>
        </w:tc>
        <w:tc>
          <w:tcPr>
            <w:tcW w:w="280" w:type="dxa"/>
            <w:vAlign w:val="bottom"/>
          </w:tcPr>
          <w:p>
            <w:pPr>
              <w:spacing w:after="0"/>
              <w:rPr>
                <w:sz w:val="13"/>
                <w:szCs w:val="13"/>
                <w:color w:val="auto"/>
              </w:rPr>
            </w:pPr>
          </w:p>
        </w:tc>
        <w:tc>
          <w:tcPr>
            <w:tcW w:w="1300" w:type="dxa"/>
            <w:vAlign w:val="bottom"/>
          </w:tcPr>
          <w:p>
            <w:pPr>
              <w:jc w:val="center"/>
              <w:ind w:right="160"/>
              <w:spacing w:after="0"/>
              <w:rPr>
                <w:sz w:val="20"/>
                <w:szCs w:val="20"/>
                <w:color w:val="auto"/>
              </w:rPr>
            </w:pPr>
            <w:r>
              <w:rPr>
                <w:rFonts w:ascii="Arial" w:cs="Arial" w:eastAsia="Arial" w:hAnsi="Arial"/>
                <w:sz w:val="13"/>
                <w:szCs w:val="13"/>
                <w:b w:val="1"/>
                <w:bCs w:val="1"/>
                <w:color w:val="auto"/>
                <w:w w:val="98"/>
              </w:rPr>
              <w:t>Defined Benefit</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4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(Amounts presented net of taxes)</w:t>
            </w:r>
          </w:p>
        </w:tc>
        <w:tc>
          <w:tcPr>
            <w:tcW w:w="120" w:type="dxa"/>
            <w:vAlign w:val="bottom"/>
          </w:tcPr>
          <w:p>
            <w:pPr>
              <w:spacing w:after="0"/>
              <w:rPr>
                <w:sz w:val="11"/>
                <w:szCs w:val="11"/>
                <w:color w:val="auto"/>
              </w:rPr>
            </w:pPr>
          </w:p>
        </w:tc>
        <w:tc>
          <w:tcPr>
            <w:tcW w:w="124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06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000" w:type="dxa"/>
            <w:vAlign w:val="bottom"/>
          </w:tcPr>
          <w:p>
            <w:pPr>
              <w:jc w:val="center"/>
              <w:ind w:right="98"/>
              <w:spacing w:after="0" w:line="135" w:lineRule="exact"/>
              <w:rPr>
                <w:sz w:val="20"/>
                <w:szCs w:val="20"/>
                <w:color w:val="auto"/>
              </w:rPr>
            </w:pPr>
            <w:r>
              <w:rPr>
                <w:rFonts w:ascii="Arial" w:cs="Arial" w:eastAsia="Arial" w:hAnsi="Arial"/>
                <w:sz w:val="13"/>
                <w:szCs w:val="13"/>
                <w:b w:val="1"/>
                <w:bCs w:val="1"/>
                <w:color w:val="auto"/>
                <w:w w:val="96"/>
              </w:rPr>
              <w:t>of Cash Flow</w:t>
            </w:r>
          </w:p>
        </w:tc>
        <w:tc>
          <w:tcPr>
            <w:tcW w:w="1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5"/>
              </w:rPr>
              <w:t>on Securities</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7"/>
              </w:rPr>
              <w:t>Hedges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25"/>
        </w:trPr>
        <w:tc>
          <w:tcPr>
            <w:tcW w:w="4360" w:type="dxa"/>
            <w:vAlign w:val="bottom"/>
            <w:shd w:val="clear" w:color="auto" w:fill="D8D8D8"/>
          </w:tcPr>
          <w:p>
            <w:pPr>
              <w:ind w:left="20"/>
              <w:spacing w:after="0"/>
              <w:rPr>
                <w:sz w:val="20"/>
                <w:szCs w:val="20"/>
                <w:color w:val="auto"/>
              </w:rPr>
            </w:pPr>
            <w:r>
              <w:rPr>
                <w:rFonts w:ascii="Arial" w:cs="Arial" w:eastAsia="Arial" w:hAnsi="Arial"/>
                <w:sz w:val="18"/>
                <w:szCs w:val="18"/>
                <w:color w:val="auto"/>
              </w:rPr>
              <w:t>Beginning balance at January 1, 2020</w:t>
            </w:r>
          </w:p>
        </w:tc>
        <w:tc>
          <w:tcPr>
            <w:tcW w:w="1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(1,678.0)</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2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D8D8D8"/>
          </w:tcPr>
          <w:p>
            <w:pPr>
              <w:jc w:val="right"/>
              <w:ind w:right="4"/>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(4,638.6)</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(211.9)</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176"/>
        </w:trPr>
        <w:tc>
          <w:tcPr>
            <w:tcW w:w="4360" w:type="dxa"/>
            <w:vAlign w:val="bottom"/>
          </w:tcPr>
          <w:p>
            <w:pPr>
              <w:ind w:left="140"/>
              <w:spacing w:after="0" w:line="17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8"/>
                <w:szCs w:val="18"/>
                <w:color w:val="auto"/>
              </w:rPr>
              <w:t>250.5</w:t>
            </w:r>
          </w:p>
        </w:tc>
        <w:tc>
          <w:tcPr>
            <w:tcW w:w="200" w:type="dxa"/>
            <w:vAlign w:val="bottom"/>
          </w:tcPr>
          <w:p>
            <w:pPr>
              <w:spacing w:after="0"/>
              <w:rPr>
                <w:sz w:val="15"/>
                <w:szCs w:val="15"/>
                <w:color w:val="auto"/>
              </w:rPr>
            </w:pPr>
          </w:p>
        </w:tc>
        <w:tc>
          <w:tcPr>
            <w:tcW w:w="1060" w:type="dxa"/>
            <w:vAlign w:val="bottom"/>
            <w:vMerge w:val="restart"/>
          </w:tcPr>
          <w:p>
            <w:pPr>
              <w:jc w:val="right"/>
              <w:ind w:right="2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(379.7)</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20" w:type="dxa"/>
            <w:vAlign w:val="bottom"/>
            <w:shd w:val="clear" w:color="auto" w:fill="D8D8D8"/>
          </w:tcPr>
          <w:p>
            <w:pPr>
              <w:spacing w:after="0"/>
              <w:rPr>
                <w:sz w:val="15"/>
                <w:szCs w:val="15"/>
                <w:color w:val="auto"/>
              </w:rPr>
            </w:pPr>
          </w:p>
        </w:tc>
        <w:tc>
          <w:tcPr>
            <w:tcW w:w="1240" w:type="dxa"/>
            <w:vAlign w:val="bottom"/>
            <w:vMerge w:val="restart"/>
            <w:shd w:val="clear" w:color="auto" w:fill="D8D8D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8D8D8"/>
          </w:tcPr>
          <w:p>
            <w:pPr>
              <w:spacing w:after="0"/>
              <w:rPr>
                <w:sz w:val="15"/>
                <w:szCs w:val="15"/>
                <w:color w:val="auto"/>
              </w:rPr>
            </w:pPr>
          </w:p>
        </w:tc>
        <w:tc>
          <w:tcPr>
            <w:tcW w:w="1060" w:type="dxa"/>
            <w:vAlign w:val="bottom"/>
            <w:vMerge w:val="restart"/>
            <w:shd w:val="clear" w:color="auto" w:fill="D8D8D8"/>
          </w:tcPr>
          <w:p>
            <w:pPr>
              <w:jc w:val="right"/>
              <w:ind w:right="2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ind w:right="40"/>
              <w:spacing w:after="0"/>
              <w:rPr>
                <w:sz w:val="20"/>
                <w:szCs w:val="20"/>
                <w:color w:val="auto"/>
              </w:rPr>
            </w:pPr>
            <w:r>
              <w:rPr>
                <w:rFonts w:ascii="Arial" w:cs="Arial" w:eastAsia="Arial" w:hAnsi="Arial"/>
                <w:sz w:val="18"/>
                <w:szCs w:val="18"/>
                <w:color w:val="auto"/>
              </w:rPr>
              <w:t>267.3</w:t>
            </w:r>
          </w:p>
        </w:tc>
        <w:tc>
          <w:tcPr>
            <w:tcW w:w="200" w:type="dxa"/>
            <w:vAlign w:val="bottom"/>
            <w:shd w:val="clear" w:color="auto" w:fill="D8D8D8"/>
          </w:tcPr>
          <w:p>
            <w:pPr>
              <w:spacing w:after="0"/>
              <w:rPr>
                <w:sz w:val="15"/>
                <w:szCs w:val="15"/>
                <w:color w:val="auto"/>
              </w:rPr>
            </w:pPr>
          </w:p>
        </w:tc>
        <w:tc>
          <w:tcPr>
            <w:tcW w:w="1000" w:type="dxa"/>
            <w:vAlign w:val="bottom"/>
            <w:vMerge w:val="restart"/>
            <w:shd w:val="clear" w:color="auto" w:fill="D8D8D8"/>
          </w:tcPr>
          <w:p>
            <w:pPr>
              <w:jc w:val="right"/>
              <w:ind w:right="38"/>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43"/>
        </w:trPr>
        <w:tc>
          <w:tcPr>
            <w:tcW w:w="43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shd w:val="clear" w:color="auto" w:fill="D8D8D8"/>
          </w:tcPr>
          <w:p>
            <w:pPr>
              <w:spacing w:after="0"/>
              <w:rPr>
                <w:sz w:val="21"/>
                <w:szCs w:val="21"/>
                <w:color w:val="auto"/>
              </w:rPr>
            </w:pPr>
          </w:p>
        </w:tc>
        <w:tc>
          <w:tcPr>
            <w:tcW w:w="1240" w:type="dxa"/>
            <w:vAlign w:val="bottom"/>
            <w:tcBorders>
              <w:bottom w:val="single" w:sz="8" w:color="auto"/>
            </w:tcBorders>
            <w:vMerge w:val="continue"/>
            <w:shd w:val="clear" w:color="auto" w:fill="D8D8D8"/>
          </w:tcPr>
          <w:p>
            <w:pPr>
              <w:spacing w:after="0"/>
              <w:rPr>
                <w:sz w:val="21"/>
                <w:szCs w:val="21"/>
                <w:color w:val="auto"/>
              </w:rPr>
            </w:pPr>
          </w:p>
        </w:tc>
        <w:tc>
          <w:tcPr>
            <w:tcW w:w="200" w:type="dxa"/>
            <w:vAlign w:val="bottom"/>
            <w:tcBorders>
              <w:bottom w:val="single" w:sz="8" w:color="auto"/>
            </w:tcBorders>
            <w:shd w:val="clear" w:color="auto" w:fill="D8D8D8"/>
          </w:tcPr>
          <w:p>
            <w:pPr>
              <w:spacing w:after="0"/>
              <w:rPr>
                <w:sz w:val="21"/>
                <w:szCs w:val="21"/>
                <w:color w:val="auto"/>
              </w:rPr>
            </w:pPr>
          </w:p>
        </w:tc>
        <w:tc>
          <w:tcPr>
            <w:tcW w:w="1060" w:type="dxa"/>
            <w:vAlign w:val="bottom"/>
            <w:tcBorders>
              <w:bottom w:val="single" w:sz="8" w:color="auto"/>
            </w:tcBorders>
            <w:vMerge w:val="continue"/>
            <w:shd w:val="clear" w:color="auto" w:fill="D8D8D8"/>
          </w:tcPr>
          <w:p>
            <w:pPr>
              <w:spacing w:after="0"/>
              <w:rPr>
                <w:sz w:val="21"/>
                <w:szCs w:val="21"/>
                <w:color w:val="auto"/>
              </w:rPr>
            </w:pPr>
          </w:p>
        </w:tc>
        <w:tc>
          <w:tcPr>
            <w:tcW w:w="280" w:type="dxa"/>
            <w:vAlign w:val="bottom"/>
            <w:tcBorders>
              <w:bottom w:val="single" w:sz="8" w:color="auto"/>
            </w:tcBorders>
            <w:shd w:val="clear" w:color="auto" w:fill="D8D8D8"/>
          </w:tcPr>
          <w:p>
            <w:pPr>
              <w:spacing w:after="0"/>
              <w:rPr>
                <w:sz w:val="21"/>
                <w:szCs w:val="21"/>
                <w:color w:val="auto"/>
              </w:rPr>
            </w:pPr>
          </w:p>
        </w:tc>
        <w:tc>
          <w:tcPr>
            <w:tcW w:w="1300" w:type="dxa"/>
            <w:vAlign w:val="bottom"/>
            <w:tcBorders>
              <w:bottom w:val="single" w:sz="8" w:color="auto"/>
            </w:tcBorders>
            <w:vMerge w:val="continue"/>
            <w:shd w:val="clear" w:color="auto" w:fill="D8D8D8"/>
          </w:tcPr>
          <w:p>
            <w:pPr>
              <w:spacing w:after="0"/>
              <w:rPr>
                <w:sz w:val="21"/>
                <w:szCs w:val="21"/>
                <w:color w:val="auto"/>
              </w:rPr>
            </w:pPr>
          </w:p>
        </w:tc>
        <w:tc>
          <w:tcPr>
            <w:tcW w:w="200" w:type="dxa"/>
            <w:vAlign w:val="bottom"/>
            <w:tcBorders>
              <w:bottom w:val="single" w:sz="8" w:color="auto"/>
            </w:tcBorders>
            <w:shd w:val="clear" w:color="auto" w:fill="D8D8D8"/>
          </w:tcPr>
          <w:p>
            <w:pPr>
              <w:spacing w:after="0"/>
              <w:rPr>
                <w:sz w:val="21"/>
                <w:szCs w:val="21"/>
                <w:color w:val="auto"/>
              </w:rPr>
            </w:pPr>
          </w:p>
        </w:tc>
        <w:tc>
          <w:tcPr>
            <w:tcW w:w="1000" w:type="dxa"/>
            <w:vAlign w:val="bottom"/>
            <w:tcBorders>
              <w:bottom w:val="single" w:sz="8" w:color="auto"/>
            </w:tcBorders>
            <w:vMerge w:val="continue"/>
            <w:shd w:val="clear" w:color="auto" w:fill="D8D8D8"/>
          </w:tcPr>
          <w:p>
            <w:pPr>
              <w:spacing w:after="0"/>
              <w:rPr>
                <w:sz w:val="21"/>
                <w:szCs w:val="21"/>
                <w:color w:val="auto"/>
              </w:rPr>
            </w:pPr>
          </w:p>
        </w:tc>
        <w:tc>
          <w:tcPr>
            <w:tcW w:w="180" w:type="dxa"/>
            <w:vAlign w:val="bottom"/>
            <w:tcBorders>
              <w:bottom w:val="single" w:sz="8" w:color="auto"/>
            </w:tcBorders>
            <w:shd w:val="clear" w:color="auto" w:fill="D8D8D8"/>
          </w:tcPr>
          <w:p>
            <w:pPr>
              <w:spacing w:after="0"/>
              <w:rPr>
                <w:sz w:val="21"/>
                <w:szCs w:val="21"/>
                <w:color w:val="auto"/>
              </w:rPr>
            </w:pPr>
          </w:p>
        </w:tc>
        <w:tc>
          <w:tcPr>
            <w:tcW w:w="1300" w:type="dxa"/>
            <w:vAlign w:val="bottom"/>
            <w:tcBorders>
              <w:bottom w:val="single" w:sz="8" w:color="auto"/>
            </w:tcBorders>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250.5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436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D8D8D8"/>
          </w:tcPr>
          <w:p>
            <w:pPr>
              <w:spacing w:after="0"/>
              <w:rPr>
                <w:sz w:val="19"/>
                <w:szCs w:val="19"/>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(1,427.5)</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20"/>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(4,751.0)</w:t>
            </w:r>
          </w:p>
        </w:tc>
        <w:tc>
          <w:tcPr>
            <w:tcW w:w="20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(332.7)</w:t>
            </w:r>
          </w:p>
        </w:tc>
        <w:tc>
          <w:tcPr>
            <w:tcW w:w="1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03" w:right="339" w:bottom="1440" w:gutter="0" w:footer="0" w:header="0"/>
        </w:sectPr>
      </w:pPr>
    </w:p>
    <w:p>
      <w:pPr>
        <w:ind w:left="140" w:right="820"/>
        <w:spacing w:after="0" w:line="237" w:lineRule="auto"/>
        <w:rPr>
          <w:sz w:val="20"/>
          <w:szCs w:val="20"/>
          <w:color w:val="auto"/>
        </w:rPr>
      </w:pPr>
      <w:r>
        <w:rPr>
          <w:rFonts w:ascii="Arial" w:cs="Arial" w:eastAsia="Arial" w:hAnsi="Arial"/>
          <w:sz w:val="18"/>
          <w:szCs w:val="18"/>
          <w:color w:val="auto"/>
        </w:rPr>
        <w:t>Other comprehensive income (loss) before reclassifications</w:t>
      </w:r>
    </w:p>
    <w:p>
      <w:pPr>
        <w:spacing w:after="0" w:line="4" w:lineRule="exact"/>
        <w:rPr>
          <w:sz w:val="20"/>
          <w:szCs w:val="20"/>
          <w:color w:val="auto"/>
        </w:rPr>
      </w:pPr>
    </w:p>
    <w:p>
      <w:pPr>
        <w:ind w:left="140" w:right="400"/>
        <w:spacing w:after="0"/>
        <w:rPr>
          <w:sz w:val="20"/>
          <w:szCs w:val="20"/>
          <w:color w:val="auto"/>
        </w:rPr>
      </w:pPr>
      <w:r>
        <w:rPr>
          <w:rFonts w:ascii="Arial" w:cs="Arial" w:eastAsia="Arial" w:hAnsi="Arial"/>
          <w:sz w:val="18"/>
          <w:szCs w:val="18"/>
          <w:color w:val="auto"/>
        </w:rPr>
        <w:t>Net amount reclassified from accumulated other comprehensive loss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jc w:val="right"/>
              <w:ind w:right="310"/>
              <w:spacing w:after="0"/>
              <w:rPr>
                <w:sz w:val="20"/>
                <w:szCs w:val="20"/>
                <w:color w:val="auto"/>
              </w:rPr>
            </w:pPr>
            <w:r>
              <w:rPr>
                <w:rFonts w:ascii="Arial" w:cs="Arial" w:eastAsia="Arial" w:hAnsi="Arial"/>
                <w:sz w:val="18"/>
                <w:szCs w:val="18"/>
                <w:color w:val="auto"/>
                <w:w w:val="98"/>
              </w:rPr>
              <w:t>(122.7)</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(11.9)</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1,823.4</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106.6</w:t>
            </w:r>
          </w:p>
        </w:tc>
        <w:tc>
          <w:tcPr>
            <w:tcW w:w="1060" w:type="dxa"/>
            <w:vAlign w:val="bottom"/>
          </w:tcPr>
          <w:p>
            <w:pPr>
              <w:jc w:val="right"/>
              <w:spacing w:after="0"/>
              <w:rPr>
                <w:sz w:val="20"/>
                <w:szCs w:val="20"/>
                <w:color w:val="auto"/>
              </w:rPr>
            </w:pPr>
            <w:r>
              <w:rPr>
                <w:rFonts w:ascii="Arial" w:cs="Arial" w:eastAsia="Arial" w:hAnsi="Arial"/>
                <w:sz w:val="18"/>
                <w:szCs w:val="18"/>
                <w:color w:val="auto"/>
              </w:rPr>
              <w:t>1,795.4</w:t>
            </w:r>
          </w:p>
        </w:tc>
      </w:tr>
      <w:tr>
        <w:trPr>
          <w:trHeight w:val="415"/>
        </w:trPr>
        <w:tc>
          <w:tcPr>
            <w:tcW w:w="9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0.8</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344.0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13.1</w:t>
            </w:r>
          </w:p>
        </w:tc>
        <w:tc>
          <w:tcPr>
            <w:tcW w:w="1060" w:type="dxa"/>
            <w:vAlign w:val="bottom"/>
          </w:tcPr>
          <w:p>
            <w:pPr>
              <w:jc w:val="right"/>
              <w:spacing w:after="0"/>
              <w:rPr>
                <w:sz w:val="20"/>
                <w:szCs w:val="20"/>
                <w:color w:val="auto"/>
              </w:rPr>
            </w:pPr>
            <w:r>
              <w:rPr>
                <w:rFonts w:ascii="Arial" w:cs="Arial" w:eastAsia="Arial" w:hAnsi="Arial"/>
                <w:sz w:val="18"/>
                <w:szCs w:val="18"/>
                <w:color w:val="auto"/>
              </w:rPr>
              <w:t>357.9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-265430</wp:posOffset>
            </wp:positionV>
            <wp:extent cx="7132320" cy="266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60" w:space="720"/>
            <w:col w:w="6160"/>
          </w:cols>
          <w:pgMar w:left="320" w:top="120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36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7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(122.7)</w:t>
            </w:r>
          </w:p>
        </w:tc>
        <w:tc>
          <w:tcPr>
            <w:tcW w:w="12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(11.1)</w:t>
            </w:r>
          </w:p>
        </w:tc>
        <w:tc>
          <w:tcPr>
            <w:tcW w:w="1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2,167.4</w:t>
            </w: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119.7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2,153.3</w:t>
            </w:r>
          </w:p>
        </w:tc>
      </w:tr>
      <w:tr>
        <w:trPr>
          <w:trHeight w:val="223"/>
        </w:trPr>
        <w:tc>
          <w:tcPr>
            <w:tcW w:w="436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2021</w:t>
            </w:r>
          </w:p>
        </w:tc>
        <w:tc>
          <w:tcPr>
            <w:tcW w:w="1700" w:type="dxa"/>
            <w:vAlign w:val="bottom"/>
            <w:shd w:val="clear" w:color="auto" w:fill="D8D8D8"/>
          </w:tcPr>
          <w:p>
            <w:pPr>
              <w:jc w:val="right"/>
              <w:ind w:right="310"/>
              <w:spacing w:after="0"/>
              <w:rPr>
                <w:sz w:val="20"/>
                <w:szCs w:val="20"/>
                <w:color w:val="auto"/>
              </w:rPr>
            </w:pPr>
            <w:r>
              <w:rPr>
                <w:rFonts w:ascii="Arial" w:cs="Arial" w:eastAsia="Arial" w:hAnsi="Arial"/>
                <w:sz w:val="18"/>
                <w:szCs w:val="18"/>
                <w:color w:val="auto"/>
              </w:rPr>
              <w:t>(1,550.2)</w:t>
            </w:r>
          </w:p>
        </w:tc>
        <w:tc>
          <w:tcPr>
            <w:tcW w:w="1280" w:type="dxa"/>
            <w:vAlign w:val="bottom"/>
            <w:shd w:val="clear" w:color="auto" w:fill="D8D8D8"/>
          </w:tcPr>
          <w:p>
            <w:pPr>
              <w:jc w:val="right"/>
              <w:ind w:right="370"/>
              <w:spacing w:after="0"/>
              <w:rPr>
                <w:sz w:val="20"/>
                <w:szCs w:val="20"/>
                <w:color w:val="auto"/>
              </w:rPr>
            </w:pPr>
            <w:r>
              <w:rPr>
                <w:rFonts w:ascii="Arial" w:cs="Arial" w:eastAsia="Arial" w:hAnsi="Arial"/>
                <w:sz w:val="18"/>
                <w:szCs w:val="18"/>
                <w:color w:val="auto"/>
              </w:rPr>
              <w:t>3.7</w:t>
            </w:r>
          </w:p>
        </w:tc>
        <w:tc>
          <w:tcPr>
            <w:tcW w:w="146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(2,583.6)</w:t>
            </w:r>
          </w:p>
        </w:tc>
        <w:tc>
          <w:tcPr>
            <w:tcW w:w="1300" w:type="dxa"/>
            <w:vAlign w:val="bottom"/>
            <w:shd w:val="clear" w:color="auto" w:fill="D8D8D8"/>
          </w:tcPr>
          <w:p>
            <w:pPr>
              <w:jc w:val="right"/>
              <w:ind w:right="330"/>
              <w:spacing w:after="0"/>
              <w:rPr>
                <w:sz w:val="20"/>
                <w:szCs w:val="20"/>
                <w:color w:val="auto"/>
              </w:rPr>
            </w:pPr>
            <w:r>
              <w:rPr>
                <w:rFonts w:ascii="Arial" w:cs="Arial" w:eastAsia="Arial" w:hAnsi="Arial"/>
                <w:sz w:val="18"/>
                <w:szCs w:val="18"/>
                <w:color w:val="auto"/>
              </w:rPr>
              <w:t>(213.0)</w:t>
            </w: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(4,343.1)</w:t>
            </w:r>
          </w:p>
        </w:tc>
      </w:tr>
    </w:tbl>
    <w:p>
      <w:pPr>
        <w:spacing w:after="0" w:line="1" w:lineRule="exact"/>
        <w:rPr>
          <w:sz w:val="20"/>
          <w:szCs w:val="20"/>
          <w:color w:val="auto"/>
        </w:rPr>
      </w:pPr>
    </w:p>
    <w:p>
      <w:pPr>
        <w:sectPr>
          <w:pgSz w:w="11900" w:h="16838" w:orient="portrait"/>
          <w:cols w:equalWidth="0" w:num="1">
            <w:col w:w="11240"/>
          </w:cols>
          <w:pgMar w:left="320" w:top="1203" w:right="339" w:bottom="1440" w:gutter="0" w:footer="0" w:header="0"/>
          <w:type w:val="continuous"/>
        </w:sectPr>
      </w:pPr>
    </w:p>
    <w:p>
      <w:pPr>
        <w:ind w:left="140" w:right="820"/>
        <w:spacing w:after="0" w:line="237" w:lineRule="auto"/>
        <w:rPr>
          <w:sz w:val="20"/>
          <w:szCs w:val="20"/>
          <w:color w:val="auto"/>
        </w:rPr>
      </w:pPr>
      <w:r>
        <w:rPr>
          <w:rFonts w:ascii="Arial" w:cs="Arial" w:eastAsia="Arial" w:hAnsi="Arial"/>
          <w:sz w:val="18"/>
          <w:szCs w:val="18"/>
          <w:color w:val="auto"/>
        </w:rPr>
        <w:t>Other comprehensive income (loss) before reclassifications</w:t>
      </w:r>
    </w:p>
    <w:p>
      <w:pPr>
        <w:spacing w:after="0" w:line="4" w:lineRule="exact"/>
        <w:rPr>
          <w:sz w:val="20"/>
          <w:szCs w:val="20"/>
          <w:color w:val="auto"/>
        </w:rPr>
      </w:pPr>
    </w:p>
    <w:p>
      <w:pPr>
        <w:ind w:left="140" w:right="400"/>
        <w:spacing w:after="0"/>
        <w:rPr>
          <w:sz w:val="20"/>
          <w:szCs w:val="20"/>
          <w:color w:val="auto"/>
        </w:rPr>
      </w:pPr>
      <w:r>
        <w:rPr>
          <w:rFonts w:ascii="Arial" w:cs="Arial" w:eastAsia="Arial" w:hAnsi="Arial"/>
          <w:sz w:val="18"/>
          <w:szCs w:val="18"/>
          <w:color w:val="auto"/>
        </w:rPr>
        <w:t>Net amount reclassified from accumulated other comprehensive loss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(324.4)</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(52.2)</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291.5</w:t>
            </w: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332.8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247.7</w:t>
            </w:r>
          </w:p>
        </w:tc>
      </w:tr>
      <w:tr>
        <w:trPr>
          <w:trHeight w:val="407"/>
        </w:trPr>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0.4</w:t>
            </w: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11.4</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229.8</w:t>
            </w: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9.2</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-265430</wp:posOffset>
            </wp:positionV>
            <wp:extent cx="7132320" cy="266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60" w:space="720"/>
            <w:col w:w="6160"/>
          </w:cols>
          <w:pgMar w:left="320" w:top="120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36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(324.0)</w:t>
            </w:r>
          </w:p>
        </w:tc>
        <w:tc>
          <w:tcPr>
            <w:tcW w:w="4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521.3</w:t>
            </w: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342.0</w:t>
            </w: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498.5</w:t>
            </w:r>
          </w:p>
        </w:tc>
      </w:tr>
      <w:tr>
        <w:trPr>
          <w:trHeight w:val="243"/>
        </w:trPr>
        <w:tc>
          <w:tcPr>
            <w:tcW w:w="43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Ending balance at December 31, 2022</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(1,874.2)</w:t>
            </w:r>
          </w:p>
        </w:tc>
        <w:tc>
          <w:tcPr>
            <w:tcW w:w="46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(37.1)</w:t>
            </w:r>
          </w:p>
        </w:tc>
        <w:tc>
          <w:tcPr>
            <w:tcW w:w="46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(2,062.3)</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129.0</w:t>
            </w:r>
          </w:p>
        </w:tc>
        <w:tc>
          <w:tcPr>
            <w:tcW w:w="48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(3,844.6)</w:t>
            </w: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(75.9)</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(136.2)</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12.4</w:t>
            </w:r>
          </w:p>
        </w:tc>
        <w:tc>
          <w:tcPr>
            <w:tcW w:w="4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(95.6)</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(532.0)</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155"/>
        </w:trPr>
        <w:tc>
          <w:tcPr>
            <w:tcW w:w="6820" w:type="dxa"/>
            <w:vAlign w:val="bottom"/>
            <w:shd w:val="clear" w:color="auto" w:fill="D8D8D8"/>
          </w:tcPr>
          <w:p>
            <w:pPr>
              <w:ind w:left="20"/>
              <w:spacing w:after="0" w:line="156" w:lineRule="exact"/>
              <w:rPr>
                <w:sz w:val="20"/>
                <w:szCs w:val="20"/>
                <w:color w:val="auto"/>
              </w:rPr>
            </w:pPr>
            <w:r>
              <w:rPr>
                <w:rFonts w:ascii="Arial" w:cs="Arial" w:eastAsia="Arial" w:hAnsi="Arial"/>
                <w:sz w:val="18"/>
                <w:szCs w:val="18"/>
                <w:color w:val="auto"/>
              </w:rPr>
              <w:t>Benefit/(provision) for income taxes allocated to other comprehensive income (loss)</w:t>
            </w:r>
          </w:p>
        </w:tc>
        <w:tc>
          <w:tcPr>
            <w:tcW w:w="32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(250.0)</w:t>
            </w:r>
          </w:p>
        </w:tc>
        <w:tc>
          <w:tcPr>
            <w:tcW w:w="40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(695.3)</w:t>
            </w:r>
          </w:p>
        </w:tc>
        <w:tc>
          <w:tcPr>
            <w:tcW w:w="38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items</w:t>
            </w:r>
          </w:p>
        </w:tc>
        <w:tc>
          <w:tcPr>
            <w:tcW w:w="320" w:type="dxa"/>
            <w:vAlign w:val="bottom"/>
            <w:tcBorders>
              <w:bottom w:val="single" w:sz="8" w:color="auto"/>
            </w:tcBorders>
            <w:vMerge w:val="continue"/>
            <w:shd w:val="clear" w:color="auto" w:fill="D8D8D8"/>
          </w:tcPr>
          <w:p>
            <w:pPr>
              <w:spacing w:after="0"/>
              <w:rPr>
                <w:sz w:val="20"/>
                <w:szCs w:val="20"/>
                <w:color w:val="auto"/>
              </w:rPr>
            </w:pPr>
          </w:p>
        </w:tc>
        <w:tc>
          <w:tcPr>
            <w:tcW w:w="1120" w:type="dxa"/>
            <w:vAlign w:val="bottom"/>
            <w:tcBorders>
              <w:bottom w:val="single" w:sz="8" w:color="auto"/>
            </w:tcBorders>
            <w:vMerge w:val="continue"/>
            <w:shd w:val="clear" w:color="auto" w:fill="D8D8D8"/>
          </w:tcPr>
          <w:p>
            <w:pPr>
              <w:spacing w:after="0"/>
              <w:rPr>
                <w:sz w:val="20"/>
                <w:szCs w:val="20"/>
                <w:color w:val="auto"/>
              </w:rPr>
            </w:pPr>
          </w:p>
        </w:tc>
        <w:tc>
          <w:tcPr>
            <w:tcW w:w="400" w:type="dxa"/>
            <w:vAlign w:val="bottom"/>
            <w:tcBorders>
              <w:bottom w:val="single" w:sz="8" w:color="auto"/>
            </w:tcBorders>
            <w:vMerge w:val="continue"/>
            <w:shd w:val="clear" w:color="auto" w:fill="D8D8D8"/>
          </w:tcPr>
          <w:p>
            <w:pPr>
              <w:spacing w:after="0"/>
              <w:rPr>
                <w:sz w:val="20"/>
                <w:szCs w:val="20"/>
                <w:color w:val="auto"/>
              </w:rPr>
            </w:pPr>
          </w:p>
        </w:tc>
        <w:tc>
          <w:tcPr>
            <w:tcW w:w="1120" w:type="dxa"/>
            <w:vAlign w:val="bottom"/>
            <w:tcBorders>
              <w:bottom w:val="single" w:sz="8" w:color="auto"/>
            </w:tcBorders>
            <w:vMerge w:val="continue"/>
            <w:shd w:val="clear" w:color="auto" w:fill="D8D8D8"/>
          </w:tcPr>
          <w:p>
            <w:pPr>
              <w:spacing w:after="0"/>
              <w:rPr>
                <w:sz w:val="20"/>
                <w:szCs w:val="20"/>
                <w:color w:val="auto"/>
              </w:rPr>
            </w:pPr>
          </w:p>
        </w:tc>
        <w:tc>
          <w:tcPr>
            <w:tcW w:w="380" w:type="dxa"/>
            <w:vAlign w:val="bottom"/>
            <w:tcBorders>
              <w:bottom w:val="single" w:sz="8" w:color="auto"/>
            </w:tcBorders>
            <w:vMerge w:val="continue"/>
            <w:shd w:val="clear" w:color="auto" w:fill="D8D8D8"/>
          </w:tcPr>
          <w:p>
            <w:pPr>
              <w:spacing w:after="0"/>
              <w:rPr>
                <w:sz w:val="20"/>
                <w:szCs w:val="20"/>
                <w:color w:val="auto"/>
              </w:rPr>
            </w:pPr>
          </w:p>
        </w:tc>
        <w:tc>
          <w:tcPr>
            <w:tcW w:w="1080" w:type="dxa"/>
            <w:vAlign w:val="bottom"/>
            <w:tcBorders>
              <w:bottom w:val="single" w:sz="8" w:color="auto"/>
            </w:tcBorders>
            <w:vMerge w:val="continue"/>
            <w:shd w:val="clear" w:color="auto" w:fill="D8D8D8"/>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ind w:left="620"/>
              <w:spacing w:after="0"/>
              <w:rPr>
                <w:sz w:val="20"/>
                <w:szCs w:val="20"/>
                <w:color w:val="auto"/>
              </w:rPr>
            </w:pPr>
            <w:r>
              <w:rPr>
                <w:rFonts w:ascii="Arial" w:cs="Arial" w:eastAsia="Arial" w:hAnsi="Arial"/>
                <w:sz w:val="14"/>
                <w:szCs w:val="14"/>
                <w:b w:val="1"/>
                <w:bCs w:val="1"/>
                <w:color w:val="auto"/>
              </w:rPr>
              <w:t>Details about Accumulated Other</w:t>
            </w: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500" w:type="dxa"/>
            <w:vAlign w:val="bottom"/>
            <w:gridSpan w:val="6"/>
          </w:tcPr>
          <w:p>
            <w:pPr>
              <w:ind w:left="40"/>
              <w:spacing w:after="0"/>
              <w:rPr>
                <w:sz w:val="20"/>
                <w:szCs w:val="20"/>
                <w:color w:val="auto"/>
              </w:rPr>
            </w:pPr>
            <w:r>
              <w:rPr>
                <w:rFonts w:ascii="Arial" w:cs="Arial" w:eastAsia="Arial" w:hAnsi="Arial"/>
                <w:sz w:val="14"/>
                <w:szCs w:val="14"/>
                <w:b w:val="1"/>
                <w:bCs w:val="1"/>
                <w:color w:val="auto"/>
              </w:rPr>
              <w:t>Affected Line Item in the Consolidated Statements</w:t>
            </w:r>
          </w:p>
        </w:tc>
        <w:tc>
          <w:tcPr>
            <w:tcW w:w="0" w:type="dxa"/>
            <w:vAlign w:val="bottom"/>
          </w:tcPr>
          <w:p>
            <w:pPr>
              <w:spacing w:after="0"/>
              <w:rPr>
                <w:sz w:val="1"/>
                <w:szCs w:val="1"/>
                <w:color w:val="auto"/>
              </w:rPr>
            </w:pPr>
          </w:p>
        </w:tc>
      </w:tr>
      <w:tr>
        <w:trPr>
          <w:trHeight w:val="197"/>
        </w:trPr>
        <w:tc>
          <w:tcPr>
            <w:tcW w:w="35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Comprehensive Loss Components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of Operations</w:t>
            </w: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D4D4D4"/>
          </w:tcPr>
          <w:p>
            <w:pPr>
              <w:ind w:left="140"/>
              <w:spacing w:after="0"/>
              <w:rPr>
                <w:sz w:val="20"/>
                <w:szCs w:val="20"/>
                <w:color w:val="auto"/>
              </w:rPr>
            </w:pPr>
            <w:r>
              <w:rPr>
                <w:rFonts w:ascii="Arial" w:cs="Arial" w:eastAsia="Arial" w:hAnsi="Arial"/>
                <w:sz w:val="18"/>
                <w:szCs w:val="18"/>
                <w:color w:val="auto"/>
              </w:rPr>
              <w:t>Amortization of retirement benefit items:</w:t>
            </w:r>
          </w:p>
        </w:tc>
        <w:tc>
          <w:tcPr>
            <w:tcW w:w="320" w:type="dxa"/>
            <w:vAlign w:val="bottom"/>
            <w:shd w:val="clear" w:color="auto" w:fill="D4D4D4"/>
          </w:tcPr>
          <w:p>
            <w:pPr>
              <w:spacing w:after="0"/>
              <w:rPr>
                <w:sz w:val="19"/>
                <w:szCs w:val="19"/>
                <w:color w:val="auto"/>
              </w:rPr>
            </w:pPr>
          </w:p>
        </w:tc>
        <w:tc>
          <w:tcPr>
            <w:tcW w:w="1060" w:type="dxa"/>
            <w:vAlign w:val="bottom"/>
            <w:shd w:val="clear" w:color="auto" w:fill="D4D4D4"/>
          </w:tcPr>
          <w:p>
            <w:pPr>
              <w:spacing w:after="0"/>
              <w:rPr>
                <w:sz w:val="19"/>
                <w:szCs w:val="19"/>
                <w:color w:val="auto"/>
              </w:rPr>
            </w:pPr>
          </w:p>
        </w:tc>
        <w:tc>
          <w:tcPr>
            <w:tcW w:w="360" w:type="dxa"/>
            <w:vAlign w:val="bottom"/>
            <w:shd w:val="clear" w:color="auto" w:fill="D4D4D4"/>
          </w:tcPr>
          <w:p>
            <w:pPr>
              <w:spacing w:after="0"/>
              <w:rPr>
                <w:sz w:val="19"/>
                <w:szCs w:val="19"/>
                <w:color w:val="auto"/>
              </w:rPr>
            </w:pPr>
          </w:p>
        </w:tc>
        <w:tc>
          <w:tcPr>
            <w:tcW w:w="1060" w:type="dxa"/>
            <w:vAlign w:val="bottom"/>
            <w:shd w:val="clear" w:color="auto" w:fill="D4D4D4"/>
          </w:tcPr>
          <w:p>
            <w:pPr>
              <w:spacing w:after="0"/>
              <w:rPr>
                <w:sz w:val="19"/>
                <w:szCs w:val="19"/>
                <w:color w:val="auto"/>
              </w:rPr>
            </w:pPr>
          </w:p>
        </w:tc>
        <w:tc>
          <w:tcPr>
            <w:tcW w:w="440" w:type="dxa"/>
            <w:vAlign w:val="bottom"/>
            <w:shd w:val="clear" w:color="auto" w:fill="D4D4D4"/>
          </w:tcPr>
          <w:p>
            <w:pPr>
              <w:spacing w:after="0"/>
              <w:rPr>
                <w:sz w:val="19"/>
                <w:szCs w:val="19"/>
                <w:color w:val="auto"/>
              </w:rPr>
            </w:pPr>
          </w:p>
        </w:tc>
        <w:tc>
          <w:tcPr>
            <w:tcW w:w="120" w:type="dxa"/>
            <w:vAlign w:val="bottom"/>
            <w:shd w:val="clear" w:color="auto" w:fill="D4D4D4"/>
          </w:tcPr>
          <w:p>
            <w:pPr>
              <w:spacing w:after="0"/>
              <w:rPr>
                <w:sz w:val="19"/>
                <w:szCs w:val="19"/>
                <w:color w:val="auto"/>
              </w:rPr>
            </w:pPr>
          </w:p>
        </w:tc>
        <w:tc>
          <w:tcPr>
            <w:tcW w:w="840" w:type="dxa"/>
            <w:vAlign w:val="bottom"/>
            <w:shd w:val="clear" w:color="auto" w:fill="D4D4D4"/>
          </w:tcPr>
          <w:p>
            <w:pPr>
              <w:spacing w:after="0"/>
              <w:rPr>
                <w:sz w:val="19"/>
                <w:szCs w:val="19"/>
                <w:color w:val="auto"/>
              </w:rPr>
            </w:pPr>
          </w:p>
        </w:tc>
        <w:tc>
          <w:tcPr>
            <w:tcW w:w="50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140" w:type="dxa"/>
            <w:vAlign w:val="bottom"/>
            <w:shd w:val="clear" w:color="auto" w:fill="D4D4D4"/>
          </w:tcPr>
          <w:p>
            <w:pPr>
              <w:spacing w:after="0"/>
              <w:rPr>
                <w:sz w:val="19"/>
                <w:szCs w:val="19"/>
                <w:color w:val="auto"/>
              </w:rPr>
            </w:pPr>
          </w:p>
        </w:tc>
        <w:tc>
          <w:tcPr>
            <w:tcW w:w="560" w:type="dxa"/>
            <w:vAlign w:val="bottom"/>
            <w:shd w:val="clear" w:color="auto" w:fill="D4D4D4"/>
          </w:tcPr>
          <w:p>
            <w:pPr>
              <w:spacing w:after="0"/>
              <w:rPr>
                <w:sz w:val="19"/>
                <w:szCs w:val="19"/>
                <w:color w:val="auto"/>
              </w:rPr>
            </w:pPr>
          </w:p>
        </w:tc>
        <w:tc>
          <w:tcPr>
            <w:tcW w:w="900" w:type="dxa"/>
            <w:vAlign w:val="bottom"/>
            <w:shd w:val="clear" w:color="auto" w:fill="D4D4D4"/>
          </w:tcPr>
          <w:p>
            <w:pPr>
              <w:spacing w:after="0"/>
              <w:rPr>
                <w:sz w:val="19"/>
                <w:szCs w:val="19"/>
                <w:color w:val="auto"/>
              </w:rPr>
            </w:pPr>
          </w:p>
        </w:tc>
        <w:tc>
          <w:tcPr>
            <w:tcW w:w="2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Prior service benefits, net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center"/>
              <w:ind w:left="233"/>
              <w:spacing w:after="0"/>
              <w:rPr>
                <w:sz w:val="20"/>
                <w:szCs w:val="20"/>
                <w:color w:val="auto"/>
              </w:rPr>
            </w:pPr>
            <w:r>
              <w:rPr>
                <w:rFonts w:ascii="Arial" w:cs="Arial" w:eastAsia="Arial" w:hAnsi="Arial"/>
                <w:sz w:val="18"/>
                <w:szCs w:val="18"/>
                <w:color w:val="auto"/>
              </w:rPr>
              <w:t>(55.0)</w:t>
            </w:r>
          </w:p>
        </w:tc>
        <w:tc>
          <w:tcPr>
            <w:tcW w:w="2580" w:type="dxa"/>
            <w:vAlign w:val="bottom"/>
            <w:gridSpan w:val="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Actuarial losses</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4"/>
              <w:spacing w:after="0"/>
              <w:rPr>
                <w:sz w:val="20"/>
                <w:szCs w:val="20"/>
                <w:color w:val="auto"/>
              </w:rPr>
            </w:pPr>
            <w:r>
              <w:rPr>
                <w:rFonts w:ascii="Arial" w:cs="Arial" w:eastAsia="Arial" w:hAnsi="Arial"/>
                <w:sz w:val="18"/>
                <w:szCs w:val="18"/>
                <w:b w:val="1"/>
                <w:bCs w:val="1"/>
                <w:color w:val="auto"/>
              </w:rPr>
              <w:t>343.3</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2"/>
              <w:spacing w:after="0"/>
              <w:rPr>
                <w:sz w:val="20"/>
                <w:szCs w:val="20"/>
                <w:color w:val="auto"/>
              </w:rPr>
            </w:pPr>
            <w:r>
              <w:rPr>
                <w:rFonts w:ascii="Arial" w:cs="Arial" w:eastAsia="Arial" w:hAnsi="Arial"/>
                <w:sz w:val="18"/>
                <w:szCs w:val="18"/>
                <w:color w:val="auto"/>
              </w:rPr>
              <w:t>490.9</w:t>
            </w:r>
          </w:p>
        </w:tc>
        <w:tc>
          <w:tcPr>
            <w:tcW w:w="440" w:type="dxa"/>
            <w:vAlign w:val="bottom"/>
            <w:tcBorders>
              <w:bottom w:val="single" w:sz="8" w:color="auto"/>
            </w:tcBorders>
            <w:shd w:val="clear" w:color="auto" w:fill="D4D4D4"/>
          </w:tcPr>
          <w:p>
            <w:pPr>
              <w:spacing w:after="0"/>
              <w:rPr>
                <w:sz w:val="19"/>
                <w:szCs w:val="19"/>
                <w:color w:val="auto"/>
              </w:rPr>
            </w:pPr>
          </w:p>
        </w:tc>
        <w:tc>
          <w:tcPr>
            <w:tcW w:w="120" w:type="dxa"/>
            <w:vAlign w:val="bottom"/>
            <w:tcBorders>
              <w:bottom w:val="single" w:sz="8" w:color="auto"/>
            </w:tcBorders>
            <w:shd w:val="clear" w:color="auto" w:fill="D4D4D4"/>
          </w:tcPr>
          <w:p>
            <w:pPr>
              <w:spacing w:after="0"/>
              <w:rPr>
                <w:sz w:val="19"/>
                <w:szCs w:val="19"/>
                <w:color w:val="auto"/>
              </w:rPr>
            </w:pPr>
          </w:p>
        </w:tc>
        <w:tc>
          <w:tcPr>
            <w:tcW w:w="84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393.3</w:t>
            </w:r>
          </w:p>
        </w:tc>
        <w:tc>
          <w:tcPr>
            <w:tcW w:w="2580" w:type="dxa"/>
            <w:vAlign w:val="bottom"/>
            <w:gridSpan w:val="4"/>
            <w:shd w:val="clear" w:color="auto" w:fill="D4D4D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shd w:val="clear" w:color="auto" w:fill="D4D4D4"/>
          </w:tcPr>
          <w:p>
            <w:pPr>
              <w:spacing w:after="0"/>
              <w:rPr>
                <w:sz w:val="19"/>
                <w:szCs w:val="19"/>
                <w:color w:val="auto"/>
              </w:rPr>
            </w:pPr>
          </w:p>
        </w:tc>
        <w:tc>
          <w:tcPr>
            <w:tcW w:w="2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Total before tax</w:t>
            </w:r>
          </w:p>
        </w:tc>
        <w:tc>
          <w:tcPr>
            <w:tcW w:w="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290.9</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435.5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338.3</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(61.1)</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(91.5)</w:t>
            </w:r>
          </w:p>
        </w:tc>
        <w:tc>
          <w:tcPr>
            <w:tcW w:w="440" w:type="dxa"/>
            <w:vAlign w:val="bottom"/>
            <w:tcBorders>
              <w:bottom w:val="single" w:sz="8" w:color="auto"/>
            </w:tcBorders>
            <w:shd w:val="clear" w:color="auto" w:fill="D4D4D4"/>
          </w:tcPr>
          <w:p>
            <w:pPr>
              <w:spacing w:after="0"/>
              <w:rPr>
                <w:sz w:val="19"/>
                <w:szCs w:val="19"/>
                <w:color w:val="auto"/>
              </w:rPr>
            </w:pPr>
          </w:p>
        </w:tc>
        <w:tc>
          <w:tcPr>
            <w:tcW w:w="120" w:type="dxa"/>
            <w:vAlign w:val="bottom"/>
            <w:tcBorders>
              <w:bottom w:val="single" w:sz="8" w:color="auto"/>
            </w:tcBorders>
            <w:shd w:val="clear" w:color="auto" w:fill="D4D4D4"/>
          </w:tcPr>
          <w:p>
            <w:pPr>
              <w:spacing w:after="0"/>
              <w:rPr>
                <w:sz w:val="19"/>
                <w:szCs w:val="19"/>
                <w:color w:val="auto"/>
              </w:rPr>
            </w:pPr>
          </w:p>
        </w:tc>
        <w:tc>
          <w:tcPr>
            <w:tcW w:w="840" w:type="dxa"/>
            <w:vAlign w:val="bottom"/>
            <w:tcBorders>
              <w:bottom w:val="single" w:sz="8" w:color="auto"/>
            </w:tcBorders>
            <w:shd w:val="clear" w:color="auto" w:fill="D4D4D4"/>
          </w:tcPr>
          <w:p>
            <w:pPr>
              <w:jc w:val="center"/>
              <w:ind w:left="233"/>
              <w:spacing w:after="0"/>
              <w:rPr>
                <w:sz w:val="20"/>
                <w:szCs w:val="20"/>
                <w:color w:val="auto"/>
              </w:rPr>
            </w:pPr>
            <w:r>
              <w:rPr>
                <w:rFonts w:ascii="Arial" w:cs="Arial" w:eastAsia="Arial" w:hAnsi="Arial"/>
                <w:sz w:val="18"/>
                <w:szCs w:val="18"/>
                <w:color w:val="auto"/>
              </w:rPr>
              <w:t>(71.0)</w:t>
            </w:r>
          </w:p>
        </w:tc>
        <w:tc>
          <w:tcPr>
            <w:tcW w:w="2020" w:type="dxa"/>
            <w:vAlign w:val="bottom"/>
            <w:gridSpan w:val="3"/>
            <w:shd w:val="clear" w:color="auto" w:fill="D4D4D4"/>
          </w:tcPr>
          <w:p>
            <w:pPr>
              <w:ind w:left="140"/>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D4D4D4"/>
          </w:tcPr>
          <w:p>
            <w:pPr>
              <w:spacing w:after="0"/>
              <w:rPr>
                <w:sz w:val="19"/>
                <w:szCs w:val="19"/>
                <w:color w:val="auto"/>
              </w:rPr>
            </w:pPr>
          </w:p>
        </w:tc>
        <w:tc>
          <w:tcPr>
            <w:tcW w:w="900" w:type="dxa"/>
            <w:vAlign w:val="bottom"/>
            <w:shd w:val="clear" w:color="auto" w:fill="D4D4D4"/>
          </w:tcPr>
          <w:p>
            <w:pPr>
              <w:spacing w:after="0"/>
              <w:rPr>
                <w:sz w:val="19"/>
                <w:szCs w:val="19"/>
                <w:color w:val="auto"/>
              </w:rPr>
            </w:pPr>
          </w:p>
        </w:tc>
        <w:tc>
          <w:tcPr>
            <w:tcW w:w="2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229.8</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344.0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267.3</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540" w:type="dxa"/>
            <w:vAlign w:val="bottom"/>
            <w:shd w:val="clear" w:color="auto" w:fill="D4D4D4"/>
          </w:tcPr>
          <w:p>
            <w:pPr>
              <w:spacing w:after="0"/>
              <w:rPr>
                <w:sz w:val="22"/>
                <w:szCs w:val="22"/>
                <w:color w:val="auto"/>
              </w:rPr>
            </w:pPr>
          </w:p>
        </w:tc>
        <w:tc>
          <w:tcPr>
            <w:tcW w:w="320" w:type="dxa"/>
            <w:vAlign w:val="bottom"/>
            <w:shd w:val="clear" w:color="auto" w:fill="D4D4D4"/>
          </w:tcPr>
          <w:p>
            <w:pPr>
              <w:spacing w:after="0"/>
              <w:rPr>
                <w:sz w:val="22"/>
                <w:szCs w:val="22"/>
                <w:color w:val="auto"/>
              </w:rPr>
            </w:pPr>
          </w:p>
        </w:tc>
        <w:tc>
          <w:tcPr>
            <w:tcW w:w="1060" w:type="dxa"/>
            <w:vAlign w:val="bottom"/>
            <w:shd w:val="clear" w:color="auto" w:fill="D4D4D4"/>
          </w:tcPr>
          <w:p>
            <w:pPr>
              <w:spacing w:after="0"/>
              <w:rPr>
                <w:sz w:val="22"/>
                <w:szCs w:val="22"/>
                <w:color w:val="auto"/>
              </w:rPr>
            </w:pPr>
          </w:p>
        </w:tc>
        <w:tc>
          <w:tcPr>
            <w:tcW w:w="360" w:type="dxa"/>
            <w:vAlign w:val="bottom"/>
            <w:shd w:val="clear" w:color="auto" w:fill="D4D4D4"/>
          </w:tcPr>
          <w:p>
            <w:pPr>
              <w:spacing w:after="0"/>
              <w:rPr>
                <w:sz w:val="22"/>
                <w:szCs w:val="22"/>
                <w:color w:val="auto"/>
              </w:rPr>
            </w:pPr>
          </w:p>
        </w:tc>
        <w:tc>
          <w:tcPr>
            <w:tcW w:w="1060" w:type="dxa"/>
            <w:vAlign w:val="bottom"/>
            <w:shd w:val="clear" w:color="auto" w:fill="D4D4D4"/>
          </w:tcPr>
          <w:p>
            <w:pPr>
              <w:spacing w:after="0"/>
              <w:rPr>
                <w:sz w:val="22"/>
                <w:szCs w:val="22"/>
                <w:color w:val="auto"/>
              </w:rPr>
            </w:pPr>
          </w:p>
        </w:tc>
        <w:tc>
          <w:tcPr>
            <w:tcW w:w="440" w:type="dxa"/>
            <w:vAlign w:val="bottom"/>
            <w:shd w:val="clear" w:color="auto" w:fill="D4D4D4"/>
          </w:tcPr>
          <w:p>
            <w:pPr>
              <w:spacing w:after="0"/>
              <w:rPr>
                <w:sz w:val="22"/>
                <w:szCs w:val="22"/>
                <w:color w:val="auto"/>
              </w:rPr>
            </w:pPr>
          </w:p>
        </w:tc>
        <w:tc>
          <w:tcPr>
            <w:tcW w:w="120" w:type="dxa"/>
            <w:vAlign w:val="bottom"/>
            <w:shd w:val="clear" w:color="auto" w:fill="D4D4D4"/>
          </w:tcPr>
          <w:p>
            <w:pPr>
              <w:spacing w:after="0"/>
              <w:rPr>
                <w:sz w:val="22"/>
                <w:szCs w:val="22"/>
                <w:color w:val="auto"/>
              </w:rPr>
            </w:pPr>
          </w:p>
        </w:tc>
        <w:tc>
          <w:tcPr>
            <w:tcW w:w="840" w:type="dxa"/>
            <w:vAlign w:val="bottom"/>
            <w:shd w:val="clear" w:color="auto" w:fill="D4D4D4"/>
          </w:tcPr>
          <w:p>
            <w:pPr>
              <w:spacing w:after="0"/>
              <w:rPr>
                <w:sz w:val="22"/>
                <w:szCs w:val="22"/>
                <w:color w:val="auto"/>
              </w:rPr>
            </w:pPr>
          </w:p>
        </w:tc>
        <w:tc>
          <w:tcPr>
            <w:tcW w:w="2580" w:type="dxa"/>
            <w:vAlign w:val="bottom"/>
            <w:gridSpan w:val="4"/>
            <w:shd w:val="clear" w:color="auto" w:fill="D4D4D4"/>
          </w:tcPr>
          <w:p>
            <w:pPr>
              <w:spacing w:after="0"/>
              <w:rPr>
                <w:sz w:val="22"/>
                <w:szCs w:val="22"/>
                <w:color w:val="auto"/>
              </w:rPr>
            </w:pPr>
          </w:p>
        </w:tc>
        <w:tc>
          <w:tcPr>
            <w:tcW w:w="900" w:type="dxa"/>
            <w:vAlign w:val="bottom"/>
            <w:shd w:val="clear" w:color="auto" w:fill="D4D4D4"/>
          </w:tcPr>
          <w:p>
            <w:pPr>
              <w:spacing w:after="0"/>
              <w:rPr>
                <w:sz w:val="22"/>
                <w:szCs w:val="22"/>
                <w:color w:val="auto"/>
              </w:rPr>
            </w:pPr>
          </w:p>
        </w:tc>
        <w:tc>
          <w:tcPr>
            <w:tcW w:w="20" w:type="dxa"/>
            <w:vAlign w:val="bottom"/>
            <w:shd w:val="clear" w:color="auto" w:fill="D4D4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Other,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21.0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580" w:type="dxa"/>
            <w:vAlign w:val="bottom"/>
            <w:tcBorders>
              <w:bottom w:val="single" w:sz="8" w:color="D4D4D4"/>
            </w:tcBorders>
            <w:gridSpan w:val="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tcBorders>
              <w:bottom w:val="single" w:sz="8" w:color="D4D4D4"/>
            </w:tcBorders>
          </w:tcPr>
          <w:p>
            <w:pPr>
              <w:spacing w:after="0"/>
              <w:rPr>
                <w:sz w:val="19"/>
                <w:szCs w:val="19"/>
                <w:color w:val="auto"/>
              </w:rPr>
            </w:pPr>
          </w:p>
        </w:tc>
        <w:tc>
          <w:tcPr>
            <w:tcW w:w="20" w:type="dxa"/>
            <w:vAlign w:val="bottom"/>
            <w:tcBorders>
              <w:bottom w:val="single" w:sz="8" w:color="D4D4D4"/>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D4D4D4"/>
          </w:tcPr>
          <w:p>
            <w:pPr>
              <w:ind w:left="140"/>
              <w:spacing w:after="0" w:line="156" w:lineRule="exact"/>
              <w:rPr>
                <w:sz w:val="20"/>
                <w:szCs w:val="20"/>
                <w:color w:val="auto"/>
              </w:rPr>
            </w:pPr>
            <w:r>
              <w:rPr>
                <w:rFonts w:ascii="Arial" w:cs="Arial" w:eastAsia="Arial" w:hAnsi="Arial"/>
                <w:sz w:val="18"/>
                <w:szCs w:val="18"/>
                <w:color w:val="auto"/>
                <w:w w:val="99"/>
              </w:rPr>
              <w:t>Total reclassifications for the period, net of</w:t>
            </w:r>
          </w:p>
        </w:tc>
        <w:tc>
          <w:tcPr>
            <w:tcW w:w="320" w:type="dxa"/>
            <w:vAlign w:val="bottom"/>
            <w:vMerge w:val="restart"/>
            <w:shd w:val="clear" w:color="auto" w:fill="D4D4D4"/>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D4D4D4"/>
          </w:tcPr>
          <w:p>
            <w:pPr>
              <w:jc w:val="right"/>
              <w:ind w:right="34"/>
              <w:spacing w:after="0"/>
              <w:rPr>
                <w:sz w:val="20"/>
                <w:szCs w:val="20"/>
                <w:color w:val="auto"/>
              </w:rPr>
            </w:pPr>
            <w:r>
              <w:rPr>
                <w:rFonts w:ascii="Arial" w:cs="Arial" w:eastAsia="Arial" w:hAnsi="Arial"/>
                <w:sz w:val="18"/>
                <w:szCs w:val="18"/>
                <w:b w:val="1"/>
                <w:bCs w:val="1"/>
                <w:color w:val="auto"/>
              </w:rPr>
              <w:t>250.8</w:t>
            </w:r>
          </w:p>
        </w:tc>
        <w:tc>
          <w:tcPr>
            <w:tcW w:w="360" w:type="dxa"/>
            <w:vAlign w:val="bottom"/>
            <w:vMerge w:val="restart"/>
            <w:shd w:val="clear" w:color="auto" w:fill="D4D4D4"/>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D4D4D4"/>
          </w:tcPr>
          <w:p>
            <w:pPr>
              <w:jc w:val="right"/>
              <w:ind w:right="32"/>
              <w:spacing w:after="0"/>
              <w:rPr>
                <w:sz w:val="20"/>
                <w:szCs w:val="20"/>
                <w:color w:val="auto"/>
              </w:rPr>
            </w:pPr>
            <w:r>
              <w:rPr>
                <w:rFonts w:ascii="Arial" w:cs="Arial" w:eastAsia="Arial" w:hAnsi="Arial"/>
                <w:sz w:val="18"/>
                <w:szCs w:val="18"/>
                <w:color w:val="auto"/>
              </w:rPr>
              <w:t>357.9</w:t>
            </w:r>
          </w:p>
        </w:tc>
        <w:tc>
          <w:tcPr>
            <w:tcW w:w="440" w:type="dxa"/>
            <w:vAlign w:val="bottom"/>
            <w:vMerge w:val="restart"/>
            <w:shd w:val="clear" w:color="auto" w:fill="D4D4D4"/>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D4D4D4"/>
          </w:tcPr>
          <w:p>
            <w:pPr>
              <w:spacing w:after="0"/>
              <w:rPr>
                <w:sz w:val="13"/>
                <w:szCs w:val="13"/>
                <w:color w:val="auto"/>
              </w:rPr>
            </w:pPr>
          </w:p>
        </w:tc>
        <w:tc>
          <w:tcPr>
            <w:tcW w:w="840" w:type="dxa"/>
            <w:vAlign w:val="bottom"/>
            <w:vMerge w:val="restart"/>
            <w:shd w:val="clear" w:color="auto" w:fill="D4D4D4"/>
          </w:tcPr>
          <w:p>
            <w:pPr>
              <w:jc w:val="right"/>
              <w:spacing w:after="0"/>
              <w:rPr>
                <w:sz w:val="20"/>
                <w:szCs w:val="20"/>
                <w:color w:val="auto"/>
              </w:rPr>
            </w:pPr>
            <w:r>
              <w:rPr>
                <w:rFonts w:ascii="Arial" w:cs="Arial" w:eastAsia="Arial" w:hAnsi="Arial"/>
                <w:sz w:val="18"/>
                <w:szCs w:val="18"/>
                <w:color w:val="auto"/>
              </w:rPr>
              <w:t>283.4</w:t>
            </w:r>
          </w:p>
        </w:tc>
        <w:tc>
          <w:tcPr>
            <w:tcW w:w="500" w:type="dxa"/>
            <w:vAlign w:val="bottom"/>
            <w:shd w:val="clear" w:color="auto" w:fill="D4D4D4"/>
          </w:tcPr>
          <w:p>
            <w:pPr>
              <w:spacing w:after="0"/>
              <w:rPr>
                <w:sz w:val="13"/>
                <w:szCs w:val="13"/>
                <w:color w:val="auto"/>
              </w:rPr>
            </w:pPr>
          </w:p>
        </w:tc>
        <w:tc>
          <w:tcPr>
            <w:tcW w:w="380" w:type="dxa"/>
            <w:vAlign w:val="bottom"/>
            <w:shd w:val="clear" w:color="auto" w:fill="D4D4D4"/>
          </w:tcPr>
          <w:p>
            <w:pPr>
              <w:spacing w:after="0"/>
              <w:rPr>
                <w:sz w:val="13"/>
                <w:szCs w:val="13"/>
                <w:color w:val="auto"/>
              </w:rPr>
            </w:pPr>
          </w:p>
        </w:tc>
        <w:tc>
          <w:tcPr>
            <w:tcW w:w="1140" w:type="dxa"/>
            <w:vAlign w:val="bottom"/>
            <w:shd w:val="clear" w:color="auto" w:fill="D4D4D4"/>
          </w:tcPr>
          <w:p>
            <w:pPr>
              <w:spacing w:after="0"/>
              <w:rPr>
                <w:sz w:val="13"/>
                <w:szCs w:val="13"/>
                <w:color w:val="auto"/>
              </w:rPr>
            </w:pPr>
          </w:p>
        </w:tc>
        <w:tc>
          <w:tcPr>
            <w:tcW w:w="560" w:type="dxa"/>
            <w:vAlign w:val="bottom"/>
            <w:shd w:val="clear" w:color="auto" w:fill="D4D4D4"/>
          </w:tcPr>
          <w:p>
            <w:pPr>
              <w:spacing w:after="0"/>
              <w:rPr>
                <w:sz w:val="13"/>
                <w:szCs w:val="13"/>
                <w:color w:val="auto"/>
              </w:rPr>
            </w:pPr>
          </w:p>
        </w:tc>
        <w:tc>
          <w:tcPr>
            <w:tcW w:w="900" w:type="dxa"/>
            <w:vAlign w:val="bottom"/>
            <w:shd w:val="clear" w:color="auto" w:fill="D4D4D4"/>
          </w:tcPr>
          <w:p>
            <w:pPr>
              <w:spacing w:after="0"/>
              <w:rPr>
                <w:sz w:val="13"/>
                <w:szCs w:val="13"/>
                <w:color w:val="auto"/>
              </w:rPr>
            </w:pPr>
          </w:p>
        </w:tc>
        <w:tc>
          <w:tcPr>
            <w:tcW w:w="20" w:type="dxa"/>
            <w:vAlign w:val="bottom"/>
            <w:shd w:val="clear" w:color="auto" w:fill="D4D4D4"/>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auto"/>
            </w:tcBorders>
            <w:vMerge w:val="continue"/>
            <w:shd w:val="clear" w:color="auto" w:fill="D4D4D4"/>
          </w:tcPr>
          <w:p>
            <w:pPr>
              <w:spacing w:after="0"/>
              <w:rPr>
                <w:sz w:val="21"/>
                <w:szCs w:val="21"/>
                <w:color w:val="auto"/>
              </w:rPr>
            </w:pPr>
          </w:p>
        </w:tc>
        <w:tc>
          <w:tcPr>
            <w:tcW w:w="1060" w:type="dxa"/>
            <w:vAlign w:val="bottom"/>
            <w:tcBorders>
              <w:bottom w:val="single" w:sz="8" w:color="auto"/>
            </w:tcBorders>
            <w:vMerge w:val="continue"/>
            <w:shd w:val="clear" w:color="auto" w:fill="D4D4D4"/>
          </w:tcPr>
          <w:p>
            <w:pPr>
              <w:spacing w:after="0"/>
              <w:rPr>
                <w:sz w:val="21"/>
                <w:szCs w:val="21"/>
                <w:color w:val="auto"/>
              </w:rPr>
            </w:pPr>
          </w:p>
        </w:tc>
        <w:tc>
          <w:tcPr>
            <w:tcW w:w="360" w:type="dxa"/>
            <w:vAlign w:val="bottom"/>
            <w:tcBorders>
              <w:bottom w:val="single" w:sz="8" w:color="auto"/>
            </w:tcBorders>
            <w:vMerge w:val="continue"/>
            <w:shd w:val="clear" w:color="auto" w:fill="D4D4D4"/>
          </w:tcPr>
          <w:p>
            <w:pPr>
              <w:spacing w:after="0"/>
              <w:rPr>
                <w:sz w:val="21"/>
                <w:szCs w:val="21"/>
                <w:color w:val="auto"/>
              </w:rPr>
            </w:pPr>
          </w:p>
        </w:tc>
        <w:tc>
          <w:tcPr>
            <w:tcW w:w="1060" w:type="dxa"/>
            <w:vAlign w:val="bottom"/>
            <w:tcBorders>
              <w:bottom w:val="single" w:sz="8" w:color="auto"/>
            </w:tcBorders>
            <w:vMerge w:val="continue"/>
            <w:shd w:val="clear" w:color="auto" w:fill="D4D4D4"/>
          </w:tcPr>
          <w:p>
            <w:pPr>
              <w:spacing w:after="0"/>
              <w:rPr>
                <w:sz w:val="21"/>
                <w:szCs w:val="21"/>
                <w:color w:val="auto"/>
              </w:rPr>
            </w:pPr>
          </w:p>
        </w:tc>
        <w:tc>
          <w:tcPr>
            <w:tcW w:w="440" w:type="dxa"/>
            <w:vAlign w:val="bottom"/>
            <w:tcBorders>
              <w:bottom w:val="single" w:sz="8" w:color="auto"/>
            </w:tcBorders>
            <w:vMerge w:val="continue"/>
            <w:shd w:val="clear" w:color="auto" w:fill="D4D4D4"/>
          </w:tcPr>
          <w:p>
            <w:pPr>
              <w:spacing w:after="0"/>
              <w:rPr>
                <w:sz w:val="21"/>
                <w:szCs w:val="21"/>
                <w:color w:val="auto"/>
              </w:rPr>
            </w:pPr>
          </w:p>
        </w:tc>
        <w:tc>
          <w:tcPr>
            <w:tcW w:w="120" w:type="dxa"/>
            <w:vAlign w:val="bottom"/>
            <w:tcBorders>
              <w:bottom w:val="single" w:sz="8" w:color="auto"/>
            </w:tcBorders>
            <w:shd w:val="clear" w:color="auto" w:fill="D4D4D4"/>
          </w:tcPr>
          <w:p>
            <w:pPr>
              <w:spacing w:after="0"/>
              <w:rPr>
                <w:sz w:val="21"/>
                <w:szCs w:val="21"/>
                <w:color w:val="auto"/>
              </w:rPr>
            </w:pPr>
          </w:p>
        </w:tc>
        <w:tc>
          <w:tcPr>
            <w:tcW w:w="840" w:type="dxa"/>
            <w:vAlign w:val="bottom"/>
            <w:tcBorders>
              <w:bottom w:val="single" w:sz="8" w:color="auto"/>
            </w:tcBorders>
            <w:vMerge w:val="continue"/>
            <w:shd w:val="clear" w:color="auto" w:fill="D4D4D4"/>
          </w:tcPr>
          <w:p>
            <w:pPr>
              <w:spacing w:after="0"/>
              <w:rPr>
                <w:sz w:val="21"/>
                <w:szCs w:val="21"/>
                <w:color w:val="auto"/>
              </w:rPr>
            </w:pPr>
          </w:p>
        </w:tc>
        <w:tc>
          <w:tcPr>
            <w:tcW w:w="500" w:type="dxa"/>
            <w:vAlign w:val="bottom"/>
            <w:tcBorders>
              <w:bottom w:val="single" w:sz="8" w:color="D4D4D4"/>
            </w:tcBorders>
            <w:shd w:val="clear" w:color="auto" w:fill="D4D4D4"/>
          </w:tcPr>
          <w:p>
            <w:pPr>
              <w:spacing w:after="0"/>
              <w:rPr>
                <w:sz w:val="21"/>
                <w:szCs w:val="21"/>
                <w:color w:val="auto"/>
              </w:rPr>
            </w:pPr>
          </w:p>
        </w:tc>
        <w:tc>
          <w:tcPr>
            <w:tcW w:w="380" w:type="dxa"/>
            <w:vAlign w:val="bottom"/>
            <w:tcBorders>
              <w:bottom w:val="single" w:sz="8" w:color="D4D4D4"/>
            </w:tcBorders>
            <w:shd w:val="clear" w:color="auto" w:fill="D4D4D4"/>
          </w:tcPr>
          <w:p>
            <w:pPr>
              <w:spacing w:after="0"/>
              <w:rPr>
                <w:sz w:val="21"/>
                <w:szCs w:val="21"/>
                <w:color w:val="auto"/>
              </w:rPr>
            </w:pPr>
          </w:p>
        </w:tc>
        <w:tc>
          <w:tcPr>
            <w:tcW w:w="1140" w:type="dxa"/>
            <w:vAlign w:val="bottom"/>
            <w:tcBorders>
              <w:bottom w:val="single" w:sz="8" w:color="D4D4D4"/>
            </w:tcBorders>
            <w:shd w:val="clear" w:color="auto" w:fill="D4D4D4"/>
          </w:tcPr>
          <w:p>
            <w:pPr>
              <w:spacing w:after="0"/>
              <w:rPr>
                <w:sz w:val="21"/>
                <w:szCs w:val="21"/>
                <w:color w:val="auto"/>
              </w:rPr>
            </w:pPr>
          </w:p>
        </w:tc>
        <w:tc>
          <w:tcPr>
            <w:tcW w:w="560" w:type="dxa"/>
            <w:vAlign w:val="bottom"/>
            <w:tcBorders>
              <w:bottom w:val="single" w:sz="8" w:color="D4D4D4"/>
            </w:tcBorders>
            <w:shd w:val="clear" w:color="auto" w:fill="D4D4D4"/>
          </w:tcPr>
          <w:p>
            <w:pPr>
              <w:spacing w:after="0"/>
              <w:rPr>
                <w:sz w:val="21"/>
                <w:szCs w:val="21"/>
                <w:color w:val="auto"/>
              </w:rPr>
            </w:pPr>
          </w:p>
        </w:tc>
        <w:tc>
          <w:tcPr>
            <w:tcW w:w="900" w:type="dxa"/>
            <w:vAlign w:val="bottom"/>
            <w:tcBorders>
              <w:bottom w:val="single" w:sz="8" w:color="D4D4D4"/>
            </w:tcBorders>
            <w:shd w:val="clear" w:color="auto" w:fill="D4D4D4"/>
          </w:tcPr>
          <w:p>
            <w:pPr>
              <w:spacing w:after="0"/>
              <w:rPr>
                <w:sz w:val="21"/>
                <w:szCs w:val="21"/>
                <w:color w:val="auto"/>
              </w:rPr>
            </w:pPr>
          </w:p>
        </w:tc>
        <w:tc>
          <w:tcPr>
            <w:tcW w:w="20" w:type="dxa"/>
            <w:vAlign w:val="bottom"/>
            <w:tcBorders>
              <w:bottom w:val="single" w:sz="8" w:color="D4D4D4"/>
            </w:tcBorders>
            <w:shd w:val="clear" w:color="auto" w:fill="D4D4D4"/>
          </w:tcPr>
          <w:p>
            <w:pPr>
              <w:spacing w:after="0"/>
              <w:rPr>
                <w:sz w:val="21"/>
                <w:szCs w:val="21"/>
                <w:color w:val="auto"/>
              </w:rPr>
            </w:pPr>
          </w:p>
        </w:tc>
        <w:tc>
          <w:tcPr>
            <w:tcW w:w="0" w:type="dxa"/>
            <w:vAlign w:val="bottom"/>
          </w:tcPr>
          <w:p>
            <w:pPr>
              <w:spacing w:after="0"/>
              <w:rPr>
                <w:sz w:val="1"/>
                <w:szCs w:val="1"/>
                <w:color w:val="auto"/>
              </w:rPr>
            </w:pPr>
          </w:p>
        </w:tc>
      </w:tr>
      <w:tr>
        <w:trPr>
          <w:trHeight w:val="768"/>
        </w:trPr>
        <w:tc>
          <w:tcPr>
            <w:tcW w:w="3540" w:type="dxa"/>
            <w:vAlign w:val="bottom"/>
          </w:tcPr>
          <w:p>
            <w:pPr>
              <w:spacing w:after="0"/>
              <w:rPr>
                <w:sz w:val="20"/>
                <w:szCs w:val="20"/>
                <w:color w:val="auto"/>
              </w:rPr>
            </w:pPr>
            <w:r>
              <w:rPr>
                <w:rFonts w:ascii="Arial" w:cs="Arial" w:eastAsia="Arial" w:hAnsi="Arial"/>
                <w:sz w:val="18"/>
                <w:szCs w:val="18"/>
                <w:b w:val="1"/>
                <w:bCs w:val="1"/>
                <w:color w:val="auto"/>
              </w:rPr>
              <w:t>Note 18: Other–Net, (Income) Expense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Other–net, (income) expense consisted of the following:</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40" w:type="dxa"/>
            <w:vAlign w:val="bottom"/>
            <w:shd w:val="clear" w:color="auto" w:fill="D8D8D8"/>
          </w:tcPr>
          <w:p>
            <w:pPr>
              <w:spacing w:after="0"/>
              <w:rPr>
                <w:sz w:val="19"/>
                <w:szCs w:val="19"/>
                <w:color w:val="auto"/>
              </w:rPr>
            </w:pPr>
          </w:p>
        </w:tc>
        <w:tc>
          <w:tcPr>
            <w:tcW w:w="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331.6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339.8</w:t>
            </w:r>
          </w:p>
        </w:tc>
        <w:tc>
          <w:tcPr>
            <w:tcW w:w="560" w:type="dxa"/>
            <w:vAlign w:val="bottom"/>
            <w:shd w:val="clear" w:color="auto" w:fill="D8D8D8"/>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(62.8)</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3"/>
            <w:shd w:val="clear" w:color="auto" w:fill="D8D8D8"/>
          </w:tcPr>
          <w:p>
            <w:pPr>
              <w:ind w:left="20"/>
              <w:spacing w:after="0"/>
              <w:rPr>
                <w:sz w:val="20"/>
                <w:szCs w:val="20"/>
                <w:color w:val="auto"/>
              </w:rPr>
            </w:pPr>
            <w:r>
              <w:rPr>
                <w:rFonts w:ascii="Arial" w:cs="Arial" w:eastAsia="Arial" w:hAnsi="Arial"/>
                <w:sz w:val="18"/>
                <w:szCs w:val="18"/>
                <w:color w:val="auto"/>
              </w:rPr>
              <w:t>Net investment (gains) losses on equity securities (Note 7)</w:t>
            </w:r>
          </w:p>
        </w:tc>
        <w:tc>
          <w:tcPr>
            <w:tcW w:w="36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4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40" w:type="dxa"/>
            <w:vAlign w:val="bottom"/>
            <w:gridSpan w:val="2"/>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410.7</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(176.9)</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Debt extinguishment loss (Note 11)</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405.2</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Retirement benefit plans</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(372.9)</w:t>
            </w: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(289.7)</w:t>
            </w:r>
          </w:p>
        </w:tc>
        <w:tc>
          <w:tcPr>
            <w:tcW w:w="5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DBDBDB"/>
            </w:tcBorders>
          </w:tcPr>
          <w:p>
            <w:pPr>
              <w:spacing w:after="0"/>
              <w:rPr>
                <w:sz w:val="19"/>
                <w:szCs w:val="19"/>
                <w:color w:val="auto"/>
              </w:rPr>
            </w:pPr>
          </w:p>
        </w:tc>
        <w:tc>
          <w:tcPr>
            <w:tcW w:w="106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1060" w:type="dxa"/>
            <w:vAlign w:val="bottom"/>
            <w:tcBorders>
              <w:bottom w:val="single" w:sz="8" w:color="DBDBDB"/>
            </w:tcBorders>
          </w:tcPr>
          <w:p>
            <w:pPr>
              <w:spacing w:after="0"/>
              <w:rPr>
                <w:sz w:val="19"/>
                <w:szCs w:val="19"/>
                <w:color w:val="auto"/>
              </w:rPr>
            </w:pPr>
          </w:p>
        </w:tc>
        <w:tc>
          <w:tcPr>
            <w:tcW w:w="44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Other–net, (income) expense</w:t>
            </w:r>
          </w:p>
        </w:tc>
        <w:tc>
          <w:tcPr>
            <w:tcW w:w="32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gridSpan w:val="2"/>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320.9</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8"/>
                <w:szCs w:val="18"/>
                <w:color w:val="auto"/>
              </w:rPr>
              <w:t>201.6</w:t>
            </w:r>
          </w:p>
        </w:tc>
        <w:tc>
          <w:tcPr>
            <w:tcW w:w="56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2"/>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spacing w:after="0"/>
        <w:rPr>
          <w:sz w:val="20"/>
          <w:szCs w:val="20"/>
          <w:color w:val="auto"/>
        </w:rPr>
      </w:pPr>
      <w:r>
        <w:rPr>
          <w:rFonts w:ascii="Arial" w:cs="Arial" w:eastAsia="Arial" w:hAnsi="Arial"/>
          <w:sz w:val="32"/>
          <w:szCs w:val="32"/>
          <w:i w:val="1"/>
          <w:iCs w:val="1"/>
          <w:color w:val="auto"/>
        </w:rPr>
        <w:t>Management's Reports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for Financial Statements—Eli Lilly and Company and Subsidiaries</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available on our lilly.com website and on the internal LillyNow website to enable reporting of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Red Book</w:t>
      </w:r>
      <w:r>
        <w:rPr>
          <w:rFonts w:ascii="Arial" w:cs="Arial" w:eastAsia="Arial" w:hAnsi="Arial"/>
          <w:sz w:val="18"/>
          <w:szCs w:val="18"/>
          <w:color w:val="auto"/>
        </w:rPr>
        <w:t>, the chief executive officer and all financial management must sign a financial code of ethics, which further reinforces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fiduciary responsibilities.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(PCAOB ID: 42).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audit committee includes five nonemployee members of the board of directors, all of whom are independent from our company. The committee charter, which is available on our website, outlines the members' roles and responsibilities. It is the audit committee's responsibility to appoint an independent registered public accounting firm subject to shareholder ratification, pre-approve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operate under a code of conduct and are subject to the highest level of ethical standards.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Reporting—Eli Lilly and Company and Subsidiaries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conducted an evaluation of the effectiveness of our internal control over financial reporting based on the framework in "Internal Control— Integrated Framework" (2013) issued by the Committee of Sponsoring Organizations of the Treadway Commission.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106" w:name="page107"/>
    <w:bookmarkEnd w:id="106"/>
    <w:p>
      <w:pPr>
        <w:ind w:right="720"/>
        <w:spacing w:after="0" w:line="262"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2022.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effectiveness of internal control over financial reporting as of December 31, 2022 has been audited by Ernst &amp; Young LLP, an independent registered public accounting firm, as stated in their attestation report, which appears herein. Their responsibility is to evaluate whether internal control over financial reporting was designed and operating effectively.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ind w:left="20"/>
              <w:spacing w:after="0"/>
              <w:rPr>
                <w:sz w:val="20"/>
                <w:szCs w:val="20"/>
                <w:color w:val="auto"/>
              </w:rPr>
            </w:pPr>
            <w:r>
              <w:rPr>
                <w:rFonts w:ascii="Arial" w:cs="Arial" w:eastAsia="Arial" w:hAnsi="Arial"/>
                <w:sz w:val="18"/>
                <w:szCs w:val="18"/>
                <w:color w:val="auto"/>
              </w:rPr>
              <w:t>David Ricks</w:t>
            </w:r>
          </w:p>
        </w:tc>
        <w:tc>
          <w:tcPr>
            <w:tcW w:w="6700" w:type="dxa"/>
            <w:vAlign w:val="bottom"/>
          </w:tcPr>
          <w:p>
            <w:pPr>
              <w:ind w:left="1100"/>
              <w:spacing w:after="0"/>
              <w:rPr>
                <w:sz w:val="20"/>
                <w:szCs w:val="20"/>
                <w:color w:val="auto"/>
              </w:rPr>
            </w:pPr>
            <w:r>
              <w:rPr>
                <w:rFonts w:ascii="Arial" w:cs="Arial" w:eastAsia="Arial" w:hAnsi="Arial"/>
                <w:sz w:val="18"/>
                <w:szCs w:val="18"/>
                <w:color w:val="auto"/>
              </w:rPr>
              <w:t>Anat Ashkenazi</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Chair, President, and Chief Executive Officer</w:t>
            </w:r>
          </w:p>
        </w:tc>
        <w:tc>
          <w:tcPr>
            <w:tcW w:w="6700" w:type="dxa"/>
            <w:vAlign w:val="bottom"/>
          </w:tcPr>
          <w:p>
            <w:pPr>
              <w:ind w:left="11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February 22, 2023</w:t>
            </w:r>
          </w:p>
        </w:tc>
        <w:tc>
          <w:tcPr>
            <w:tcW w:w="6700" w:type="dxa"/>
            <w:vAlign w:val="bottom"/>
          </w:tcPr>
          <w:p>
            <w:pPr>
              <w:spacing w:after="0"/>
              <w:rPr>
                <w:sz w:val="24"/>
                <w:szCs w:val="24"/>
                <w:color w:val="auto"/>
              </w:rPr>
            </w:pPr>
          </w:p>
        </w:tc>
      </w:tr>
      <w:tr>
        <w:trPr>
          <w:trHeight w:val="810"/>
        </w:trPr>
        <w:tc>
          <w:tcPr>
            <w:tcW w:w="4540" w:type="dxa"/>
            <w:vAlign w:val="bottom"/>
          </w:tcPr>
          <w:p>
            <w:pPr>
              <w:spacing w:after="0"/>
              <w:rPr>
                <w:sz w:val="24"/>
                <w:szCs w:val="24"/>
                <w:color w:val="auto"/>
              </w:rPr>
            </w:pPr>
          </w:p>
        </w:tc>
        <w:tc>
          <w:tcPr>
            <w:tcW w:w="6700" w:type="dxa"/>
            <w:vAlign w:val="bottom"/>
          </w:tcPr>
          <w:p>
            <w:pPr>
              <w:jc w:val="right"/>
              <w:ind w:right="5370"/>
              <w:spacing w:after="0"/>
              <w:rPr>
                <w:sz w:val="20"/>
                <w:szCs w:val="20"/>
                <w:color w:val="auto"/>
              </w:rPr>
            </w:pPr>
            <w:r>
              <w:rPr>
                <w:rFonts w:ascii="Arial" w:cs="Arial" w:eastAsia="Arial" w:hAnsi="Arial"/>
                <w:sz w:val="18"/>
                <w:szCs w:val="18"/>
                <w:color w:val="auto"/>
              </w:rPr>
              <w:t>107</w:t>
            </w:r>
          </w:p>
        </w:tc>
      </w:tr>
      <w:tr>
        <w:trPr>
          <w:trHeight w:val="111"/>
        </w:trPr>
        <w:tc>
          <w:tcPr>
            <w:tcW w:w="4540" w:type="dxa"/>
            <w:vAlign w:val="bottom"/>
            <w:tcBorders>
              <w:bottom w:val="single" w:sz="8" w:color="9A9A9A"/>
            </w:tcBorders>
          </w:tcPr>
          <w:p>
            <w:pPr>
              <w:spacing w:after="0"/>
              <w:rPr>
                <w:sz w:val="9"/>
                <w:szCs w:val="9"/>
                <w:color w:val="auto"/>
              </w:rPr>
            </w:pPr>
          </w:p>
        </w:tc>
        <w:tc>
          <w:tcPr>
            <w:tcW w:w="6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p>
      <w:pPr>
        <w:spacing w:after="0"/>
        <w:rPr>
          <w:sz w:val="20"/>
          <w:szCs w:val="20"/>
          <w:color w:val="auto"/>
        </w:rPr>
      </w:pPr>
      <w:r>
        <w:rPr>
          <w:rFonts w:ascii="Arial" w:cs="Arial" w:eastAsia="Arial" w:hAnsi="Arial"/>
          <w:sz w:val="32"/>
          <w:szCs w:val="32"/>
          <w:i w:val="1"/>
          <w:i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2022 and 2021, the related consolidated statements of operations, comprehensive income (loss),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issued by the Committee of Sponsoring Organizations of the Treadway Commission (2013 framework), and our report dated February 22, 2023 expressed an unqualified opinion thereon.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108" w:name="page109"/>
    <w:bookmarkEnd w:id="108"/>
    <w:p>
      <w:pPr>
        <w:spacing w:after="0" w:line="230"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Medicaid, Managed Care, and Medicare sales rebate accruals</w:t>
      </w:r>
    </w:p>
    <w:p>
      <w:pPr>
        <w:spacing w:after="0" w:line="3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As described in Note 2 to the consolidated financial statements under the caption "Net Product Revenue," the Company establishes provisions for sales rebate and discounts in the same period as the related sales occur. At December 31, 2022 the Company had $8,784.1 million in sales rebate and discount accruals. A large portion of these accruals are rebates associated with sales in the United States for which payment for purchase of the product is covered by Medicaid, Managed Care, and Medicare.</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Auditing the Medicaid, Managed Care, and Medicare sales rebate and discount liabilities is challenging because of the subjectivity of certain assumptions required to estimate the rebate liabilities. In calculating the appropriate accrual amount, the Company considers historical Medicaid, Managed Care, and Medicare rebate payments by product as a percentage of their historical sales as well as any significant changes in sales trends, the lag in payment timing, an evaluation of the current Medicaid and Medicare laws and interpretations, the percentage of products that are sold via Medicaid, Managed Care, and Medicare, and product pricing. For Medicaid, there is significant complexity associated with calculating the legislated Medicaid rebates. Management utilizes employees with legislative experience and knowledge in developing assumptions used to calculate Medicaid rebates. Similarly, for Managed Care and Medicare, given variability in prescription drug costs, continued historical year over year increases in enrollees and variability in prescription data, historical rebate information may not be predictive for management to estimate the rebate accrual and thus, management supplements its historical data analysis with qualitative adjustments based upon current utilization.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 tested the Company's controls addressing the identified risks of material misstatement related to the valuation</w:t>
      </w:r>
    </w:p>
    <w:p>
      <w:pPr>
        <w:spacing w:after="0" w:line="50"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of the sales rebate and discount liabilities. This included testing controls over management's review of the significant assumptions used to calculate the Medicaid, Managed Care, and Medicare rebate liabilities, including</w:t>
      </w:r>
    </w:p>
    <w:p>
      <w:pPr>
        <w:ind w:right="120"/>
        <w:spacing w:after="0" w:line="268" w:lineRule="auto"/>
        <w:rPr>
          <w:sz w:val="20"/>
          <w:szCs w:val="20"/>
          <w:color w:val="auto"/>
        </w:rPr>
      </w:pPr>
      <w:r>
        <w:rPr>
          <w:rFonts w:ascii="Arial" w:cs="Arial" w:eastAsia="Arial" w:hAnsi="Arial"/>
          <w:sz w:val="18"/>
          <w:szCs w:val="18"/>
          <w:color w:val="auto"/>
        </w:rPr>
        <w:t>the significant assumptions discussed above. This testing also included management's control to compare actual activity to forecasted activity and controls to ensure the data used to evaluate the significant assumptions was complete and accurate.</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audit procedures included, among others, evaluating for reasonableness the significant assumptions in light of economic trends, product profiles, and other regulatory factors. Our testing involved assessing the historical accuracy of management's estimates by comparing actual activity to previous estimates and performing analytical procedures, based on internal and external data sources, to evaluate the completeness of the reserves. Additionally, our procedures included reviewing a sample of contracts, testing a sample of rebate payments and testing the underlying data used in management's evaluation. For Medicaid, we involved our professionals with an understanding of the statutory reimbursement requirements to assess the consistency of the Company's</w:t>
      </w:r>
    </w:p>
    <w:p>
      <w:pPr>
        <w:spacing w:after="0" w:line="7"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color w:val="auto"/>
        </w:rPr>
        <w:t>calculation methodologies with the applicable government regulations and policy. For Medicare we evaluated the reasonableness of assumptions made by management in estimating the Medicare coverage gap liability.</w:t>
      </w:r>
    </w:p>
    <w:p>
      <w:pPr>
        <w:spacing w:after="0" w:line="200" w:lineRule="exact"/>
        <w:rPr>
          <w:sz w:val="20"/>
          <w:szCs w:val="20"/>
          <w:color w:val="auto"/>
        </w:rPr>
      </w:pPr>
    </w:p>
    <w:p>
      <w:pPr>
        <w:sectPr>
          <w:pgSz w:w="11900" w:h="16838" w:orient="portrait"/>
          <w:cols w:equalWidth="0" w:num="2">
            <w:col w:w="1820" w:space="220"/>
            <w:col w:w="9080"/>
          </w:cols>
          <w:pgMar w:left="380" w:top="1135" w:right="39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35" w:right="399" w:bottom="1440" w:gutter="0" w:footer="0" w:header="0"/>
          <w:type w:val="continuous"/>
        </w:sectPr>
      </w:pPr>
    </w:p>
    <w:bookmarkStart w:id="109" w:name="page110"/>
    <w:bookmarkEnd w:id="109"/>
    <w:p>
      <w:pPr>
        <w:spacing w:after="0" w:line="229" w:lineRule="exact"/>
        <w:rPr>
          <w:sz w:val="20"/>
          <w:szCs w:val="20"/>
          <w:color w:val="auto"/>
        </w:rPr>
      </w:pPr>
    </w:p>
    <w:p>
      <w:pPr>
        <w:ind w:left="60" w:right="420"/>
        <w:spacing w:after="0" w:line="239"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line="23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Retirement Benefits - Valuation of Alternative Investments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described in Note 15 to the consolidated financial statements under the caption "Benefit Plan Investments," the Company's benefit plan investment policies are set with specific consideration of return and risk requirements in relationship to the respective liabilities. At December 31, 2022 the Company had $15,688.3 million in plan assets related to the defined benefit pension plans and retiree health benefit plans. Approximately 50 percent of the total pension and retiree health assets are in hedge funds and private equity-like investment funds ("alternative investments"). These alternative investments are valued using significant unobservable inputs or are valued at net asset value (NAV) reported by the counterparty, adjusted as necessary.</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Auditing the fair value of these alternative investments is challenging because of the higher estimation uncertainty of the inputs to the fair value calculations, including the underlying net asset values ("NAVs"), discounted cash flow valuations, comparable market valuations, and adjustments for currency, credit, liquidity and other risks. Additionally, certain information regarding the fair value of these alternative investments is based on unaudited information available to management at the time of valuation.</w:t>
      </w:r>
    </w:p>
    <w:p>
      <w:pPr>
        <w:spacing w:after="0" w:line="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tested the Company's controls addressing the risks of material misstatement relating to valuation of alternative investments. This included testing management's review controls over alternative investment valuation, which included a comparison of returns to benchmarks and monitoring of investment firms' valuation policies and procedures, as well as portfolio performance.</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audit procedures included, among others, comparing fund returns to selected relevant benchmarks and understanding variations, obtaining the latest audited financial statements and comparing to the Company's estimated fair values. We also inquired of management about changes to the investment portfolio and/or related investment strategies and considerations. We assessed the historical accuracy of management's estimates by comparing actual activity to previous estimates. We evaluated for contrary evidence by confirming the fair value of the investments and ownership interest directly with the trustees and a sample of managers at year end.</w:t>
      </w:r>
    </w:p>
    <w:p>
      <w:pPr>
        <w:spacing w:after="0" w:line="200" w:lineRule="exact"/>
        <w:rPr>
          <w:sz w:val="20"/>
          <w:szCs w:val="20"/>
          <w:color w:val="auto"/>
        </w:rPr>
      </w:pPr>
    </w:p>
    <w:p>
      <w:pPr>
        <w:sectPr>
          <w:pgSz w:w="11900" w:h="16838" w:orient="portrait"/>
          <w:cols w:equalWidth="0" w:num="2">
            <w:col w:w="1880" w:space="220"/>
            <w:col w:w="9080"/>
          </w:cols>
          <w:pgMar w:left="320" w:top="1135" w:right="399" w:bottom="1440" w:gutter="0" w:footer="0" w:header="0"/>
        </w:sectPr>
      </w:pP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Ernst &amp; Young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5" w:right="39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32"/>
          <w:szCs w:val="32"/>
          <w:i w:val="1"/>
          <w:i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2022, based on criteria established in Internal Control — 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2022, based on the COSO criteria.</w:t>
      </w:r>
    </w:p>
    <w:p>
      <w:pPr>
        <w:spacing w:after="0" w:line="1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shareholders' equity and cash flows for each of the three years in the period ended December 31, 2022, and the related notes and our report dated February 22, 2023 expressed an unqualified opinion thereon.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3" w:right="379" w:bottom="1440" w:gutter="0" w:footer="0" w:header="0"/>
        </w:sectPr>
      </w:pPr>
    </w:p>
    <w:bookmarkStart w:id="111" w:name="page112"/>
    <w:bookmarkEnd w:id="111"/>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/s/</w:t>
        <w:tab/>
        <w:t>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112" w:name="page113"/>
    <w:bookmarkEnd w:id="112"/>
    <w:p>
      <w:pPr>
        <w:ind w:left="1300" w:right="1840" w:hanging="1295"/>
        <w:spacing w:after="0" w:line="292" w:lineRule="auto"/>
        <w:rPr>
          <w:sz w:val="20"/>
          <w:szCs w:val="20"/>
          <w:color w:val="auto"/>
        </w:rPr>
      </w:pPr>
      <w:r>
        <w:rPr>
          <w:rFonts w:ascii="Arial" w:cs="Arial" w:eastAsia="Arial" w:hAnsi="Arial"/>
          <w:sz w:val="32"/>
          <w:szCs w:val="32"/>
          <w:b w:val="1"/>
          <w:bCs w:val="1"/>
          <w:i w:val="1"/>
          <w:iCs w:val="1"/>
          <w:color w:val="auto"/>
        </w:rPr>
        <w:t>Item 9. Changes in and Disagreements with Accountants on Accounting and Financial Disclosure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9A.Controls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management, with the participation of David Ricks, president and chief executive officer, and Anat Ashkenazi, executive vice president and chief financial officer, evaluated our disclosure controls and procedures (as such term is defined in Rules 13a-15(e) and 15d-15(e) under the Securities Exchange Act of 1934) as of December 31, 2022, and concluded that they were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Ricks and Ms. Ashkenazi provided a report on behalf of management on our internal control over financial reporting, in which management concluded that the company's internal control over financial reporting is effective at December 31, 2022 based on the framework in "Internal Control—Integrated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Due to the inherent limitations, no evaluation over internal control can provide absolute assurance that no material misstatements or fraud exist.</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addition, Ernst &amp; Young LLP, the company's independent registered public accounting firm, issued an attestation report on the company's internal control over financial reporting as of December 31,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You can find the full text of management's report and Ernst &amp; Young's attestation report in Item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During the fourth quarter of 2022, there were no changes in our internal control over financial reporting that materially affected, or are reasonably likely to materially affect, our internal control over financial reporting.</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9B.Other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ind w:right="1180"/>
        <w:spacing w:after="0" w:line="292" w:lineRule="auto"/>
        <w:rPr>
          <w:sz w:val="20"/>
          <w:szCs w:val="20"/>
          <w:color w:val="auto"/>
        </w:rPr>
      </w:pPr>
      <w:r>
        <w:rPr>
          <w:rFonts w:ascii="Arial" w:cs="Arial" w:eastAsia="Arial" w:hAnsi="Arial"/>
          <w:sz w:val="32"/>
          <w:szCs w:val="32"/>
          <w:b w:val="1"/>
          <w:bCs w:val="1"/>
          <w:i w:val="1"/>
          <w:iCs w:val="1"/>
          <w:color w:val="auto"/>
        </w:rPr>
        <w:t>Item 9C. Disclosure Regarding Foreign Jurisdictions that Prevent Inspections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13" w:name="page114"/>
    <w:bookmarkEnd w:id="113"/>
    <w:p>
      <w:pPr>
        <w:spacing w:after="0"/>
        <w:rPr>
          <w:sz w:val="20"/>
          <w:szCs w:val="20"/>
          <w:color w:val="auto"/>
        </w:rPr>
      </w:pPr>
      <w:r>
        <w:rPr>
          <w:rFonts w:ascii="Arial" w:cs="Arial" w:eastAsia="Arial" w:hAnsi="Arial"/>
          <w:sz w:val="32"/>
          <w:szCs w:val="32"/>
          <w:b w:val="1"/>
          <w:bCs w:val="1"/>
          <w:color w:val="auto"/>
        </w:rPr>
        <w:t>Part III</w:t>
      </w: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10. Directors, Executive Officers, and Corporate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17"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Information relating to our board of directors is found in our Definitive Proxy Statement, to be dated on or about March 17, 2023 (Proxy Statement), under "Governance - How We Build an Effective Board" and is incorporated in this Annual Report on Form 10-K by reference.</w:t>
      </w:r>
    </w:p>
    <w:p>
      <w:pPr>
        <w:spacing w:after="0" w:line="2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Information relating to our executive officers is found at Item 1, "Business - Executive Officers of the Company" and is incorporated by reference herein.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Information relating to our code of ethics is found in our Proxy Statement under "Governance - How We Operate an Effective Board - Governance Practices - Board Oversight - Key Areas of Oversight by the Board and Its Committees - Governance - Code of Ethics" and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"Governance - How We Build an Effective Board - Director Nominations - Shareholder Director Candidates" and is incorporated in this Annual Report on Form 10-K by reference.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of directors has appointed an audit committee consisting entirely of independent directors in accordance with applicable Securities and Exchange Commission and New York Stock Exchange requirements for audit committees. Information about our audit committee is found in our Proxy Statement under "Governance - How We Operate an Effective Board - Board Structure - Meetings of the Board and Its Committees - Committees of the Board - Audit Committee" and is incorporated in this Annual Report on Form 10-K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Reporting Compliance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Information about our compliance with Section 16(a) is found in our Proxy Statement under "Ownership of Common Stock - Delinquent Section 16(a) Reports" and is incorporated in this Annual Report on Form 10-K by reference.</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11. Executive Compensation</w:t>
      </w:r>
    </w:p>
    <w:p>
      <w:pPr>
        <w:spacing w:after="0" w:line="1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Information on director compensation, executive compensation, and talent and compensation committee matters can be found in the Proxy Statement under "Governance - How We Operate an Effective Board - Board Alignment - Director Compensation," "- How We Operate an Effective Board - Board Structure - Meetings of the Board and Its Committees - Committees of the Board - Talent and Compensation Committee," "Compensation - Compensation Discussion and Analysis," "- Talent and Compensation Committee Matters," and "- Executive Compensation." Such information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1" w:right="359" w:bottom="1440" w:gutter="0" w:footer="0" w:header="0"/>
        </w:sectPr>
      </w:pPr>
    </w:p>
    <w:bookmarkStart w:id="114" w:name="page115"/>
    <w:bookmarkEnd w:id="114"/>
    <w:p>
      <w:pPr>
        <w:spacing w:after="0"/>
        <w:rPr>
          <w:sz w:val="20"/>
          <w:szCs w:val="20"/>
          <w:color w:val="auto"/>
        </w:rPr>
      </w:pPr>
      <w:r>
        <w:rPr>
          <w:rFonts w:ascii="Arial" w:cs="Arial" w:eastAsia="Arial" w:hAnsi="Arial"/>
          <w:sz w:val="32"/>
          <w:szCs w:val="32"/>
          <w:b w:val="1"/>
          <w:bCs w:val="1"/>
          <w:i w:val="1"/>
          <w:iCs w:val="1"/>
          <w:color w:val="auto"/>
        </w:rPr>
        <w:t>Item 12. Security Ownership of Certain Beneficial Owners and</w:t>
      </w:r>
    </w:p>
    <w:p>
      <w:pPr>
        <w:spacing w:after="0" w:line="54"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auto"/>
        </w:rPr>
        <w:t>Management and Related Stockholder Matters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and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presents information as of December 31, 2022 regarding the company's compensation plans under which shares of the company's common stock have been authorized for issuance.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 Number of securities to</w:t>
            </w:r>
          </w:p>
        </w:tc>
        <w:tc>
          <w:tcPr>
            <w:tcW w:w="17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(b) Weighted-average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2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be issued upon exercise</w:t>
            </w:r>
          </w:p>
        </w:tc>
        <w:tc>
          <w:tcPr>
            <w:tcW w:w="17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exercise price of</w:t>
            </w: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of outstanding options,</w:t>
            </w:r>
          </w:p>
        </w:tc>
        <w:tc>
          <w:tcPr>
            <w:tcW w:w="17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outstanding options,</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 xml:space="preserve">warrants, and rights </w:t>
            </w:r>
            <w:r>
              <w:rPr>
                <w:rFonts w:ascii="Arial" w:cs="Arial" w:eastAsia="Arial" w:hAnsi="Arial"/>
                <w:sz w:val="9"/>
                <w:szCs w:val="9"/>
                <w:b w:val="1"/>
                <w:bCs w:val="1"/>
                <w:color w:val="auto"/>
              </w:rPr>
              <w:t>(1)</w:t>
            </w:r>
          </w:p>
        </w:tc>
        <w:tc>
          <w:tcPr>
            <w:tcW w:w="17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223"/>
        </w:trPr>
        <w:tc>
          <w:tcPr>
            <w:tcW w:w="4940" w:type="dxa"/>
            <w:vAlign w:val="bottom"/>
            <w:shd w:val="clear" w:color="auto" w:fill="D8D8D8"/>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gridSpan w:val="2"/>
            <w:shd w:val="clear" w:color="auto" w:fill="D8D8D8"/>
          </w:tcPr>
          <w:p>
            <w:pPr>
              <w:ind w:left="162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shd w:val="clear" w:color="auto" w:fill="D8D8D8"/>
          </w:tcPr>
          <w:p>
            <w:pPr>
              <w:jc w:val="right"/>
              <w:ind w:right="1"/>
              <w:spacing w:after="0"/>
              <w:rPr>
                <w:sz w:val="20"/>
                <w:szCs w:val="20"/>
                <w:color w:val="auto"/>
              </w:rPr>
            </w:pPr>
            <w:r>
              <w:rPr>
                <w:rFonts w:ascii="Arial" w:cs="Arial" w:eastAsia="Arial" w:hAnsi="Arial"/>
                <w:sz w:val="18"/>
                <w:szCs w:val="18"/>
                <w:color w:val="auto"/>
              </w:rPr>
              <w:t>49,953,648</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20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700" w:type="dxa"/>
            <w:vAlign w:val="bottom"/>
          </w:tcPr>
          <w:p>
            <w:pPr>
              <w:ind w:left="118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top w:val="single" w:sz="8" w:color="D8D8D8"/>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shd w:val="clear" w:color="auto" w:fill="D8D8D8"/>
          </w:tcPr>
          <w:p>
            <w:pPr>
              <w:ind w:left="16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8D8D8"/>
              <w:bottom w:val="single" w:sz="8" w:color="D8D8D8"/>
            </w:tcBorders>
            <w:shd w:val="clear" w:color="auto" w:fill="D8D8D8"/>
          </w:tcPr>
          <w:p>
            <w:pPr>
              <w:spacing w:after="0"/>
              <w:rPr>
                <w:sz w:val="20"/>
                <w:szCs w:val="20"/>
                <w:color w:val="auto"/>
              </w:rPr>
            </w:pPr>
          </w:p>
        </w:tc>
        <w:tc>
          <w:tcPr>
            <w:tcW w:w="1700" w:type="dxa"/>
            <w:vAlign w:val="bottom"/>
            <w:tcBorders>
              <w:top w:val="single" w:sz="8" w:color="D8D8D8"/>
              <w:bottom w:val="single" w:sz="8" w:color="D8D8D8"/>
            </w:tcBorders>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bottom w:val="single" w:sz="8" w:color="auto"/>
            </w:tcBorders>
            <w:shd w:val="clear" w:color="auto" w:fill="D8D8D8"/>
          </w:tcPr>
          <w:p>
            <w:pPr>
              <w:jc w:val="right"/>
              <w:ind w:right="1"/>
              <w:spacing w:after="0"/>
              <w:rPr>
                <w:sz w:val="20"/>
                <w:szCs w:val="20"/>
                <w:color w:val="auto"/>
              </w:rPr>
            </w:pPr>
            <w:r>
              <w:rPr>
                <w:rFonts w:ascii="Arial" w:cs="Arial" w:eastAsia="Arial" w:hAnsi="Arial"/>
                <w:sz w:val="18"/>
                <w:szCs w:val="18"/>
                <w:color w:val="auto"/>
              </w:rPr>
              <w:t>49,953,648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9"/>
          <w:szCs w:val="9"/>
          <w:color w:val="auto"/>
        </w:rPr>
      </w:pPr>
      <w:r>
        <w:rPr>
          <w:rFonts w:ascii="Arial" w:cs="Arial" w:eastAsia="Arial" w:hAnsi="Arial"/>
          <w:sz w:val="14"/>
          <w:szCs w:val="14"/>
          <w:color w:val="auto"/>
        </w:rPr>
        <w:t>4,175,980 shares are underlying outstanding equity awards other than options.</w:t>
      </w:r>
    </w:p>
    <w:p>
      <w:pPr>
        <w:spacing w:after="0" w:line="200" w:lineRule="exact"/>
        <w:rPr>
          <w:sz w:val="20"/>
          <w:szCs w:val="20"/>
          <w:color w:val="auto"/>
        </w:rPr>
      </w:pPr>
    </w:p>
    <w:p>
      <w:pPr>
        <w:spacing w:after="0" w:line="365" w:lineRule="exact"/>
        <w:rPr>
          <w:sz w:val="20"/>
          <w:szCs w:val="20"/>
          <w:color w:val="auto"/>
        </w:rPr>
      </w:pPr>
    </w:p>
    <w:p>
      <w:pPr>
        <w:ind w:left="1300" w:right="500" w:hanging="1295"/>
        <w:spacing w:after="0" w:line="292" w:lineRule="auto"/>
        <w:rPr>
          <w:sz w:val="20"/>
          <w:szCs w:val="20"/>
          <w:color w:val="auto"/>
        </w:rPr>
      </w:pPr>
      <w:r>
        <w:rPr>
          <w:rFonts w:ascii="Arial" w:cs="Arial" w:eastAsia="Arial" w:hAnsi="Arial"/>
          <w:sz w:val="32"/>
          <w:szCs w:val="32"/>
          <w:b w:val="1"/>
          <w:bCs w:val="1"/>
          <w:i w:val="1"/>
          <w:iCs w:val="1"/>
          <w:color w:val="auto"/>
        </w:rPr>
        <w:t>Item 13. Certain Relationships and Related Transactions, and Director Independence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1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Information relating to the policies and procedures for approval of related person transactions by our board of directors can be found in the Proxy Statement under "Governance - How We Operate an Effective Board - Board Alignment - Conflicts of Interest and Transactions with Related Persons." Such information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Information relating to director independence can be found in the Proxy Statement under "Governance - How We Build an Effective Board - Director Qualifications - Independence" and is incorporated in this Annual Report on Form 10-K by reference.</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14. Principal Accountant Fees and Services</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"Audit Matters - Item 4. Ratification of the Appointment of the Independent Auditor - Services Performed by the Independent Auditor" and "- Independent Auditor Fees." Such information is incorporated in this Annual Report on Form 10-K by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15" w:name="page116"/>
    <w:bookmarkEnd w:id="115"/>
    <w:p>
      <w:pPr>
        <w:spacing w:after="0"/>
        <w:rPr>
          <w:sz w:val="20"/>
          <w:szCs w:val="20"/>
          <w:color w:val="auto"/>
        </w:rPr>
      </w:pPr>
      <w:r>
        <w:rPr>
          <w:rFonts w:ascii="Arial" w:cs="Arial" w:eastAsia="Arial" w:hAnsi="Arial"/>
          <w:sz w:val="32"/>
          <w:szCs w:val="32"/>
          <w:b w:val="1"/>
          <w:bCs w:val="1"/>
          <w:i w:val="1"/>
          <w:iCs w:val="1"/>
          <w:color w:val="auto"/>
        </w:rPr>
        <w:t>Item 15. Exhibits and Financial Statement Schedules</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2022, 2021, and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(Loss)—Years Ended December 31, 2022, 2021, and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Balance Sheets—December 31, 2022 and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2022, 2021, and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2022, 2021, and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(a)2.</w:t>
      </w:r>
      <w:r>
        <w:rPr>
          <w:sz w:val="20"/>
          <w:szCs w:val="20"/>
          <w:color w:val="auto"/>
        </w:rPr>
        <w:tab/>
      </w:r>
      <w:r>
        <w:rPr>
          <w:rFonts w:ascii="Arial" w:cs="Arial" w:eastAsia="Arial" w:hAnsi="Arial"/>
          <w:sz w:val="17"/>
          <w:szCs w:val="17"/>
          <w:b w:val="1"/>
          <w:bCs w:val="1"/>
          <w:color w:val="auto"/>
        </w:rPr>
        <w:t>Financial Statement Schedules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(a)3.</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40" w:type="dxa"/>
            <w:vAlign w:val="bottom"/>
            <w:gridSpan w:val="1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1480" w:type="dxa"/>
            <w:vAlign w:val="bottom"/>
          </w:tcPr>
          <w:p>
            <w:pPr>
              <w:spacing w:after="0"/>
              <w:rPr>
                <w:sz w:val="22"/>
                <w:szCs w:val="22"/>
                <w:color w:val="auto"/>
              </w:rPr>
            </w:pPr>
          </w:p>
        </w:tc>
        <w:tc>
          <w:tcPr>
            <w:tcW w:w="9040" w:type="dxa"/>
            <w:vAlign w:val="bottom"/>
            <w:gridSpan w:val="19"/>
          </w:tcPr>
          <w:p>
            <w:pPr>
              <w:spacing w:after="0"/>
              <w:rPr>
                <w:rFonts w:ascii="Arial" w:cs="Arial" w:eastAsia="Arial" w:hAnsi="Arial"/>
                <w:sz w:val="18"/>
                <w:szCs w:val="18"/>
                <w:color w:val="0000FF"/>
              </w:rPr>
            </w:pPr>
            <w:hyperlink r:id="rId142">
              <w:r>
                <w:rPr>
                  <w:rFonts w:ascii="Arial" w:cs="Arial" w:eastAsia="Arial" w:hAnsi="Arial"/>
                  <w:sz w:val="18"/>
                  <w:szCs w:val="18"/>
                  <w:color w:val="0000FF"/>
                </w:rPr>
                <w:t>Amended Articles of Incorporation, incorporated by reference to Exhibit 3.1 to the Company's Current Report on</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Form 8-K filed on May 4, 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148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143">
              <w:r>
                <w:rPr>
                  <w:rFonts w:ascii="Arial" w:cs="Arial" w:eastAsia="Arial" w:hAnsi="Arial"/>
                  <w:sz w:val="18"/>
                  <w:szCs w:val="18"/>
                  <w:color w:val="0000FF"/>
                </w:rPr>
                <w:t>Bylaws, as amended, incorporated by reference to Exhibit 3.2 to the Company's Current Report on Form 8-K filed</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on May 4, 2022</w:t>
              </w:r>
            </w:hyperlink>
          </w:p>
        </w:tc>
        <w:tc>
          <w:tcPr>
            <w:tcW w:w="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48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144">
              <w:r>
                <w:rPr>
                  <w:rFonts w:ascii="Arial" w:cs="Arial" w:eastAsia="Arial" w:hAnsi="Arial"/>
                  <w:sz w:val="18"/>
                  <w:szCs w:val="18"/>
                  <w:color w:val="0000FF"/>
                </w:rPr>
                <w:t>Indenture, dated February 1, 1991, between the Company and Deutsche Bank Trust Company Americas, as</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successor trustee to Citibank, N.A., as Trustee, incorporated by reference to Exhibit 4.1 to the Company's</w:t>
              </w:r>
            </w:hyperlink>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144">
              <w:r>
                <w:rPr>
                  <w:rFonts w:ascii="Arial" w:cs="Arial" w:eastAsia="Arial" w:hAnsi="Arial"/>
                  <w:sz w:val="18"/>
                  <w:szCs w:val="18"/>
                  <w:color w:val="0000FF"/>
                </w:rPr>
                <w:t>Registration Statement on Form S-3, Registration No. 333-186979</w:t>
              </w:r>
            </w:hyperlink>
          </w:p>
        </w:tc>
        <w:tc>
          <w:tcPr>
            <w:tcW w:w="20" w:type="dxa"/>
            <w:vAlign w:val="bottom"/>
          </w:tcPr>
          <w:p>
            <w:pPr>
              <w:spacing w:after="0"/>
              <w:rPr>
                <w:sz w:val="14"/>
                <w:szCs w:val="14"/>
                <w:color w:val="auto"/>
              </w:rPr>
            </w:pPr>
          </w:p>
        </w:tc>
        <w:tc>
          <w:tcPr>
            <w:tcW w:w="5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480" w:type="dxa"/>
            <w:vAlign w:val="bottom"/>
          </w:tcPr>
          <w:p>
            <w:pPr>
              <w:spacing w:after="0"/>
              <w:rPr>
                <w:sz w:val="22"/>
                <w:szCs w:val="22"/>
                <w:color w:val="auto"/>
              </w:rPr>
            </w:pPr>
          </w:p>
        </w:tc>
        <w:tc>
          <w:tcPr>
            <w:tcW w:w="9040" w:type="dxa"/>
            <w:vAlign w:val="bottom"/>
            <w:gridSpan w:val="19"/>
          </w:tcPr>
          <w:p>
            <w:pPr>
              <w:spacing w:after="0"/>
              <w:rPr>
                <w:rFonts w:ascii="Arial" w:cs="Arial" w:eastAsia="Arial" w:hAnsi="Arial"/>
                <w:sz w:val="18"/>
                <w:szCs w:val="18"/>
                <w:color w:val="0000FF"/>
              </w:rPr>
            </w:pPr>
            <w:hyperlink r:id="rId145">
              <w:r>
                <w:rPr>
                  <w:rFonts w:ascii="Arial" w:cs="Arial" w:eastAsia="Arial" w:hAnsi="Arial"/>
                  <w:sz w:val="18"/>
                  <w:szCs w:val="18"/>
                  <w:color w:val="0000FF"/>
                </w:rPr>
                <w:t>Tripartite Agreement, dated September 13, 2007, appointing Deutsche Bank Trust Company Americas as</w:t>
              </w:r>
            </w:hyperlink>
          </w:p>
        </w:tc>
      </w:tr>
      <w:tr>
        <w:trPr>
          <w:trHeight w:val="156"/>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Successor Trustee under the Indenture listed in Exhibit 4.1, incorporated by reference to Exhibit 4.2 to the</w:t>
              </w:r>
            </w:hyperlink>
          </w:p>
        </w:tc>
        <w:tc>
          <w:tcPr>
            <w:tcW w:w="40" w:type="dxa"/>
            <w:vAlign w:val="bottom"/>
            <w:tcBorders>
              <w:bottom w:val="single" w:sz="8" w:color="0000FF"/>
            </w:tcBorders>
            <w:gridSpan w:val="2"/>
          </w:tcPr>
          <w:p>
            <w:pPr>
              <w:spacing w:after="0"/>
              <w:rPr>
                <w:sz w:val="13"/>
                <w:szCs w:val="13"/>
                <w:color w:val="auto"/>
              </w:rPr>
            </w:pPr>
          </w:p>
        </w:tc>
        <w:tc>
          <w:tcPr>
            <w:tcW w:w="5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20" w:type="dxa"/>
            <w:vAlign w:val="bottom"/>
            <w:gridSpan w:val="11"/>
          </w:tcPr>
          <w:p>
            <w:pPr>
              <w:spacing w:after="0" w:line="169" w:lineRule="exact"/>
              <w:rPr>
                <w:rFonts w:ascii="Arial" w:cs="Arial" w:eastAsia="Arial" w:hAnsi="Arial"/>
                <w:sz w:val="18"/>
                <w:szCs w:val="18"/>
                <w:color w:val="0000FF"/>
              </w:rPr>
            </w:pPr>
            <w:hyperlink r:id="rId145">
              <w:r>
                <w:rPr>
                  <w:rFonts w:ascii="Arial" w:cs="Arial" w:eastAsia="Arial" w:hAnsi="Arial"/>
                  <w:sz w:val="18"/>
                  <w:szCs w:val="18"/>
                  <w:color w:val="0000FF"/>
                </w:rPr>
                <w:t>Company's Annual Report on Form 10-K for the year ended December 31, 2008</w:t>
              </w:r>
            </w:hyperlink>
          </w:p>
        </w:tc>
        <w:tc>
          <w:tcPr>
            <w:tcW w:w="5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1480" w:type="dxa"/>
            <w:vAlign w:val="bottom"/>
          </w:tcPr>
          <w:p>
            <w:pPr>
              <w:spacing w:after="0"/>
              <w:rPr>
                <w:sz w:val="22"/>
                <w:szCs w:val="22"/>
                <w:color w:val="auto"/>
              </w:rPr>
            </w:pPr>
          </w:p>
        </w:tc>
        <w:tc>
          <w:tcPr>
            <w:tcW w:w="9040" w:type="dxa"/>
            <w:vAlign w:val="bottom"/>
            <w:gridSpan w:val="19"/>
          </w:tcPr>
          <w:p>
            <w:pPr>
              <w:spacing w:after="0"/>
              <w:rPr>
                <w:rFonts w:ascii="Arial" w:cs="Arial" w:eastAsia="Arial" w:hAnsi="Arial"/>
                <w:sz w:val="18"/>
                <w:szCs w:val="18"/>
                <w:color w:val="0000FF"/>
              </w:rPr>
            </w:pPr>
            <w:hyperlink r:id="rId146">
              <w:r>
                <w:rPr>
                  <w:rFonts w:ascii="Arial" w:cs="Arial" w:eastAsia="Arial" w:hAnsi="Arial"/>
                  <w:sz w:val="18"/>
                  <w:szCs w:val="18"/>
                  <w:color w:val="0000FF"/>
                </w:rPr>
                <w:t>Description of the Company's Common Stock, incorporated by reference to Exhibit 4.3 to the Company's Annual</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Report on Form 10-K for the year ended December 31, 2019</w:t>
              </w:r>
            </w:hyperlink>
          </w:p>
        </w:tc>
        <w:tc>
          <w:tcPr>
            <w:tcW w:w="41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4.4</w:t>
            </w:r>
          </w:p>
        </w:tc>
        <w:tc>
          <w:tcPr>
            <w:tcW w:w="148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147">
              <w:r>
                <w:rPr>
                  <w:rFonts w:ascii="Arial" w:cs="Arial" w:eastAsia="Arial" w:hAnsi="Arial"/>
                  <w:sz w:val="18"/>
                  <w:szCs w:val="18"/>
                  <w:color w:val="0000FF"/>
                </w:rPr>
                <w:t>Description of the Company's 1.625% Notes due 2026 and 2.125% Notes due 2030, incorporated by reference to</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47">
              <w:r>
                <w:rPr>
                  <w:rFonts w:ascii="Arial" w:cs="Arial" w:eastAsia="Arial" w:hAnsi="Arial"/>
                  <w:sz w:val="18"/>
                  <w:szCs w:val="18"/>
                  <w:color w:val="0000FF"/>
                  <w:w w:val="99"/>
                </w:rPr>
                <w:t>Exhibit 4.4 to the Company's Annual Report on Form 10-K for the year ended December 31, 2019</w:t>
              </w:r>
            </w:hyperlink>
          </w:p>
        </w:tc>
        <w:tc>
          <w:tcPr>
            <w:tcW w:w="12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4.5</w:t>
            </w:r>
          </w:p>
        </w:tc>
        <w:tc>
          <w:tcPr>
            <w:tcW w:w="148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148">
              <w:r>
                <w:rPr>
                  <w:rFonts w:ascii="Arial" w:cs="Arial" w:eastAsia="Arial" w:hAnsi="Arial"/>
                  <w:sz w:val="18"/>
                  <w:szCs w:val="18"/>
                  <w:color w:val="0000FF"/>
                </w:rPr>
                <w:t>Description of the Company's 6.77% Notes due 2036, incorporated by reference to Exhibit 4.5 to the Company's</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9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Annual Report on Form 10-K for the year ended December 31, 2019</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352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4.6</w:t>
            </w:r>
          </w:p>
        </w:tc>
        <w:tc>
          <w:tcPr>
            <w:tcW w:w="148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149">
              <w:r>
                <w:rPr>
                  <w:rFonts w:ascii="Arial" w:cs="Arial" w:eastAsia="Arial" w:hAnsi="Arial"/>
                  <w:sz w:val="18"/>
                  <w:szCs w:val="18"/>
                  <w:color w:val="0000FF"/>
                </w:rPr>
                <w:t>Description of the Company's 7 1/8% Notes due 2025, incorporated by reference to Exhibit 4.6 to the Company's</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9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Annual Report on Form 10-K for the year ended December 31, 2019</w:t>
              </w:r>
            </w:hyperlink>
          </w:p>
        </w:tc>
        <w:tc>
          <w:tcPr>
            <w:tcW w:w="80" w:type="dxa"/>
            <w:vAlign w:val="bottom"/>
            <w:gridSpan w:val="3"/>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3600" w:type="dxa"/>
            <w:vAlign w:val="bottom"/>
            <w:gridSpan w:val="13"/>
          </w:tcPr>
          <w:p>
            <w:pPr>
              <w:spacing w:after="0" w:line="20" w:lineRule="exact"/>
              <w:rPr>
                <w:sz w:val="1"/>
                <w:szCs w:val="1"/>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4.7</w:t>
            </w:r>
          </w:p>
        </w:tc>
        <w:tc>
          <w:tcPr>
            <w:tcW w:w="148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150">
              <w:r>
                <w:rPr>
                  <w:rFonts w:ascii="Arial" w:cs="Arial" w:eastAsia="Arial" w:hAnsi="Arial"/>
                  <w:sz w:val="18"/>
                  <w:szCs w:val="18"/>
                  <w:color w:val="0000FF"/>
                </w:rPr>
                <w:t>Description of the Company's 0.625% Notes due 2031 and 1.700% Notes due 2049, incorporated by reference to</w:t>
              </w:r>
            </w:hyperlink>
          </w:p>
        </w:tc>
      </w:tr>
      <w:tr>
        <w:trPr>
          <w:trHeight w:val="155"/>
        </w:trPr>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Exhibit 4.7 to the Company's Annual Report on Form 10-K for the year ended December 31, 2019</w:t>
              </w:r>
            </w:hyperlink>
          </w:p>
        </w:tc>
        <w:tc>
          <w:tcPr>
            <w:tcW w:w="12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5" w:right="579" w:bottom="144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4.8</w:t>
            </w:r>
          </w:p>
        </w:tc>
        <w:tc>
          <w:tcPr>
            <w:tcW w:w="9240" w:type="dxa"/>
            <w:vAlign w:val="bottom"/>
            <w:gridSpan w:val="51"/>
          </w:tcPr>
          <w:p>
            <w:pPr>
              <w:spacing w:after="0"/>
              <w:rPr>
                <w:rFonts w:ascii="Arial" w:cs="Arial" w:eastAsia="Arial" w:hAnsi="Arial"/>
                <w:sz w:val="18"/>
                <w:szCs w:val="18"/>
                <w:color w:val="0000FF"/>
              </w:rPr>
            </w:pPr>
            <w:hyperlink r:id="rId152">
              <w:r>
                <w:rPr>
                  <w:rFonts w:ascii="Arial" w:cs="Arial" w:eastAsia="Arial" w:hAnsi="Arial"/>
                  <w:sz w:val="18"/>
                  <w:szCs w:val="18"/>
                  <w:color w:val="0000FF"/>
                </w:rPr>
                <w:t>Description of the Company's 0.500% Notes due 2033, 1.125% Notes due 2051, and 1.375% Notes due 2061,</w:t>
              </w:r>
            </w:hyperlink>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8800" w:type="dxa"/>
            <w:vAlign w:val="bottom"/>
            <w:tcBorders>
              <w:top w:val="single" w:sz="8" w:color="0000FF"/>
            </w:tcBorders>
            <w:gridSpan w:val="45"/>
          </w:tcPr>
          <w:p>
            <w:pPr>
              <w:spacing w:after="0" w:line="169" w:lineRule="exact"/>
              <w:rPr>
                <w:rFonts w:ascii="Arial" w:cs="Arial" w:eastAsia="Arial" w:hAnsi="Arial"/>
                <w:sz w:val="18"/>
                <w:szCs w:val="18"/>
                <w:color w:val="0000FF"/>
              </w:rPr>
            </w:pPr>
            <w:hyperlink r:id="rId152">
              <w:r>
                <w:rPr>
                  <w:rFonts w:ascii="Arial" w:cs="Arial" w:eastAsia="Arial" w:hAnsi="Arial"/>
                  <w:sz w:val="18"/>
                  <w:szCs w:val="18"/>
                  <w:color w:val="0000FF"/>
                </w:rPr>
                <w:t>incorporated by reference to Exhibit 4.8 to the Company's Annual Report on Form 10-K for the year ended</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December 31, 2021</w:t>
              </w:r>
            </w:hyperlink>
          </w:p>
        </w:tc>
        <w:tc>
          <w:tcPr>
            <w:tcW w:w="6840" w:type="dxa"/>
            <w:vAlign w:val="bottom"/>
            <w:tcBorders>
              <w:top w:val="single" w:sz="8" w:color="0000FF"/>
            </w:tcBorders>
            <w:gridSpan w:val="41"/>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4.9</w:t>
            </w:r>
          </w:p>
        </w:tc>
        <w:tc>
          <w:tcPr>
            <w:tcW w:w="9240" w:type="dxa"/>
            <w:vAlign w:val="bottom"/>
            <w:gridSpan w:val="51"/>
          </w:tcPr>
          <w:p>
            <w:pPr>
              <w:spacing w:after="0"/>
              <w:rPr>
                <w:rFonts w:ascii="Arial" w:cs="Arial" w:eastAsia="Arial" w:hAnsi="Arial"/>
                <w:sz w:val="18"/>
                <w:szCs w:val="18"/>
                <w:color w:val="0000FF"/>
              </w:rPr>
            </w:pPr>
            <w:hyperlink r:id="rId153">
              <w:r>
                <w:rPr>
                  <w:rFonts w:ascii="Arial" w:cs="Arial" w:eastAsia="Arial" w:hAnsi="Arial"/>
                  <w:sz w:val="18"/>
                  <w:szCs w:val="18"/>
                  <w:color w:val="0000FF"/>
                </w:rPr>
                <w:t>Description of the Company's 1.625% Notes due 2043, incorporated by reference to Exhibit 4.9 to the Company's</w:t>
              </w:r>
            </w:hyperlink>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36"/>
          </w:tcPr>
          <w:p>
            <w:pPr>
              <w:spacing w:after="0" w:line="169"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Annual Report on Form 10-K for the year ended December 31, 2021</w:t>
              </w:r>
            </w:hyperlink>
          </w:p>
        </w:tc>
        <w:tc>
          <w:tcPr>
            <w:tcW w:w="356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3640" w:type="dxa"/>
            <w:vAlign w:val="bottom"/>
            <w:tcBorders>
              <w:bottom w:val="single" w:sz="8" w:color="0000FF"/>
            </w:tcBorders>
            <w:gridSpan w:val="9"/>
          </w:tcPr>
          <w:p>
            <w:pPr>
              <w:spacing w:after="0"/>
              <w:rPr>
                <w:rFonts w:ascii="Arial" w:cs="Arial" w:eastAsia="Arial" w:hAnsi="Arial"/>
                <w:sz w:val="18"/>
                <w:szCs w:val="18"/>
                <w:color w:val="0000FF"/>
              </w:rPr>
            </w:pPr>
            <w:hyperlink r:id="rId154">
              <w:r>
                <w:rPr>
                  <w:rFonts w:ascii="Arial" w:cs="Arial" w:eastAsia="Arial" w:hAnsi="Arial"/>
                  <w:sz w:val="18"/>
                  <w:szCs w:val="18"/>
                  <w:color w:val="0000FF"/>
                </w:rPr>
                <w:t>Amended and Restated 2002 Lilly Stock Plan</w:t>
              </w:r>
            </w:hyperlink>
          </w:p>
        </w:tc>
        <w:tc>
          <w:tcPr>
            <w:tcW w:w="120" w:type="dxa"/>
            <w:vAlign w:val="bottom"/>
            <w:gridSpan w:val="4"/>
          </w:tcPr>
          <w:p>
            <w:pPr>
              <w:spacing w:after="0"/>
              <w:rPr>
                <w:rFonts w:ascii="Arial" w:cs="Arial" w:eastAsia="Arial" w:hAnsi="Arial"/>
                <w:sz w:val="11"/>
                <w:szCs w:val="11"/>
                <w:color w:val="0000FF"/>
                <w:w w:val="74"/>
              </w:rPr>
            </w:pPr>
            <w:hyperlink r:id="rId154">
              <w:r>
                <w:rPr>
                  <w:rFonts w:ascii="Arial" w:cs="Arial" w:eastAsia="Arial" w:hAnsi="Arial"/>
                  <w:sz w:val="11"/>
                  <w:szCs w:val="11"/>
                  <w:color w:val="0000FF"/>
                  <w:w w:val="74"/>
                </w:rPr>
                <w:t>(1)</w:t>
              </w:r>
            </w:hyperlink>
          </w:p>
        </w:tc>
        <w:tc>
          <w:tcPr>
            <w:tcW w:w="4780" w:type="dxa"/>
            <w:vAlign w:val="bottom"/>
            <w:tcBorders>
              <w:bottom w:val="single" w:sz="8" w:color="0000FF"/>
            </w:tcBorders>
            <w:gridSpan w:val="31"/>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 incorporated by reference to Exhibit 10.1 to the Company's</w:t>
              </w:r>
            </w:hyperlink>
          </w:p>
        </w:tc>
        <w:tc>
          <w:tcPr>
            <w:tcW w:w="380" w:type="dxa"/>
            <w:vAlign w:val="bottom"/>
            <w:gridSpan w:val="2"/>
          </w:tcPr>
          <w:p>
            <w:pPr>
              <w:spacing w:after="0"/>
              <w:rPr>
                <w:sz w:val="22"/>
                <w:szCs w:val="22"/>
                <w:color w:val="auto"/>
              </w:rPr>
            </w:pP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3620" w:type="dxa"/>
            <w:vAlign w:val="bottom"/>
            <w:gridSpan w:val="8"/>
            <w:vMerge w:val="restart"/>
          </w:tcPr>
          <w:p>
            <w:pPr>
              <w:spacing w:after="0" w:line="169" w:lineRule="exact"/>
              <w:rPr>
                <w:rFonts w:ascii="Arial" w:cs="Arial" w:eastAsia="Arial" w:hAnsi="Arial"/>
                <w:sz w:val="18"/>
                <w:szCs w:val="18"/>
                <w:color w:val="0000FF"/>
                <w:w w:val="97"/>
              </w:rPr>
            </w:pPr>
            <w:hyperlink r:id="rId154">
              <w:r>
                <w:rPr>
                  <w:rFonts w:ascii="Arial" w:cs="Arial" w:eastAsia="Arial" w:hAnsi="Arial"/>
                  <w:sz w:val="18"/>
                  <w:szCs w:val="18"/>
                  <w:color w:val="0000FF"/>
                  <w:w w:val="97"/>
                </w:rPr>
                <w:t>Quarterly Report on Form 10-Q for the quarter</w:t>
              </w:r>
            </w:hyperlink>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4780" w:type="dxa"/>
            <w:vAlign w:val="bottom"/>
            <w:gridSpan w:val="31"/>
            <w:vMerge w:val="restart"/>
          </w:tcPr>
          <w:p>
            <w:pPr>
              <w:spacing w:after="0" w:line="169" w:lineRule="exact"/>
              <w:rPr>
                <w:rFonts w:ascii="Arial" w:cs="Arial" w:eastAsia="Arial" w:hAnsi="Arial"/>
                <w:sz w:val="18"/>
                <w:szCs w:val="18"/>
                <w:color w:val="0000FF"/>
              </w:rPr>
            </w:pPr>
            <w:hyperlink r:id="rId154">
              <w:r>
                <w:rPr>
                  <w:rFonts w:ascii="Arial" w:cs="Arial" w:eastAsia="Arial" w:hAnsi="Arial"/>
                  <w:sz w:val="18"/>
                  <w:szCs w:val="18"/>
                  <w:color w:val="0000FF"/>
                </w:rPr>
                <w:t>ended June 30, 2018</w:t>
              </w:r>
            </w:hyperlink>
          </w:p>
        </w:tc>
        <w:tc>
          <w:tcPr>
            <w:tcW w:w="3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60" w:type="dxa"/>
            <w:vAlign w:val="bottom"/>
          </w:tcPr>
          <w:p>
            <w:pPr>
              <w:spacing w:after="0"/>
              <w:rPr>
                <w:sz w:val="10"/>
                <w:szCs w:val="10"/>
                <w:color w:val="auto"/>
              </w:rPr>
            </w:pPr>
          </w:p>
        </w:tc>
        <w:tc>
          <w:tcPr>
            <w:tcW w:w="362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80" w:type="dxa"/>
            <w:vAlign w:val="bottom"/>
            <w:gridSpan w:val="31"/>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96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4820" w:type="dxa"/>
            <w:vAlign w:val="bottom"/>
            <w:tcBorders>
              <w:top w:val="single" w:sz="8" w:color="0000FF"/>
              <w:bottom w:val="single" w:sz="8" w:color="0000FF"/>
            </w:tcBorders>
            <w:gridSpan w:val="22"/>
          </w:tcPr>
          <w:p>
            <w:pPr>
              <w:spacing w:after="0"/>
              <w:rPr>
                <w:sz w:val="20"/>
                <w:szCs w:val="20"/>
                <w:color w:val="auto"/>
              </w:rPr>
            </w:pPr>
            <w:r>
              <w:rPr>
                <w:rFonts w:ascii="Arial" w:cs="Arial" w:eastAsia="Arial" w:hAnsi="Arial"/>
                <w:sz w:val="18"/>
                <w:szCs w:val="18"/>
                <w:color w:val="0000FF"/>
              </w:rPr>
              <w:t>Form of Performance Award under the 2002 Lilly Stock Plan</w:t>
            </w:r>
          </w:p>
        </w:tc>
        <w:tc>
          <w:tcPr>
            <w:tcW w:w="120" w:type="dxa"/>
            <w:vAlign w:val="bottom"/>
            <w:tcBorders>
              <w:top w:val="single" w:sz="8" w:color="0000FF"/>
              <w:bottom w:val="single" w:sz="8" w:color="0000FF"/>
            </w:tcBorders>
            <w:gridSpan w:val="3"/>
            <w:vMerge w:val="restart"/>
          </w:tcPr>
          <w:p>
            <w:pPr>
              <w:jc w:val="right"/>
              <w:spacing w:after="0"/>
              <w:rPr>
                <w:sz w:val="20"/>
                <w:szCs w:val="20"/>
                <w:color w:val="auto"/>
              </w:rPr>
            </w:pPr>
            <w:r>
              <w:rPr>
                <w:rFonts w:ascii="Arial" w:cs="Arial" w:eastAsia="Arial" w:hAnsi="Arial"/>
                <w:sz w:val="11"/>
                <w:szCs w:val="11"/>
                <w:color w:val="0000FF"/>
                <w:w w:val="74"/>
              </w:rPr>
              <w:t>(1)</w:t>
            </w:r>
          </w:p>
        </w:tc>
        <w:tc>
          <w:tcPr>
            <w:tcW w:w="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3"/>
                <w:szCs w:val="13"/>
                <w:color w:val="0000FF"/>
                <w:w w:val="78"/>
              </w:rPr>
              <w:t>*</w:t>
            </w:r>
          </w:p>
        </w:tc>
        <w:tc>
          <w:tcPr>
            <w:tcW w:w="60" w:type="dxa"/>
            <w:vAlign w:val="bottom"/>
            <w:tcBorders>
              <w:top w:val="single" w:sz="8" w:color="0000FF"/>
              <w:bottom w:val="single" w:sz="8" w:color="0000FF"/>
            </w:tcBorders>
            <w:vMerge w:val="restart"/>
          </w:tcPr>
          <w:p>
            <w:pPr>
              <w:spacing w:after="0"/>
              <w:rPr>
                <w:sz w:val="24"/>
                <w:szCs w:val="24"/>
                <w:color w:val="auto"/>
              </w:rPr>
            </w:pPr>
          </w:p>
        </w:tc>
        <w:tc>
          <w:tcPr>
            <w:tcW w:w="60" w:type="dxa"/>
            <w:vAlign w:val="bottom"/>
            <w:tcBorders>
              <w:top w:val="single" w:sz="8" w:color="0000FF"/>
              <w:bottom w:val="single" w:sz="8" w:color="0000FF"/>
            </w:tcBorders>
            <w:vMerge w:val="restart"/>
          </w:tcPr>
          <w:p>
            <w:pPr>
              <w:spacing w:after="0"/>
              <w:rPr>
                <w:sz w:val="24"/>
                <w:szCs w:val="24"/>
                <w:color w:val="auto"/>
              </w:rPr>
            </w:pPr>
          </w:p>
        </w:tc>
        <w:tc>
          <w:tcPr>
            <w:tcW w:w="120" w:type="dxa"/>
            <w:vAlign w:val="bottom"/>
            <w:tcBorders>
              <w:top w:val="single" w:sz="8" w:color="0000FF"/>
              <w:bottom w:val="single" w:sz="8" w:color="0000FF"/>
            </w:tcBorders>
            <w:vMerge w:val="restart"/>
          </w:tcPr>
          <w:p>
            <w:pPr>
              <w:spacing w:after="0"/>
              <w:rPr>
                <w:sz w:val="24"/>
                <w:szCs w:val="24"/>
                <w:color w:val="auto"/>
              </w:rPr>
            </w:pPr>
          </w:p>
        </w:tc>
        <w:tc>
          <w:tcPr>
            <w:tcW w:w="120" w:type="dxa"/>
            <w:vAlign w:val="bottom"/>
            <w:tcBorders>
              <w:top w:val="single" w:sz="8" w:color="0000FF"/>
              <w:bottom w:val="single" w:sz="8" w:color="0000FF"/>
            </w:tcBorders>
            <w:vMerge w:val="restart"/>
          </w:tcPr>
          <w:p>
            <w:pPr>
              <w:spacing w:after="0"/>
              <w:rPr>
                <w:sz w:val="24"/>
                <w:szCs w:val="24"/>
                <w:color w:val="auto"/>
              </w:rPr>
            </w:pPr>
          </w:p>
        </w:tc>
        <w:tc>
          <w:tcPr>
            <w:tcW w:w="20" w:type="dxa"/>
            <w:vAlign w:val="bottom"/>
            <w:tcBorders>
              <w:top w:val="single" w:sz="8" w:color="0000FF"/>
              <w:bottom w:val="single" w:sz="8" w:color="0000FF"/>
            </w:tcBorders>
            <w:vMerge w:val="restart"/>
          </w:tcPr>
          <w:p>
            <w:pPr>
              <w:spacing w:after="0"/>
              <w:rPr>
                <w:sz w:val="24"/>
                <w:szCs w:val="24"/>
                <w:color w:val="auto"/>
              </w:rPr>
            </w:pPr>
          </w:p>
        </w:tc>
        <w:tc>
          <w:tcPr>
            <w:tcW w:w="20" w:type="dxa"/>
            <w:vAlign w:val="bottom"/>
            <w:tcBorders>
              <w:top w:val="single" w:sz="8" w:color="0000FF"/>
              <w:bottom w:val="single" w:sz="8" w:color="0000FF"/>
            </w:tcBorders>
            <w:vMerge w:val="restart"/>
          </w:tcPr>
          <w:p>
            <w:pPr>
              <w:spacing w:after="0"/>
              <w:rPr>
                <w:sz w:val="24"/>
                <w:szCs w:val="24"/>
                <w:color w:val="auto"/>
              </w:rPr>
            </w:pPr>
          </w:p>
        </w:tc>
        <w:tc>
          <w:tcPr>
            <w:tcW w:w="20" w:type="dxa"/>
            <w:vAlign w:val="bottom"/>
            <w:tcBorders>
              <w:top w:val="single" w:sz="8" w:color="0000FF"/>
              <w:bottom w:val="single" w:sz="8" w:color="0000FF"/>
            </w:tcBorders>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9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58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900" w:type="dxa"/>
            <w:vAlign w:val="bottom"/>
            <w:gridSpan w:val="4"/>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6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5240" w:type="dxa"/>
            <w:vAlign w:val="bottom"/>
            <w:tcBorders>
              <w:bottom w:val="single" w:sz="8" w:color="0000FF"/>
            </w:tcBorders>
            <w:gridSpan w:val="30"/>
          </w:tcPr>
          <w:p>
            <w:pPr>
              <w:spacing w:after="0" w:line="196" w:lineRule="exact"/>
              <w:rPr>
                <w:sz w:val="20"/>
                <w:szCs w:val="20"/>
                <w:color w:val="auto"/>
              </w:rPr>
            </w:pPr>
            <w:r>
              <w:rPr>
                <w:rFonts w:ascii="Arial" w:cs="Arial" w:eastAsia="Arial" w:hAnsi="Arial"/>
                <w:sz w:val="18"/>
                <w:szCs w:val="18"/>
                <w:color w:val="0000FF"/>
                <w:w w:val="99"/>
              </w:rPr>
              <w:t>Form of Shareholder Value Award under the 2002 Lilly Stock Plan</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0000FF"/>
                <w:w w:val="81"/>
              </w:rPr>
              <w:t>(1)</w:t>
            </w:r>
          </w:p>
        </w:tc>
        <w:tc>
          <w:tcPr>
            <w:tcW w:w="8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18"/>
                <w:szCs w:val="18"/>
                <w:color w:val="0000FF"/>
                <w:w w:val="84"/>
              </w:rPr>
              <w:t>*</w:t>
            </w:r>
          </w:p>
        </w:tc>
        <w:tc>
          <w:tcPr>
            <w:tcW w:w="9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580" w:type="dxa"/>
            <w:vAlign w:val="bottom"/>
            <w:vMerge w:val="restart"/>
          </w:tcPr>
          <w:p>
            <w:pPr>
              <w:spacing w:after="0"/>
              <w:rPr>
                <w:sz w:val="17"/>
                <w:szCs w:val="17"/>
                <w:color w:val="auto"/>
              </w:rPr>
            </w:pPr>
          </w:p>
        </w:tc>
        <w:tc>
          <w:tcPr>
            <w:tcW w:w="8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900" w:type="dxa"/>
            <w:vAlign w:val="bottom"/>
            <w:gridSpan w:val="4"/>
            <w:vMerge w:val="restart"/>
          </w:tcPr>
          <w:p>
            <w:pPr>
              <w:spacing w:after="0"/>
              <w:rPr>
                <w:sz w:val="17"/>
                <w:szCs w:val="17"/>
                <w:color w:val="auto"/>
              </w:rPr>
            </w:pPr>
          </w:p>
        </w:tc>
        <w:tc>
          <w:tcPr>
            <w:tcW w:w="140" w:type="dxa"/>
            <w:vAlign w:val="bottom"/>
            <w:gridSpan w:val="2"/>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96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00FF"/>
            </w:tcBorders>
            <w:gridSpan w:val="2"/>
            <w:vMerge w:val="continue"/>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4900" w:type="dxa"/>
            <w:vAlign w:val="bottom"/>
            <w:tcBorders>
              <w:bottom w:val="single" w:sz="8" w:color="0000FF"/>
            </w:tcBorders>
            <w:gridSpan w:val="24"/>
          </w:tcPr>
          <w:p>
            <w:pPr>
              <w:spacing w:after="0" w:line="189" w:lineRule="exact"/>
              <w:rPr>
                <w:sz w:val="20"/>
                <w:szCs w:val="20"/>
                <w:color w:val="auto"/>
              </w:rPr>
            </w:pPr>
            <w:r>
              <w:rPr>
                <w:rFonts w:ascii="Arial" w:cs="Arial" w:eastAsia="Arial" w:hAnsi="Arial"/>
                <w:sz w:val="18"/>
                <w:szCs w:val="18"/>
                <w:color w:val="0000FF"/>
                <w:w w:val="99"/>
              </w:rPr>
              <w:t>Form of Relative Value Award under the 2002 Lilly Stock Plan</w:t>
            </w:r>
          </w:p>
        </w:tc>
        <w:tc>
          <w:tcPr>
            <w:tcW w:w="160" w:type="dxa"/>
            <w:vAlign w:val="bottom"/>
            <w:gridSpan w:val="4"/>
            <w:vMerge w:val="restart"/>
          </w:tcPr>
          <w:p>
            <w:pPr>
              <w:jc w:val="right"/>
              <w:spacing w:after="0"/>
              <w:rPr>
                <w:sz w:val="20"/>
                <w:szCs w:val="20"/>
                <w:color w:val="auto"/>
              </w:rPr>
            </w:pPr>
            <w:r>
              <w:rPr>
                <w:rFonts w:ascii="Arial" w:cs="Arial" w:eastAsia="Arial" w:hAnsi="Arial"/>
                <w:sz w:val="12"/>
                <w:szCs w:val="12"/>
                <w:color w:val="0000FF"/>
                <w:w w:val="95"/>
              </w:rPr>
              <w:t>(1)</w:t>
            </w:r>
          </w:p>
        </w:tc>
        <w:tc>
          <w:tcPr>
            <w:tcW w:w="6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78"/>
              </w:rPr>
              <w:t>*</w:t>
            </w:r>
          </w:p>
        </w:tc>
        <w:tc>
          <w:tcPr>
            <w:tcW w:w="2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9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58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900" w:type="dxa"/>
            <w:vAlign w:val="bottom"/>
            <w:gridSpan w:val="4"/>
            <w:vMerge w:val="restart"/>
          </w:tcPr>
          <w:p>
            <w:pPr>
              <w:spacing w:after="0"/>
              <w:rPr>
                <w:sz w:val="19"/>
                <w:szCs w:val="19"/>
                <w:color w:val="auto"/>
              </w:rPr>
            </w:pPr>
          </w:p>
        </w:tc>
        <w:tc>
          <w:tcPr>
            <w:tcW w:w="14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96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FF"/>
            </w:tcBorders>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3500" w:type="dxa"/>
            <w:vAlign w:val="bottom"/>
            <w:tcBorders>
              <w:bottom w:val="single" w:sz="8" w:color="0000FF"/>
            </w:tcBorders>
            <w:gridSpan w:val="7"/>
          </w:tcPr>
          <w:p>
            <w:pPr>
              <w:spacing w:after="0" w:line="189" w:lineRule="exact"/>
              <w:rPr>
                <w:sz w:val="20"/>
                <w:szCs w:val="20"/>
                <w:color w:val="auto"/>
              </w:rPr>
            </w:pPr>
            <w:r>
              <w:rPr>
                <w:rFonts w:ascii="Arial" w:cs="Arial" w:eastAsia="Arial" w:hAnsi="Arial"/>
                <w:sz w:val="18"/>
                <w:szCs w:val="18"/>
                <w:color w:val="0000FF"/>
                <w:w w:val="99"/>
              </w:rPr>
              <w:t>Form of Non-Compete Payment Agreement</w:t>
            </w:r>
          </w:p>
        </w:tc>
        <w:tc>
          <w:tcPr>
            <w:tcW w:w="160" w:type="dxa"/>
            <w:vAlign w:val="bottom"/>
            <w:gridSpan w:val="3"/>
            <w:vMerge w:val="restart"/>
          </w:tcPr>
          <w:p>
            <w:pPr>
              <w:jc w:val="right"/>
              <w:spacing w:after="0"/>
              <w:rPr>
                <w:sz w:val="20"/>
                <w:szCs w:val="20"/>
                <w:color w:val="auto"/>
              </w:rPr>
            </w:pPr>
            <w:r>
              <w:rPr>
                <w:rFonts w:ascii="Arial" w:cs="Arial" w:eastAsia="Arial" w:hAnsi="Arial"/>
                <w:sz w:val="11"/>
                <w:szCs w:val="11"/>
                <w:color w:val="0000FF"/>
                <w:w w:val="74"/>
              </w:rPr>
              <w:t>(1)</w:t>
            </w:r>
          </w:p>
        </w:tc>
        <w:tc>
          <w:tcPr>
            <w:tcW w:w="40" w:type="dxa"/>
            <w:vAlign w:val="bottom"/>
            <w:tcBorders>
              <w:bottom w:val="single" w:sz="8" w:color="0000FF"/>
            </w:tcBorders>
            <w:gridSpan w:val="2"/>
          </w:tcPr>
          <w:p>
            <w:pPr>
              <w:spacing w:after="0"/>
              <w:rPr>
                <w:sz w:val="20"/>
                <w:szCs w:val="20"/>
                <w:color w:val="auto"/>
              </w:rPr>
            </w:pPr>
            <w:r>
              <w:rPr>
                <w:rFonts w:ascii="Arial" w:cs="Arial" w:eastAsia="Arial" w:hAnsi="Arial"/>
                <w:sz w:val="7"/>
                <w:szCs w:val="7"/>
                <w:color w:val="0000FF"/>
                <w:w w:val="71"/>
              </w:rPr>
              <w:t>*</w:t>
            </w:r>
          </w:p>
        </w:tc>
        <w:tc>
          <w:tcPr>
            <w:tcW w:w="120" w:type="dxa"/>
            <w:vAlign w:val="bottom"/>
            <w:gridSpan w:val="2"/>
            <w:vMerge w:val="restart"/>
          </w:tcPr>
          <w:p>
            <w:pPr>
              <w:spacing w:after="0"/>
              <w:rPr>
                <w:sz w:val="19"/>
                <w:szCs w:val="19"/>
                <w:color w:val="auto"/>
              </w:rPr>
            </w:pPr>
          </w:p>
        </w:tc>
        <w:tc>
          <w:tcPr>
            <w:tcW w:w="3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120" w:type="dxa"/>
            <w:vAlign w:val="bottom"/>
            <w:gridSpan w:val="3"/>
            <w:vMerge w:val="restart"/>
          </w:tcPr>
          <w:p>
            <w:pPr>
              <w:spacing w:after="0"/>
              <w:rPr>
                <w:sz w:val="19"/>
                <w:szCs w:val="19"/>
                <w:color w:val="auto"/>
              </w:rPr>
            </w:pPr>
          </w:p>
        </w:tc>
        <w:tc>
          <w:tcPr>
            <w:tcW w:w="400" w:type="dxa"/>
            <w:vAlign w:val="bottom"/>
            <w:gridSpan w:val="5"/>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9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58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900" w:type="dxa"/>
            <w:vAlign w:val="bottom"/>
            <w:gridSpan w:val="4"/>
            <w:vMerge w:val="restart"/>
          </w:tcPr>
          <w:p>
            <w:pPr>
              <w:spacing w:after="0"/>
              <w:rPr>
                <w:sz w:val="19"/>
                <w:szCs w:val="19"/>
                <w:color w:val="auto"/>
              </w:rPr>
            </w:pPr>
          </w:p>
        </w:tc>
        <w:tc>
          <w:tcPr>
            <w:tcW w:w="14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400" w:type="dxa"/>
            <w:vAlign w:val="bottom"/>
            <w:gridSpan w:val="5"/>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960" w:type="dxa"/>
            <w:vAlign w:val="bottom"/>
          </w:tcPr>
          <w:p>
            <w:pPr>
              <w:spacing w:after="0"/>
              <w:rPr>
                <w:sz w:val="20"/>
                <w:szCs w:val="20"/>
                <w:color w:val="auto"/>
              </w:rPr>
            </w:pPr>
            <w:r>
              <w:rPr>
                <w:rFonts w:ascii="Arial" w:cs="Arial" w:eastAsia="Arial" w:hAnsi="Arial"/>
                <w:sz w:val="18"/>
                <w:szCs w:val="18"/>
                <w:color w:val="auto"/>
              </w:rPr>
              <w:t>10.6</w:t>
            </w:r>
          </w:p>
        </w:tc>
        <w:tc>
          <w:tcPr>
            <w:tcW w:w="4140" w:type="dxa"/>
            <w:vAlign w:val="bottom"/>
            <w:tcBorders>
              <w:bottom w:val="single" w:sz="8" w:color="0000FF"/>
            </w:tcBorders>
            <w:gridSpan w:val="15"/>
          </w:tcPr>
          <w:p>
            <w:pPr>
              <w:spacing w:after="0"/>
              <w:rPr>
                <w:rFonts w:ascii="Arial" w:cs="Arial" w:eastAsia="Arial" w:hAnsi="Arial"/>
                <w:sz w:val="18"/>
                <w:szCs w:val="18"/>
                <w:color w:val="0000FF"/>
                <w:w w:val="99"/>
              </w:rPr>
            </w:pPr>
            <w:hyperlink r:id="rId155">
              <w:r>
                <w:rPr>
                  <w:rFonts w:ascii="Arial" w:cs="Arial" w:eastAsia="Arial" w:hAnsi="Arial"/>
                  <w:sz w:val="18"/>
                  <w:szCs w:val="18"/>
                  <w:color w:val="0000FF"/>
                  <w:w w:val="99"/>
                </w:rPr>
                <w:t>The Lilly Deferred Compensation Plan, as amended</w:t>
              </w:r>
            </w:hyperlink>
          </w:p>
        </w:tc>
        <w:tc>
          <w:tcPr>
            <w:tcW w:w="140" w:type="dxa"/>
            <w:vAlign w:val="bottom"/>
            <w:gridSpan w:val="3"/>
          </w:tcPr>
          <w:p>
            <w:pPr>
              <w:jc w:val="right"/>
              <w:spacing w:after="0"/>
              <w:rPr>
                <w:rFonts w:ascii="Arial" w:cs="Arial" w:eastAsia="Arial" w:hAnsi="Arial"/>
                <w:sz w:val="12"/>
                <w:szCs w:val="12"/>
                <w:u w:val="single" w:color="auto"/>
                <w:color w:val="0000FF"/>
                <w:w w:val="81"/>
              </w:rPr>
            </w:pPr>
            <w:hyperlink r:id="rId155">
              <w:r>
                <w:rPr>
                  <w:rFonts w:ascii="Arial" w:cs="Arial" w:eastAsia="Arial" w:hAnsi="Arial"/>
                  <w:sz w:val="12"/>
                  <w:szCs w:val="12"/>
                  <w:u w:val="single" w:color="auto"/>
                  <w:color w:val="0000FF"/>
                  <w:w w:val="81"/>
                </w:rPr>
                <w:t>(1)</w:t>
              </w:r>
            </w:hyperlink>
          </w:p>
        </w:tc>
        <w:tc>
          <w:tcPr>
            <w:tcW w:w="4780" w:type="dxa"/>
            <w:vAlign w:val="bottom"/>
            <w:tcBorders>
              <w:bottom w:val="single" w:sz="8" w:color="0000FF"/>
            </w:tcBorders>
            <w:gridSpan w:val="30"/>
          </w:tcPr>
          <w:p>
            <w:pPr>
              <w:spacing w:after="0"/>
              <w:rPr>
                <w:rFonts w:ascii="Arial" w:cs="Arial" w:eastAsia="Arial" w:hAnsi="Arial"/>
                <w:sz w:val="18"/>
                <w:szCs w:val="18"/>
                <w:color w:val="0000FF"/>
                <w:w w:val="99"/>
              </w:rPr>
            </w:pPr>
            <w:hyperlink r:id="rId155">
              <w:r>
                <w:rPr>
                  <w:rFonts w:ascii="Arial" w:cs="Arial" w:eastAsia="Arial" w:hAnsi="Arial"/>
                  <w:sz w:val="18"/>
                  <w:szCs w:val="18"/>
                  <w:color w:val="0000FF"/>
                  <w:w w:val="99"/>
                </w:rPr>
                <w:t>, incorporated by reference to Exhibit 10.5 to the Company's</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5360" w:type="dxa"/>
            <w:vAlign w:val="bottom"/>
            <w:tcBorders>
              <w:bottom w:val="single" w:sz="8" w:color="0000FF"/>
            </w:tcBorders>
            <w:gridSpan w:val="31"/>
          </w:tcPr>
          <w:p>
            <w:pPr>
              <w:spacing w:after="0" w:line="169"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annual report on Form 10-K for the year ended December 31, 2013</w:t>
              </w:r>
            </w:hyperlink>
          </w:p>
        </w:tc>
        <w:tc>
          <w:tcPr>
            <w:tcW w:w="388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10.7</w:t>
            </w:r>
          </w:p>
        </w:tc>
        <w:tc>
          <w:tcPr>
            <w:tcW w:w="3680" w:type="dxa"/>
            <w:vAlign w:val="bottom"/>
            <w:tcBorders>
              <w:bottom w:val="single" w:sz="8" w:color="0000FF"/>
            </w:tcBorders>
            <w:gridSpan w:val="11"/>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The Lilly Directors' Deferral Plan, as amended</w:t>
              </w:r>
            </w:hyperlink>
          </w:p>
        </w:tc>
        <w:tc>
          <w:tcPr>
            <w:tcW w:w="140" w:type="dxa"/>
            <w:vAlign w:val="bottom"/>
            <w:gridSpan w:val="3"/>
          </w:tcPr>
          <w:p>
            <w:pPr>
              <w:jc w:val="right"/>
              <w:spacing w:after="0"/>
              <w:rPr>
                <w:rFonts w:ascii="Arial" w:cs="Arial" w:eastAsia="Arial" w:hAnsi="Arial"/>
                <w:sz w:val="12"/>
                <w:szCs w:val="12"/>
                <w:u w:val="single" w:color="auto"/>
                <w:color w:val="0000FF"/>
                <w:w w:val="81"/>
              </w:rPr>
            </w:pPr>
            <w:hyperlink r:id="rId156">
              <w:r>
                <w:rPr>
                  <w:rFonts w:ascii="Arial" w:cs="Arial" w:eastAsia="Arial" w:hAnsi="Arial"/>
                  <w:sz w:val="12"/>
                  <w:szCs w:val="12"/>
                  <w:u w:val="single" w:color="auto"/>
                  <w:color w:val="0000FF"/>
                  <w:w w:val="81"/>
                </w:rPr>
                <w:t>(1)</w:t>
              </w:r>
            </w:hyperlink>
          </w:p>
        </w:tc>
        <w:tc>
          <w:tcPr>
            <w:tcW w:w="5420" w:type="dxa"/>
            <w:vAlign w:val="bottom"/>
            <w:tcBorders>
              <w:bottom w:val="single" w:sz="8" w:color="0000FF"/>
            </w:tcBorders>
            <w:gridSpan w:val="37"/>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 incorporated by reference to Exhibit 10 to the Company's Quarterly</w:t>
              </w:r>
            </w:hyperlink>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3820" w:type="dxa"/>
            <w:vAlign w:val="bottom"/>
            <w:tcBorders>
              <w:bottom w:val="single" w:sz="8" w:color="0000FF"/>
            </w:tcBorders>
            <w:gridSpan w:val="14"/>
          </w:tcPr>
          <w:p>
            <w:pPr>
              <w:spacing w:after="0" w:line="169" w:lineRule="exact"/>
              <w:rPr>
                <w:rFonts w:ascii="Arial" w:cs="Arial" w:eastAsia="Arial" w:hAnsi="Arial"/>
                <w:sz w:val="18"/>
                <w:szCs w:val="18"/>
                <w:color w:val="0000FF"/>
                <w:w w:val="97"/>
              </w:rPr>
            </w:pPr>
            <w:hyperlink r:id="rId156">
              <w:r>
                <w:rPr>
                  <w:rFonts w:ascii="Arial" w:cs="Arial" w:eastAsia="Arial" w:hAnsi="Arial"/>
                  <w:sz w:val="18"/>
                  <w:szCs w:val="18"/>
                  <w:color w:val="0000FF"/>
                  <w:w w:val="97"/>
                </w:rPr>
                <w:t>Report on Form 10-Q for the quarter ended June</w:t>
              </w:r>
            </w:hyperlink>
          </w:p>
        </w:tc>
        <w:tc>
          <w:tcPr>
            <w:tcW w:w="820" w:type="dxa"/>
            <w:vAlign w:val="bottom"/>
            <w:tcBorders>
              <w:bottom w:val="single" w:sz="8" w:color="0000FF"/>
            </w:tcBorders>
            <w:gridSpan w:val="6"/>
          </w:tcPr>
          <w:p>
            <w:pPr>
              <w:jc w:val="right"/>
              <w:spacing w:after="0" w:line="169" w:lineRule="exact"/>
              <w:rPr>
                <w:rFonts w:ascii="Arial" w:cs="Arial" w:eastAsia="Arial" w:hAnsi="Arial"/>
                <w:sz w:val="18"/>
                <w:szCs w:val="18"/>
                <w:color w:val="0000FF"/>
              </w:rPr>
            </w:pPr>
            <w:hyperlink r:id="rId156">
              <w:r>
                <w:rPr>
                  <w:rFonts w:ascii="Arial" w:cs="Arial" w:eastAsia="Arial" w:hAnsi="Arial"/>
                  <w:sz w:val="18"/>
                  <w:szCs w:val="18"/>
                  <w:color w:val="0000FF"/>
                </w:rPr>
                <w:t>30, 2017</w:t>
              </w:r>
            </w:hyperlink>
          </w:p>
        </w:tc>
        <w:tc>
          <w:tcPr>
            <w:tcW w:w="1780" w:type="dxa"/>
            <w:vAlign w:val="bottom"/>
            <w:gridSpan w:val="17"/>
          </w:tcPr>
          <w:p>
            <w:pPr>
              <w:spacing w:after="0"/>
              <w:rPr>
                <w:sz w:val="14"/>
                <w:szCs w:val="14"/>
                <w:color w:val="auto"/>
              </w:rPr>
            </w:pPr>
          </w:p>
        </w:tc>
        <w:tc>
          <w:tcPr>
            <w:tcW w:w="28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10.8</w:t>
            </w:r>
          </w:p>
        </w:tc>
        <w:tc>
          <w:tcPr>
            <w:tcW w:w="4160" w:type="dxa"/>
            <w:vAlign w:val="bottom"/>
            <w:tcBorders>
              <w:bottom w:val="single" w:sz="8" w:color="0000FF"/>
            </w:tcBorders>
            <w:gridSpan w:val="16"/>
          </w:tcPr>
          <w:p>
            <w:pPr>
              <w:spacing w:after="0"/>
              <w:rPr>
                <w:rFonts w:ascii="Arial" w:cs="Arial" w:eastAsia="Arial" w:hAnsi="Arial"/>
                <w:sz w:val="18"/>
                <w:szCs w:val="18"/>
                <w:color w:val="0000FF"/>
                <w:w w:val="99"/>
              </w:rPr>
            </w:pPr>
            <w:hyperlink r:id="rId157">
              <w:r>
                <w:rPr>
                  <w:rFonts w:ascii="Arial" w:cs="Arial" w:eastAsia="Arial" w:hAnsi="Arial"/>
                  <w:sz w:val="18"/>
                  <w:szCs w:val="18"/>
                  <w:color w:val="0000FF"/>
                  <w:w w:val="99"/>
                </w:rPr>
                <w:t>The Eli Lilly and Company Bonus Plan, as amended</w:t>
              </w:r>
            </w:hyperlink>
          </w:p>
        </w:tc>
        <w:tc>
          <w:tcPr>
            <w:tcW w:w="140" w:type="dxa"/>
            <w:vAlign w:val="bottom"/>
            <w:gridSpan w:val="3"/>
          </w:tcPr>
          <w:p>
            <w:pPr>
              <w:jc w:val="right"/>
              <w:spacing w:after="0"/>
              <w:rPr>
                <w:rFonts w:ascii="Arial" w:cs="Arial" w:eastAsia="Arial" w:hAnsi="Arial"/>
                <w:sz w:val="12"/>
                <w:szCs w:val="12"/>
                <w:u w:val="single" w:color="auto"/>
                <w:color w:val="0000FF"/>
                <w:w w:val="81"/>
              </w:rPr>
            </w:pPr>
            <w:hyperlink r:id="rId157">
              <w:r>
                <w:rPr>
                  <w:rFonts w:ascii="Arial" w:cs="Arial" w:eastAsia="Arial" w:hAnsi="Arial"/>
                  <w:sz w:val="12"/>
                  <w:szCs w:val="12"/>
                  <w:u w:val="single" w:color="auto"/>
                  <w:color w:val="0000FF"/>
                  <w:w w:val="81"/>
                </w:rPr>
                <w:t>(1)</w:t>
              </w:r>
            </w:hyperlink>
          </w:p>
        </w:tc>
        <w:tc>
          <w:tcPr>
            <w:tcW w:w="4880" w:type="dxa"/>
            <w:vAlign w:val="bottom"/>
            <w:tcBorders>
              <w:bottom w:val="single" w:sz="8" w:color="0000FF"/>
            </w:tcBorders>
            <w:gridSpan w:val="31"/>
          </w:tcPr>
          <w:p>
            <w:pPr>
              <w:spacing w:after="0"/>
              <w:rPr>
                <w:rFonts w:ascii="Arial" w:cs="Arial" w:eastAsia="Arial" w:hAnsi="Arial"/>
                <w:sz w:val="18"/>
                <w:szCs w:val="18"/>
                <w:color w:val="0000FF"/>
                <w:w w:val="99"/>
              </w:rPr>
            </w:pPr>
            <w:hyperlink r:id="rId157">
              <w:r>
                <w:rPr>
                  <w:rFonts w:ascii="Arial" w:cs="Arial" w:eastAsia="Arial" w:hAnsi="Arial"/>
                  <w:sz w:val="18"/>
                  <w:szCs w:val="18"/>
                  <w:color w:val="0000FF"/>
                  <w:w w:val="99"/>
                </w:rPr>
                <w:t>, incorporated by reference to Exhibit 10.14 to the Company's</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9240" w:type="dxa"/>
            <w:vAlign w:val="bottom"/>
            <w:gridSpan w:val="51"/>
          </w:tcPr>
          <w:p>
            <w:pPr>
              <w:spacing w:after="0" w:line="169" w:lineRule="exact"/>
              <w:rPr>
                <w:rFonts w:ascii="Arial" w:cs="Arial" w:eastAsia="Arial" w:hAnsi="Arial"/>
                <w:sz w:val="18"/>
                <w:szCs w:val="18"/>
                <w:color w:val="0000FF"/>
              </w:rPr>
            </w:pPr>
            <w:hyperlink r:id="rId157">
              <w:r>
                <w:rPr>
                  <w:rFonts w:ascii="Arial" w:cs="Arial" w:eastAsia="Arial" w:hAnsi="Arial"/>
                  <w:sz w:val="18"/>
                  <w:szCs w:val="18"/>
                  <w:color w:val="0000FF"/>
                </w:rPr>
                <w:t>Annual Report on Form 10-K for the year ended December 31, 2020</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4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10.9</w:t>
            </w:r>
          </w:p>
        </w:tc>
        <w:tc>
          <w:tcPr>
            <w:tcW w:w="2920" w:type="dxa"/>
            <w:vAlign w:val="bottom"/>
            <w:tcBorders>
              <w:bottom w:val="single" w:sz="8" w:color="0000FF"/>
            </w:tcBorders>
            <w:gridSpan w:val="4"/>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The Loxo Oncology, Inc. Bonus Plan</w:t>
              </w:r>
            </w:hyperlink>
          </w:p>
        </w:tc>
        <w:tc>
          <w:tcPr>
            <w:tcW w:w="140" w:type="dxa"/>
            <w:vAlign w:val="bottom"/>
          </w:tcPr>
          <w:p>
            <w:pPr>
              <w:jc w:val="right"/>
              <w:spacing w:after="0"/>
              <w:rPr>
                <w:rFonts w:ascii="Arial" w:cs="Arial" w:eastAsia="Arial" w:hAnsi="Arial"/>
                <w:sz w:val="12"/>
                <w:szCs w:val="12"/>
                <w:u w:val="single" w:color="auto"/>
                <w:color w:val="0000FF"/>
                <w:w w:val="81"/>
              </w:rPr>
            </w:pPr>
            <w:hyperlink r:id="rId158">
              <w:r>
                <w:rPr>
                  <w:rFonts w:ascii="Arial" w:cs="Arial" w:eastAsia="Arial" w:hAnsi="Arial"/>
                  <w:sz w:val="12"/>
                  <w:szCs w:val="12"/>
                  <w:u w:val="single" w:color="auto"/>
                  <w:color w:val="0000FF"/>
                  <w:w w:val="81"/>
                </w:rPr>
                <w:t>(1)</w:t>
              </w:r>
            </w:hyperlink>
          </w:p>
        </w:tc>
        <w:tc>
          <w:tcPr>
            <w:tcW w:w="6080" w:type="dxa"/>
            <w:vAlign w:val="bottom"/>
            <w:tcBorders>
              <w:bottom w:val="single" w:sz="8" w:color="0000FF"/>
            </w:tcBorders>
            <w:gridSpan w:val="44"/>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 incorporated by reference to Exhibit 10.17 to the Company's Annual Report</w:t>
              </w:r>
            </w:hyperlink>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9240" w:type="dxa"/>
            <w:vAlign w:val="bottom"/>
            <w:gridSpan w:val="51"/>
          </w:tcPr>
          <w:p>
            <w:pPr>
              <w:spacing w:after="0" w:line="169" w:lineRule="exact"/>
              <w:rPr>
                <w:rFonts w:ascii="Arial" w:cs="Arial" w:eastAsia="Arial" w:hAnsi="Arial"/>
                <w:sz w:val="18"/>
                <w:szCs w:val="18"/>
                <w:color w:val="0000FF"/>
              </w:rPr>
            </w:pPr>
            <w:hyperlink r:id="rId158">
              <w:r>
                <w:rPr>
                  <w:rFonts w:ascii="Arial" w:cs="Arial" w:eastAsia="Arial" w:hAnsi="Arial"/>
                  <w:sz w:val="18"/>
                  <w:szCs w:val="18"/>
                  <w:color w:val="0000FF"/>
                </w:rPr>
                <w:t>on Form 10-K for the year ended December 31, 2021</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10.10</w:t>
            </w:r>
          </w:p>
        </w:tc>
        <w:tc>
          <w:tcPr>
            <w:tcW w:w="6440" w:type="dxa"/>
            <w:vAlign w:val="bottom"/>
            <w:tcBorders>
              <w:bottom w:val="single" w:sz="8" w:color="0000FF"/>
            </w:tcBorders>
            <w:gridSpan w:val="38"/>
          </w:tcPr>
          <w:p>
            <w:pPr>
              <w:spacing w:after="0"/>
              <w:rPr>
                <w:rFonts w:ascii="Arial" w:cs="Arial" w:eastAsia="Arial" w:hAnsi="Arial"/>
                <w:sz w:val="18"/>
                <w:szCs w:val="18"/>
                <w:color w:val="0000FF"/>
                <w:w w:val="99"/>
              </w:rPr>
            </w:pPr>
            <w:hyperlink r:id="rId159">
              <w:r>
                <w:rPr>
                  <w:rFonts w:ascii="Arial" w:cs="Arial" w:eastAsia="Arial" w:hAnsi="Arial"/>
                  <w:sz w:val="18"/>
                  <w:szCs w:val="18"/>
                  <w:color w:val="0000FF"/>
                  <w:w w:val="99"/>
                </w:rPr>
                <w:t>2007 Change in Control Severance Pay Plan for Select Employees, as amended</w:t>
              </w:r>
            </w:hyperlink>
          </w:p>
        </w:tc>
        <w:tc>
          <w:tcPr>
            <w:tcW w:w="120" w:type="dxa"/>
            <w:vAlign w:val="bottom"/>
          </w:tcPr>
          <w:p>
            <w:pPr>
              <w:jc w:val="right"/>
              <w:spacing w:after="0"/>
              <w:rPr>
                <w:rFonts w:ascii="Arial" w:cs="Arial" w:eastAsia="Arial" w:hAnsi="Arial"/>
                <w:sz w:val="11"/>
                <w:szCs w:val="11"/>
                <w:color w:val="0000FF"/>
                <w:w w:val="74"/>
              </w:rPr>
            </w:pPr>
            <w:hyperlink r:id="rId159">
              <w:r>
                <w:rPr>
                  <w:rFonts w:ascii="Arial" w:cs="Arial" w:eastAsia="Arial" w:hAnsi="Arial"/>
                  <w:sz w:val="11"/>
                  <w:szCs w:val="11"/>
                  <w:color w:val="0000FF"/>
                  <w:w w:val="74"/>
                </w:rPr>
                <w:t>(1)</w:t>
              </w:r>
            </w:hyperlink>
          </w:p>
        </w:tc>
        <w:tc>
          <w:tcPr>
            <w:tcW w:w="2360" w:type="dxa"/>
            <w:vAlign w:val="bottom"/>
            <w:tcBorders>
              <w:bottom w:val="single" w:sz="8" w:color="0000FF"/>
            </w:tcBorders>
            <w:gridSpan w:val="7"/>
          </w:tcPr>
          <w:p>
            <w:pPr>
              <w:spacing w:after="0"/>
              <w:rPr>
                <w:rFonts w:ascii="Arial" w:cs="Arial" w:eastAsia="Arial" w:hAnsi="Arial"/>
                <w:sz w:val="18"/>
                <w:szCs w:val="18"/>
                <w:color w:val="0000FF"/>
                <w:w w:val="99"/>
              </w:rPr>
            </w:pPr>
            <w:hyperlink r:id="rId159">
              <w:r>
                <w:rPr>
                  <w:rFonts w:ascii="Arial" w:cs="Arial" w:eastAsia="Arial" w:hAnsi="Arial"/>
                  <w:sz w:val="18"/>
                  <w:szCs w:val="18"/>
                  <w:color w:val="0000FF"/>
                  <w:w w:val="99"/>
                </w:rPr>
                <w:t>, incorporated by reference to</w:t>
              </w:r>
            </w:hyperlink>
          </w:p>
        </w:tc>
        <w:tc>
          <w:tcPr>
            <w:tcW w:w="3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6420" w:type="dxa"/>
            <w:vAlign w:val="bottom"/>
            <w:gridSpan w:val="37"/>
            <w:vMerge w:val="restart"/>
          </w:tcPr>
          <w:p>
            <w:pPr>
              <w:spacing w:after="0" w:line="169" w:lineRule="exact"/>
              <w:rPr>
                <w:rFonts w:ascii="Arial" w:cs="Arial" w:eastAsia="Arial" w:hAnsi="Arial"/>
                <w:sz w:val="18"/>
                <w:szCs w:val="18"/>
                <w:color w:val="0000FF"/>
              </w:rPr>
            </w:pPr>
            <w:hyperlink r:id="rId159">
              <w:r>
                <w:rPr>
                  <w:rFonts w:ascii="Arial" w:cs="Arial" w:eastAsia="Arial" w:hAnsi="Arial"/>
                  <w:sz w:val="18"/>
                  <w:szCs w:val="18"/>
                  <w:color w:val="0000FF"/>
                </w:rPr>
                <w:t>Exhibit 10.15 to the Company's Annual Report on Form 10-K for the year ended</w:t>
              </w:r>
            </w:hyperlink>
          </w:p>
        </w:tc>
        <w:tc>
          <w:tcPr>
            <w:tcW w:w="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1420" w:type="dxa"/>
            <w:vAlign w:val="bottom"/>
            <w:gridSpan w:val="2"/>
            <w:vMerge w:val="restart"/>
          </w:tcPr>
          <w:p>
            <w:pPr>
              <w:spacing w:after="0" w:line="169" w:lineRule="exact"/>
              <w:rPr>
                <w:rFonts w:ascii="Arial" w:cs="Arial" w:eastAsia="Arial" w:hAnsi="Arial"/>
                <w:sz w:val="18"/>
                <w:szCs w:val="18"/>
                <w:color w:val="0000FF"/>
                <w:w w:val="88"/>
              </w:rPr>
            </w:pPr>
            <w:hyperlink r:id="rId159">
              <w:r>
                <w:rPr>
                  <w:rFonts w:ascii="Arial" w:cs="Arial" w:eastAsia="Arial" w:hAnsi="Arial"/>
                  <w:sz w:val="18"/>
                  <w:szCs w:val="18"/>
                  <w:color w:val="0000FF"/>
                  <w:w w:val="88"/>
                </w:rPr>
                <w:t>December 31, 2020</w:t>
              </w:r>
            </w:hyperlink>
          </w:p>
        </w:tc>
        <w:tc>
          <w:tcPr>
            <w:tcW w:w="940" w:type="dxa"/>
            <w:vAlign w:val="bottom"/>
            <w:gridSpan w:val="5"/>
            <w:vMerge w:val="restart"/>
          </w:tcPr>
          <w:p>
            <w:pPr>
              <w:spacing w:after="0"/>
              <w:rPr>
                <w:sz w:val="2"/>
                <w:szCs w:val="2"/>
                <w:color w:val="auto"/>
              </w:rPr>
            </w:pPr>
          </w:p>
        </w:tc>
        <w:tc>
          <w:tcPr>
            <w:tcW w:w="32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60" w:type="dxa"/>
            <w:vAlign w:val="bottom"/>
          </w:tcPr>
          <w:p>
            <w:pPr>
              <w:spacing w:after="0"/>
              <w:rPr>
                <w:sz w:val="10"/>
                <w:szCs w:val="10"/>
                <w:color w:val="auto"/>
              </w:rPr>
            </w:pPr>
          </w:p>
        </w:tc>
        <w:tc>
          <w:tcPr>
            <w:tcW w:w="6420" w:type="dxa"/>
            <w:vAlign w:val="bottom"/>
            <w:tcBorders>
              <w:bottom w:val="single" w:sz="8" w:color="0000FF"/>
            </w:tcBorders>
            <w:gridSpan w:val="37"/>
            <w:vMerge w:val="continue"/>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20" w:type="dxa"/>
            <w:vAlign w:val="bottom"/>
            <w:tcBorders>
              <w:bottom w:val="single" w:sz="8" w:color="0000FF"/>
            </w:tcBorders>
          </w:tcPr>
          <w:p>
            <w:pPr>
              <w:spacing w:after="0"/>
              <w:rPr>
                <w:sz w:val="10"/>
                <w:szCs w:val="10"/>
                <w:color w:val="auto"/>
              </w:rPr>
            </w:pPr>
          </w:p>
        </w:tc>
        <w:tc>
          <w:tcPr>
            <w:tcW w:w="1420" w:type="dxa"/>
            <w:vAlign w:val="bottom"/>
            <w:tcBorders>
              <w:bottom w:val="single" w:sz="8" w:color="0000FF"/>
            </w:tcBorders>
            <w:gridSpan w:val="2"/>
            <w:vMerge w:val="continue"/>
          </w:tcPr>
          <w:p>
            <w:pPr>
              <w:spacing w:after="0"/>
              <w:rPr>
                <w:sz w:val="10"/>
                <w:szCs w:val="10"/>
                <w:color w:val="auto"/>
              </w:rPr>
            </w:pPr>
          </w:p>
        </w:tc>
        <w:tc>
          <w:tcPr>
            <w:tcW w:w="9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21</w:t>
            </w:r>
          </w:p>
        </w:tc>
        <w:tc>
          <w:tcPr>
            <w:tcW w:w="9240" w:type="dxa"/>
            <w:vAlign w:val="bottom"/>
            <w:gridSpan w:val="51"/>
          </w:tcPr>
          <w:p>
            <w:pPr>
              <w:spacing w:after="0"/>
              <w:rPr>
                <w:sz w:val="20"/>
                <w:szCs w:val="20"/>
                <w:color w:val="auto"/>
              </w:rPr>
            </w:pPr>
            <w:r>
              <w:rPr>
                <w:rFonts w:ascii="Arial" w:cs="Arial" w:eastAsia="Arial" w:hAnsi="Arial"/>
                <w:sz w:val="18"/>
                <w:szCs w:val="18"/>
                <w:color w:val="0000FF"/>
              </w:rPr>
              <w:t>List of Subsidiaries*</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23</w:t>
            </w:r>
          </w:p>
        </w:tc>
        <w:tc>
          <w:tcPr>
            <w:tcW w:w="48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440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31.1</w:t>
            </w:r>
          </w:p>
        </w:tc>
        <w:tc>
          <w:tcPr>
            <w:tcW w:w="7140" w:type="dxa"/>
            <w:vAlign w:val="bottom"/>
            <w:tcBorders>
              <w:bottom w:val="single" w:sz="8" w:color="0000FF"/>
            </w:tcBorders>
            <w:gridSpan w:val="40"/>
          </w:tcPr>
          <w:p>
            <w:pPr>
              <w:spacing w:after="0"/>
              <w:rPr>
                <w:sz w:val="20"/>
                <w:szCs w:val="20"/>
                <w:color w:val="auto"/>
              </w:rPr>
            </w:pPr>
            <w:r>
              <w:rPr>
                <w:rFonts w:ascii="Arial" w:cs="Arial" w:eastAsia="Arial" w:hAnsi="Arial"/>
                <w:sz w:val="18"/>
                <w:szCs w:val="18"/>
                <w:color w:val="0000FF"/>
                <w:w w:val="99"/>
              </w:rPr>
              <w:t>Rule 13a-14(a) Certification of David Ricks, Chair, President, and Chief Executive Officer*</w:t>
            </w:r>
          </w:p>
        </w:tc>
        <w:tc>
          <w:tcPr>
            <w:tcW w:w="21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9240" w:type="dxa"/>
            <w:vAlign w:val="bottom"/>
            <w:gridSpan w:val="51"/>
          </w:tcPr>
          <w:p>
            <w:pPr>
              <w:spacing w:after="0"/>
              <w:rPr>
                <w:sz w:val="20"/>
                <w:szCs w:val="20"/>
                <w:color w:val="auto"/>
              </w:rPr>
            </w:pPr>
            <w:r>
              <w:rPr>
                <w:rFonts w:ascii="Arial" w:cs="Arial" w:eastAsia="Arial" w:hAnsi="Arial"/>
                <w:sz w:val="18"/>
                <w:szCs w:val="18"/>
                <w:color w:val="0000FF"/>
              </w:rPr>
              <w:t>Rule 13a-14(a) Certification of Anat Ashkenazi, Executive Vice President and Chief Financial Officer*</w:t>
            </w: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8"/>
                <w:szCs w:val="18"/>
                <w:color w:val="auto"/>
              </w:rPr>
              <w:t>32</w:t>
            </w:r>
          </w:p>
        </w:tc>
        <w:tc>
          <w:tcPr>
            <w:tcW w:w="8020" w:type="dxa"/>
            <w:vAlign w:val="bottom"/>
            <w:tcBorders>
              <w:top w:val="single" w:sz="8" w:color="0000FF"/>
            </w:tcBorders>
            <w:gridSpan w:val="42"/>
          </w:tcPr>
          <w:p>
            <w:pPr>
              <w:spacing w:after="0"/>
              <w:rPr>
                <w:sz w:val="20"/>
                <w:szCs w:val="20"/>
                <w:color w:val="auto"/>
              </w:rPr>
            </w:pPr>
            <w:r>
              <w:rPr>
                <w:rFonts w:ascii="Arial" w:cs="Arial" w:eastAsia="Arial" w:hAnsi="Arial"/>
                <w:sz w:val="18"/>
                <w:szCs w:val="18"/>
                <w:color w:val="0000FF"/>
              </w:rPr>
              <w:t>Section 1350 Certification*</w:t>
            </w:r>
          </w:p>
        </w:tc>
        <w:tc>
          <w:tcPr>
            <w:tcW w:w="12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21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Interactive Data File*</w:t>
            </w:r>
          </w:p>
        </w:tc>
        <w:tc>
          <w:tcPr>
            <w:tcW w:w="7120" w:type="dxa"/>
            <w:vAlign w:val="bottom"/>
            <w:gridSpan w:val="4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104</w:t>
            </w:r>
          </w:p>
        </w:tc>
        <w:tc>
          <w:tcPr>
            <w:tcW w:w="9240" w:type="dxa"/>
            <w:vAlign w:val="bottom"/>
            <w:gridSpan w:val="51"/>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7600" w:firstLine="8"/>
        <w:spacing w:after="0" w:line="305" w:lineRule="auto"/>
        <w:tabs>
          <w:tab w:leader="none" w:pos="150" w:val="left"/>
        </w:tabs>
        <w:numPr>
          <w:ilvl w:val="0"/>
          <w:numId w:val="61"/>
        </w:numPr>
        <w:rPr>
          <w:rFonts w:ascii="Arial" w:cs="Arial" w:eastAsia="Arial" w:hAnsi="Arial"/>
          <w:sz w:val="9"/>
          <w:szCs w:val="9"/>
          <w:color w:val="auto"/>
        </w:rPr>
      </w:pPr>
      <w:r>
        <w:rPr>
          <w:rFonts w:ascii="Arial" w:cs="Arial" w:eastAsia="Arial" w:hAnsi="Arial"/>
          <w:sz w:val="14"/>
          <w:szCs w:val="14"/>
          <w:color w:val="auto"/>
        </w:rPr>
        <w:t>Indicates management contract or compensatory plan. * Filed herewith.</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16. Form 10-K Summary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 Lilly and Company</w:t>
      </w:r>
    </w:p>
    <w:p>
      <w:pPr>
        <w:spacing w:after="0" w:line="250" w:lineRule="exact"/>
        <w:rPr>
          <w:sz w:val="20"/>
          <w:szCs w:val="20"/>
          <w:color w:val="auto"/>
        </w:rPr>
      </w:pPr>
    </w:p>
    <w:p>
      <w:pPr>
        <w:ind w:left="20"/>
        <w:spacing w:after="0"/>
        <w:tabs>
          <w:tab w:leader="none" w:pos="620" w:val="left"/>
          <w:tab w:leader="none" w:pos="10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tab/>
        <w:t>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17780</wp:posOffset>
            </wp:positionV>
            <wp:extent cx="39001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David Ricks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President, and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22" w:right="439" w:bottom="1440" w:gutter="0" w:footer="0" w:header="0"/>
        </w:sectPr>
      </w:pPr>
    </w:p>
    <w:bookmarkStart w:id="118" w:name="page119"/>
    <w:bookmarkEnd w:id="118"/>
    <w:p>
      <w:pPr>
        <w:ind w:right="66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22, 2023 by the following persons on behalf of the Registrant and in the capacities indicated.</w:t>
      </w:r>
    </w:p>
    <w:p>
      <w:pPr>
        <w:spacing w:after="0" w:line="82" w:lineRule="exact"/>
        <w:rPr>
          <w:sz w:val="20"/>
          <w:szCs w:val="20"/>
          <w:color w:val="auto"/>
        </w:rPr>
      </w:pPr>
    </w:p>
    <w:p>
      <w:pPr>
        <w:ind w:left="2560"/>
        <w:spacing w:after="0"/>
        <w:tabs>
          <w:tab w:leader="none" w:pos="84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08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86" w:lineRule="exact"/>
        <w:rPr>
          <w:sz w:val="20"/>
          <w:szCs w:val="20"/>
          <w:color w:val="auto"/>
        </w:rPr>
      </w:pPr>
    </w:p>
    <w:p>
      <w:pPr>
        <w:jc w:val="center"/>
        <w:ind w:left="760"/>
        <w:spacing w:after="0"/>
        <w:tabs>
          <w:tab w:leader="none" w:pos="180" w:val="left"/>
        </w:tabs>
        <w:rPr>
          <w:sz w:val="20"/>
          <w:szCs w:val="20"/>
          <w:color w:val="auto"/>
        </w:rPr>
      </w:pPr>
      <w:r>
        <w:rPr>
          <w:rFonts w:ascii="Arial" w:cs="Arial" w:eastAsia="Arial" w:hAnsi="Arial"/>
          <w:sz w:val="18"/>
          <w:szCs w:val="18"/>
          <w:color w:val="auto"/>
        </w:rPr>
        <w:t>/s/</w:t>
        <w:tab/>
        <w:t>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DAVID RICKS</w:t>
      </w:r>
    </w:p>
    <w:p>
      <w:pPr>
        <w:spacing w:after="0" w:line="90" w:lineRule="exact"/>
        <w:rPr>
          <w:sz w:val="20"/>
          <w:szCs w:val="20"/>
          <w:color w:val="auto"/>
        </w:rPr>
      </w:pPr>
    </w:p>
    <w:p>
      <w:pPr>
        <w:ind w:left="2060"/>
        <w:spacing w:after="0"/>
        <w:tabs>
          <w:tab w:leader="none" w:pos="2420" w:val="left"/>
        </w:tabs>
        <w:rPr>
          <w:sz w:val="20"/>
          <w:szCs w:val="20"/>
          <w:color w:val="auto"/>
        </w:rPr>
      </w:pPr>
      <w:r>
        <w:rPr>
          <w:rFonts w:ascii="Arial" w:cs="Arial" w:eastAsia="Arial" w:hAnsi="Arial"/>
          <w:sz w:val="18"/>
          <w:szCs w:val="18"/>
          <w:color w:val="auto"/>
        </w:rPr>
        <w:t>/s/</w:t>
        <w:tab/>
        <w:t>Anat Ashkenazi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ANAT ASHKENAZI</w:t>
      </w:r>
    </w:p>
    <w:p>
      <w:pPr>
        <w:spacing w:after="0" w:line="90" w:lineRule="exact"/>
        <w:rPr>
          <w:sz w:val="20"/>
          <w:szCs w:val="20"/>
          <w:color w:val="auto"/>
        </w:rPr>
      </w:pPr>
    </w:p>
    <w:p>
      <w:pPr>
        <w:ind w:left="1980"/>
        <w:spacing w:after="0"/>
        <w:tabs>
          <w:tab w:leader="none" w:pos="2340" w:val="left"/>
        </w:tabs>
        <w:rPr>
          <w:sz w:val="20"/>
          <w:szCs w:val="20"/>
          <w:color w:val="auto"/>
        </w:rPr>
      </w:pPr>
      <w:r>
        <w:rPr>
          <w:rFonts w:ascii="Arial" w:cs="Arial" w:eastAsia="Arial" w:hAnsi="Arial"/>
          <w:sz w:val="18"/>
          <w:szCs w:val="18"/>
          <w:color w:val="auto"/>
        </w:rPr>
        <w:t>/s/</w:t>
        <w:tab/>
        <w:t>Donald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DONALD ZAKROWSKI</w:t>
      </w:r>
    </w:p>
    <w:p>
      <w:pPr>
        <w:spacing w:after="0" w:line="102" w:lineRule="exact"/>
        <w:rPr>
          <w:sz w:val="20"/>
          <w:szCs w:val="20"/>
          <w:color w:val="auto"/>
        </w:rPr>
      </w:pPr>
    </w:p>
    <w:p>
      <w:pPr>
        <w:ind w:left="2120"/>
        <w:spacing w:after="0"/>
        <w:tabs>
          <w:tab w:leader="none" w:pos="250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518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Chair, President, and Chief Executive Officer (principal executive officer)</w:t>
      </w:r>
    </w:p>
    <w:p>
      <w:pPr>
        <w:spacing w:after="0" w:line="15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53"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Senior Vice President, Finance, and Chief Accounting Officer (principal accounting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20" w:lineRule="exact"/>
        <w:rPr>
          <w:sz w:val="20"/>
          <w:szCs w:val="20"/>
          <w:color w:val="auto"/>
        </w:rPr>
      </w:pPr>
    </w:p>
    <w:p>
      <w:pPr>
        <w:sectPr>
          <w:pgSz w:w="11900" w:h="16838" w:orient="portrait"/>
          <w:cols w:equalWidth="0" w:num="2">
            <w:col w:w="5280" w:space="720"/>
            <w:col w:w="5240"/>
          </w:cols>
          <w:pgMar w:left="320" w:top="1147"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19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color w:val="auto"/>
                <w:w w:val="99"/>
              </w:rPr>
              <w:t>Katherine Baicker, Ph.D.</w:t>
            </w:r>
          </w:p>
        </w:tc>
        <w:tc>
          <w:tcPr>
            <w:tcW w:w="880" w:type="dxa"/>
            <w:vAlign w:val="bottom"/>
            <w:tcBorders>
              <w:bottom w:val="single" w:sz="8" w:color="auto"/>
            </w:tcBorders>
          </w:tcPr>
          <w:p>
            <w:pPr>
              <w:spacing w:after="0"/>
              <w:rPr>
                <w:sz w:val="20"/>
                <w:szCs w:val="20"/>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4"/>
          </w:tcPr>
          <w:p>
            <w:pPr>
              <w:jc w:val="center"/>
              <w:ind w:left="790"/>
              <w:spacing w:after="0"/>
              <w:rPr>
                <w:sz w:val="20"/>
                <w:szCs w:val="20"/>
                <w:color w:val="auto"/>
              </w:rPr>
            </w:pPr>
            <w:r>
              <w:rPr>
                <w:rFonts w:ascii="Arial" w:cs="Arial" w:eastAsia="Arial" w:hAnsi="Arial"/>
                <w:sz w:val="18"/>
                <w:szCs w:val="18"/>
                <w:color w:val="auto"/>
                <w:w w:val="99"/>
              </w:rPr>
              <w:t>KATHERINE BAICKER, Ph.D.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center"/>
              <w:ind w:right="1050"/>
              <w:spacing w:after="0"/>
              <w:rPr>
                <w:sz w:val="20"/>
                <w:szCs w:val="20"/>
                <w:color w:val="auto"/>
              </w:rPr>
            </w:pPr>
            <w:r>
              <w:rPr>
                <w:rFonts w:ascii="Arial" w:cs="Arial" w:eastAsia="Arial" w:hAnsi="Arial"/>
                <w:sz w:val="18"/>
                <w:szCs w:val="18"/>
                <w:color w:val="auto"/>
              </w:rPr>
              <w:t>Erik Fyrwald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jc w:val="center"/>
              <w:ind w:right="1170"/>
              <w:spacing w:after="0"/>
              <w:rPr>
                <w:sz w:val="20"/>
                <w:szCs w:val="20"/>
                <w:color w:val="auto"/>
              </w:rPr>
            </w:pPr>
            <w:r>
              <w:rPr>
                <w:rFonts w:ascii="Arial" w:cs="Arial" w:eastAsia="Arial" w:hAnsi="Arial"/>
                <w:sz w:val="18"/>
                <w:szCs w:val="18"/>
                <w:color w:val="auto"/>
                <w:w w:val="99"/>
              </w:rPr>
              <w:t>ERIK FYRWALD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color w:val="auto"/>
                <w:w w:val="98"/>
              </w:rPr>
              <w:t>Mary Lynne Hedley, Ph.D.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4"/>
          </w:tcPr>
          <w:p>
            <w:pPr>
              <w:jc w:val="center"/>
              <w:ind w:left="810"/>
              <w:spacing w:after="0"/>
              <w:rPr>
                <w:sz w:val="20"/>
                <w:szCs w:val="20"/>
                <w:color w:val="auto"/>
              </w:rPr>
            </w:pPr>
            <w:r>
              <w:rPr>
                <w:rFonts w:ascii="Arial" w:cs="Arial" w:eastAsia="Arial" w:hAnsi="Arial"/>
                <w:sz w:val="18"/>
                <w:szCs w:val="18"/>
                <w:color w:val="auto"/>
                <w:w w:val="98"/>
              </w:rPr>
              <w:t>MARY LYNNE HEDLEY, Ph. 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center"/>
              <w:ind w:right="1050"/>
              <w:spacing w:after="0"/>
              <w:rPr>
                <w:sz w:val="20"/>
                <w:szCs w:val="20"/>
                <w:color w:val="auto"/>
              </w:rPr>
            </w:pPr>
            <w:r>
              <w:rPr>
                <w:rFonts w:ascii="Arial" w:cs="Arial" w:eastAsia="Arial" w:hAnsi="Arial"/>
                <w:sz w:val="18"/>
                <w:szCs w:val="18"/>
                <w:color w:val="auto"/>
              </w:rPr>
              <w:t>Jamere Jackson</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940" w:type="dxa"/>
            <w:vAlign w:val="bottom"/>
            <w:gridSpan w:val="3"/>
          </w:tcPr>
          <w:p>
            <w:pPr>
              <w:jc w:val="center"/>
              <w:ind w:right="970"/>
              <w:spacing w:after="0"/>
              <w:rPr>
                <w:sz w:val="20"/>
                <w:szCs w:val="20"/>
                <w:color w:val="auto"/>
              </w:rPr>
            </w:pPr>
            <w:r>
              <w:rPr>
                <w:rFonts w:ascii="Arial" w:cs="Arial" w:eastAsia="Arial" w:hAnsi="Arial"/>
                <w:sz w:val="18"/>
                <w:szCs w:val="18"/>
                <w:color w:val="auto"/>
              </w:rPr>
              <w:t>JAMERE JACKSON</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gridSpan w:val="2"/>
          </w:tcPr>
          <w:p>
            <w:pPr>
              <w:jc w:val="center"/>
              <w:ind w:right="790"/>
              <w:spacing w:after="0"/>
              <w:rPr>
                <w:sz w:val="20"/>
                <w:szCs w:val="20"/>
                <w:color w:val="auto"/>
              </w:rPr>
            </w:pPr>
            <w:r>
              <w:rPr>
                <w:rFonts w:ascii="Arial" w:cs="Arial" w:eastAsia="Arial" w:hAnsi="Arial"/>
                <w:sz w:val="18"/>
                <w:szCs w:val="18"/>
                <w:color w:val="auto"/>
              </w:rPr>
              <w:t>Kimberly Johnson</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940" w:type="dxa"/>
            <w:vAlign w:val="bottom"/>
            <w:gridSpan w:val="3"/>
          </w:tcPr>
          <w:p>
            <w:pPr>
              <w:jc w:val="center"/>
              <w:ind w:right="950"/>
              <w:spacing w:after="0"/>
              <w:rPr>
                <w:sz w:val="20"/>
                <w:szCs w:val="20"/>
                <w:color w:val="auto"/>
              </w:rPr>
            </w:pPr>
            <w:r>
              <w:rPr>
                <w:rFonts w:ascii="Arial" w:cs="Arial" w:eastAsia="Arial" w:hAnsi="Arial"/>
                <w:sz w:val="18"/>
                <w:szCs w:val="18"/>
                <w:color w:val="auto"/>
                <w:w w:val="98"/>
              </w:rPr>
              <w:t>KIMBERLY JOHNSON</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94"/>
              </w:rPr>
              <w:t>/s/</w:t>
            </w:r>
          </w:p>
        </w:tc>
        <w:tc>
          <w:tcPr>
            <w:tcW w:w="294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color w:val="auto"/>
                <w:w w:val="99"/>
              </w:rPr>
              <w:t>William Kaelin, Jr., M.D.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4"/>
          </w:tcPr>
          <w:p>
            <w:pPr>
              <w:jc w:val="center"/>
              <w:ind w:left="790"/>
              <w:spacing w:after="0"/>
              <w:rPr>
                <w:sz w:val="20"/>
                <w:szCs w:val="20"/>
                <w:color w:val="auto"/>
              </w:rPr>
            </w:pPr>
            <w:r>
              <w:rPr>
                <w:rFonts w:ascii="Arial" w:cs="Arial" w:eastAsia="Arial" w:hAnsi="Arial"/>
                <w:sz w:val="18"/>
                <w:szCs w:val="18"/>
                <w:color w:val="auto"/>
                <w:w w:val="99"/>
              </w:rPr>
              <w:t>WILLIAM KAELIN, JR., M.D.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center"/>
              <w:ind w:right="1050"/>
              <w:spacing w:after="0"/>
              <w:rPr>
                <w:sz w:val="20"/>
                <w:szCs w:val="20"/>
                <w:color w:val="auto"/>
              </w:rPr>
            </w:pPr>
            <w:r>
              <w:rPr>
                <w:rFonts w:ascii="Arial" w:cs="Arial" w:eastAsia="Arial" w:hAnsi="Arial"/>
                <w:sz w:val="18"/>
                <w:szCs w:val="18"/>
                <w:color w:val="auto"/>
              </w:rPr>
              <w:t>Juan Luciano</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jc w:val="center"/>
              <w:ind w:right="1190"/>
              <w:spacing w:after="0"/>
              <w:rPr>
                <w:sz w:val="20"/>
                <w:szCs w:val="20"/>
                <w:color w:val="auto"/>
              </w:rPr>
            </w:pPr>
            <w:r>
              <w:rPr>
                <w:rFonts w:ascii="Arial" w:cs="Arial" w:eastAsia="Arial" w:hAnsi="Arial"/>
                <w:sz w:val="18"/>
                <w:szCs w:val="18"/>
                <w:color w:val="auto"/>
                <w:w w:val="99"/>
              </w:rPr>
              <w:t>JUAN LUCIANO</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488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color w:val="auto"/>
              </w:rPr>
              <w:t>/s/  Marschall Runge, M.D., Ph.D.</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4"/>
          </w:tcPr>
          <w:p>
            <w:pPr>
              <w:jc w:val="center"/>
              <w:ind w:left="790"/>
              <w:spacing w:after="0"/>
              <w:rPr>
                <w:sz w:val="20"/>
                <w:szCs w:val="20"/>
                <w:color w:val="auto"/>
              </w:rPr>
            </w:pPr>
            <w:r>
              <w:rPr>
                <w:rFonts w:ascii="Arial" w:cs="Arial" w:eastAsia="Arial" w:hAnsi="Arial"/>
                <w:sz w:val="18"/>
                <w:szCs w:val="18"/>
                <w:color w:val="auto"/>
              </w:rPr>
              <w:t>MARSCHALL RUNGE, M.D., Ph.D.</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2160" w:type="dxa"/>
            <w:vAlign w:val="bottom"/>
            <w:tcBorders>
              <w:bottom w:val="single" w:sz="8" w:color="auto"/>
            </w:tcBorders>
            <w:gridSpan w:val="2"/>
          </w:tcPr>
          <w:p>
            <w:pPr>
              <w:ind w:left="18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2"/>
          </w:tcPr>
          <w:p>
            <w:pPr>
              <w:jc w:val="center"/>
              <w:ind w:right="790"/>
              <w:spacing w:after="0"/>
              <w:rPr>
                <w:sz w:val="20"/>
                <w:szCs w:val="20"/>
                <w:color w:val="auto"/>
              </w:rPr>
            </w:pPr>
            <w:r>
              <w:rPr>
                <w:rFonts w:ascii="Arial" w:cs="Arial" w:eastAsia="Arial" w:hAnsi="Arial"/>
                <w:sz w:val="18"/>
                <w:szCs w:val="18"/>
                <w:color w:val="auto"/>
                <w:w w:val="99"/>
              </w:rPr>
              <w:t>Gabrielle Sulzberger</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4880" w:type="dxa"/>
            <w:vAlign w:val="bottom"/>
            <w:gridSpan w:val="4"/>
          </w:tcPr>
          <w:p>
            <w:pPr>
              <w:jc w:val="center"/>
              <w:ind w:left="790"/>
              <w:spacing w:after="0"/>
              <w:rPr>
                <w:sz w:val="20"/>
                <w:szCs w:val="20"/>
                <w:color w:val="auto"/>
              </w:rPr>
            </w:pPr>
            <w:r>
              <w:rPr>
                <w:rFonts w:ascii="Arial" w:cs="Arial" w:eastAsia="Arial" w:hAnsi="Arial"/>
                <w:sz w:val="18"/>
                <w:szCs w:val="18"/>
                <w:color w:val="auto"/>
              </w:rPr>
              <w:t>GABRIELLE SULZBERGER</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/s/</w:t>
            </w:r>
          </w:p>
        </w:tc>
        <w:tc>
          <w:tcPr>
            <w:tcW w:w="2460" w:type="dxa"/>
            <w:vAlign w:val="bottom"/>
            <w:tcBorders>
              <w:bottom w:val="single" w:sz="8" w:color="auto"/>
            </w:tcBorders>
          </w:tcPr>
          <w:p>
            <w:pPr>
              <w:jc w:val="center"/>
              <w:ind w:right="1070"/>
              <w:spacing w:after="0"/>
              <w:rPr>
                <w:sz w:val="20"/>
                <w:szCs w:val="20"/>
                <w:color w:val="auto"/>
              </w:rPr>
            </w:pPr>
            <w:r>
              <w:rPr>
                <w:rFonts w:ascii="Arial" w:cs="Arial" w:eastAsia="Arial" w:hAnsi="Arial"/>
                <w:sz w:val="18"/>
                <w:szCs w:val="18"/>
                <w:color w:val="auto"/>
                <w:w w:val="97"/>
              </w:rPr>
              <w:t>Jackson Tai</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jc w:val="center"/>
              <w:ind w:right="1190"/>
              <w:spacing w:after="0"/>
              <w:rPr>
                <w:sz w:val="20"/>
                <w:szCs w:val="20"/>
                <w:color w:val="auto"/>
              </w:rPr>
            </w:pPr>
            <w:r>
              <w:rPr>
                <w:rFonts w:ascii="Arial" w:cs="Arial" w:eastAsia="Arial" w:hAnsi="Arial"/>
                <w:sz w:val="18"/>
                <w:szCs w:val="18"/>
                <w:color w:val="auto"/>
                <w:w w:val="98"/>
              </w:rPr>
              <w:t>JACKSON TAI</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center"/>
              <w:ind w:right="1050"/>
              <w:spacing w:after="0"/>
              <w:rPr>
                <w:sz w:val="20"/>
                <w:szCs w:val="20"/>
                <w:color w:val="auto"/>
              </w:rPr>
            </w:pPr>
            <w:r>
              <w:rPr>
                <w:rFonts w:ascii="Arial" w:cs="Arial" w:eastAsia="Arial" w:hAnsi="Arial"/>
                <w:sz w:val="18"/>
                <w:szCs w:val="18"/>
                <w:color w:val="auto"/>
                <w:w w:val="99"/>
              </w:rPr>
              <w:t>Karen Walker</w:t>
            </w:r>
          </w:p>
        </w:tc>
        <w:tc>
          <w:tcPr>
            <w:tcW w:w="880" w:type="dxa"/>
            <w:vAlign w:val="bottom"/>
            <w:tcBorders>
              <w:bottom w:val="single" w:sz="8" w:color="auto"/>
            </w:tcBorders>
          </w:tcPr>
          <w:p>
            <w:pPr>
              <w:spacing w:after="0"/>
              <w:rPr>
                <w:sz w:val="23"/>
                <w:szCs w:val="23"/>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32"/>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jc w:val="center"/>
              <w:ind w:right="1170"/>
              <w:spacing w:after="0"/>
              <w:rPr>
                <w:sz w:val="20"/>
                <w:szCs w:val="20"/>
                <w:color w:val="auto"/>
              </w:rPr>
            </w:pPr>
            <w:r>
              <w:rPr>
                <w:rFonts w:ascii="Arial" w:cs="Arial" w:eastAsia="Arial" w:hAnsi="Arial"/>
                <w:sz w:val="18"/>
                <w:szCs w:val="18"/>
                <w:color w:val="auto"/>
                <w:w w:val="99"/>
              </w:rPr>
              <w:t>KAREN WALKER</w:t>
            </w: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886"/>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360" w:type="dxa"/>
            <w:vAlign w:val="bottom"/>
            <w:gridSpan w:val="2"/>
          </w:tcPr>
          <w:p>
            <w:pPr>
              <w:jc w:val="right"/>
              <w:ind w:right="5390"/>
              <w:spacing w:after="0"/>
              <w:rPr>
                <w:sz w:val="20"/>
                <w:szCs w:val="20"/>
                <w:color w:val="auto"/>
              </w:rPr>
            </w:pPr>
            <w:r>
              <w:rPr>
                <w:rFonts w:ascii="Arial" w:cs="Arial" w:eastAsia="Arial" w:hAnsi="Arial"/>
                <w:sz w:val="18"/>
                <w:szCs w:val="18"/>
                <w:color w:val="auto"/>
              </w:rPr>
              <w:t>119</w:t>
            </w:r>
          </w:p>
        </w:tc>
      </w:tr>
      <w:tr>
        <w:trPr>
          <w:trHeight w:val="111"/>
        </w:trPr>
        <w:tc>
          <w:tcPr>
            <w:tcW w:w="1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Trademarks Used In This Report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Trademarks or service marks owned by Eli Lilly and Company or its affiliates, when first used in each item of this report, appear with an initial capital and are followed by the symbol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w:t>
      </w:r>
      <w:r>
        <w:rPr>
          <w:rFonts w:ascii="Arial" w:cs="Arial" w:eastAsia="Arial" w:hAnsi="Arial"/>
          <w:sz w:val="22"/>
          <w:szCs w:val="22"/>
          <w:color w:val="auto"/>
          <w:vertAlign w:val="superscript"/>
        </w:rPr>
        <w:t>™</w:t>
      </w:r>
      <w:r>
        <w:rPr>
          <w:rFonts w:ascii="Arial" w:cs="Arial" w:eastAsia="Arial" w:hAnsi="Arial"/>
          <w:sz w:val="17"/>
          <w:szCs w:val="17"/>
          <w:color w:val="auto"/>
        </w:rPr>
        <w:t>, as applicable. In subsequent uses of the marks in the item, the symbols may be omitted.</w:t>
      </w:r>
    </w:p>
    <w:p>
      <w:pPr>
        <w:spacing w:after="0"/>
        <w:rPr>
          <w:sz w:val="20"/>
          <w:szCs w:val="20"/>
          <w:color w:val="auto"/>
        </w:rPr>
      </w:pPr>
      <w:r>
        <w:rPr>
          <w:rFonts w:ascii="Arial" w:cs="Arial" w:eastAsia="Arial" w:hAnsi="Arial"/>
          <w:sz w:val="18"/>
          <w:szCs w:val="18"/>
          <w:color w:val="auto"/>
        </w:rPr>
        <w:t>Byetta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trademark of Amylin Pharmaceuticals,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3"/>
          <w:szCs w:val="23"/>
          <w:color w:val="auto"/>
          <w:vertAlign w:val="superscript"/>
        </w:rPr>
        <w:t>®</w:t>
      </w:r>
      <w:r>
        <w:rPr>
          <w:rFonts w:ascii="Arial" w:cs="Arial" w:eastAsia="Arial" w:hAnsi="Arial"/>
          <w:sz w:val="18"/>
          <w:szCs w:val="18"/>
          <w:color w:val="auto"/>
        </w:rPr>
        <w:t>, Jardiance</w:t>
      </w:r>
      <w:r>
        <w:rPr>
          <w:rFonts w:ascii="Arial" w:cs="Arial" w:eastAsia="Arial" w:hAnsi="Arial"/>
          <w:sz w:val="23"/>
          <w:szCs w:val="23"/>
          <w:color w:val="auto"/>
          <w:vertAlign w:val="superscript"/>
        </w:rPr>
        <w:t>®</w:t>
      </w:r>
      <w:r>
        <w:rPr>
          <w:rFonts w:ascii="Arial" w:cs="Arial" w:eastAsia="Arial" w:hAnsi="Arial"/>
          <w:sz w:val="18"/>
          <w:szCs w:val="18"/>
          <w:color w:val="auto"/>
        </w:rPr>
        <w:t>, Jentadueto</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Trajenta</w:t>
      </w:r>
      <w:r>
        <w:rPr>
          <w:rFonts w:ascii="Arial" w:cs="Arial" w:eastAsia="Arial" w:hAnsi="Arial"/>
          <w:sz w:val="23"/>
          <w:szCs w:val="23"/>
          <w:color w:val="auto"/>
          <w:vertAlign w:val="superscript"/>
        </w:rPr>
        <w:t>®</w:t>
      </w:r>
      <w:r>
        <w:rPr>
          <w:rFonts w:ascii="Arial" w:cs="Arial" w:eastAsia="Arial" w:hAnsi="Arial"/>
          <w:sz w:val="18"/>
          <w:szCs w:val="18"/>
          <w:color w:val="auto"/>
        </w:rPr>
        <w:t>, and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trademarks of Boehringer Ingelheim International GmbH.</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trademark of Innovent Biologics (Suzhou)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1160" w:right="379" w:bottom="1440" w:gutter="0" w:footer="0" w:header="0"/>
        </w:sectPr>
      </w:pPr>
    </w:p>
    <w:bookmarkStart w:id="120" w:name="page121"/>
    <w:bookmarkEnd w:id="120"/>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10.2 Form of Performance Award under the 2002 Lilly Stock Plan</w:t>
      </w:r>
    </w:p>
    <w:p>
      <w:pPr>
        <w:spacing w:after="0" w:line="396" w:lineRule="exact"/>
        <w:rPr>
          <w:sz w:val="20"/>
          <w:szCs w:val="20"/>
          <w:color w:val="auto"/>
        </w:rPr>
      </w:pPr>
    </w:p>
    <w:p>
      <w:pPr>
        <w:jc w:val="center"/>
        <w:ind w:right="-179"/>
        <w:spacing w:after="0"/>
        <w:rPr>
          <w:sz w:val="20"/>
          <w:szCs w:val="20"/>
          <w:color w:val="auto"/>
        </w:rPr>
      </w:pPr>
      <w:r>
        <w:rPr>
          <w:rFonts w:ascii="Calibri" w:cs="Calibri" w:eastAsia="Calibri" w:hAnsi="Calibri"/>
          <w:sz w:val="43"/>
          <w:szCs w:val="43"/>
          <w:color w:val="auto"/>
        </w:rPr>
        <w:t>Eli Lilly and Company</w:t>
      </w:r>
    </w:p>
    <w:p>
      <w:pPr>
        <w:jc w:val="center"/>
        <w:ind w:right="-179"/>
        <w:spacing w:after="0" w:line="198" w:lineRule="auto"/>
        <w:rPr>
          <w:sz w:val="20"/>
          <w:szCs w:val="20"/>
          <w:color w:val="auto"/>
        </w:rPr>
      </w:pPr>
      <w:r>
        <w:rPr>
          <w:rFonts w:ascii="Calibri" w:cs="Calibri" w:eastAsia="Calibri" w:hAnsi="Calibri"/>
          <w:sz w:val="43"/>
          <w:szCs w:val="43"/>
          <w:color w:val="auto"/>
        </w:rPr>
        <w:t>Performance Award Agreement</w:t>
      </w:r>
    </w:p>
    <w:p>
      <w:pPr>
        <w:jc w:val="center"/>
        <w:ind w:right="-179"/>
        <w:spacing w:after="0" w:line="199" w:lineRule="auto"/>
        <w:rPr>
          <w:sz w:val="20"/>
          <w:szCs w:val="20"/>
          <w:color w:val="auto"/>
        </w:rPr>
      </w:pPr>
      <w:r>
        <w:rPr>
          <w:rFonts w:ascii="Calibri" w:cs="Calibri" w:eastAsia="Calibri" w:hAnsi="Calibri"/>
          <w:sz w:val="32"/>
          <w:szCs w:val="32"/>
          <w:color w:val="auto"/>
        </w:rPr>
        <w:t>(for Executve Ofcers)</w:t>
      </w:r>
    </w:p>
    <w:p>
      <w:pPr>
        <w:spacing w:after="0" w:line="200" w:lineRule="exact"/>
        <w:rPr>
          <w:sz w:val="20"/>
          <w:szCs w:val="20"/>
          <w:color w:val="auto"/>
        </w:rPr>
      </w:pPr>
    </w:p>
    <w:p>
      <w:pPr>
        <w:spacing w:after="0" w:line="247"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This Performance Award has been granted on [•] (“Grant Date”) by Eli Lilly and Company, an Indiana corporation, with its principal offices in Indianapolis, Indiana (“Lilly” or the “Company”), to the Eligible Individual who has received this Performance Award Agreement (the “Grantee”).</w:t>
      </w:r>
    </w:p>
    <w:p>
      <w:pPr>
        <w:spacing w:after="0" w:line="392" w:lineRule="exact"/>
        <w:rPr>
          <w:sz w:val="20"/>
          <w:szCs w:val="20"/>
          <w:color w:val="auto"/>
        </w:rPr>
      </w:pPr>
    </w:p>
    <w:p>
      <w:pPr>
        <w:spacing w:after="0"/>
        <w:rPr>
          <w:sz w:val="20"/>
          <w:szCs w:val="20"/>
          <w:color w:val="auto"/>
        </w:rPr>
      </w:pPr>
      <w:r>
        <w:rPr>
          <w:rFonts w:ascii="Calibri" w:cs="Calibri" w:eastAsia="Calibri" w:hAnsi="Calibri"/>
          <w:sz w:val="25"/>
          <w:szCs w:val="25"/>
          <w:color w:val="auto"/>
        </w:rPr>
        <w:t>Performance Levels: [•]</w:t>
      </w:r>
    </w:p>
    <w:p>
      <w:pPr>
        <w:spacing w:after="0" w:line="235" w:lineRule="exact"/>
        <w:rPr>
          <w:sz w:val="20"/>
          <w:szCs w:val="20"/>
          <w:color w:val="auto"/>
        </w:rPr>
      </w:pPr>
    </w:p>
    <w:p>
      <w:pPr>
        <w:spacing w:after="0"/>
        <w:tabs>
          <w:tab w:leader="none" w:pos="2440" w:val="left"/>
        </w:tabs>
        <w:rPr>
          <w:sz w:val="20"/>
          <w:szCs w:val="20"/>
          <w:color w:val="auto"/>
        </w:rPr>
      </w:pPr>
      <w:r>
        <w:rPr>
          <w:rFonts w:ascii="Calibri" w:cs="Calibri" w:eastAsia="Calibri" w:hAnsi="Calibri"/>
          <w:sz w:val="25"/>
          <w:szCs w:val="25"/>
          <w:color w:val="auto"/>
        </w:rPr>
        <w:t>Performance Period:</w:t>
      </w:r>
      <w:r>
        <w:rPr>
          <w:sz w:val="20"/>
          <w:szCs w:val="20"/>
          <w:color w:val="auto"/>
        </w:rPr>
        <w:tab/>
      </w:r>
      <w:r>
        <w:rPr>
          <w:rFonts w:ascii="Arial" w:cs="Arial" w:eastAsia="Arial" w:hAnsi="Arial"/>
          <w:sz w:val="25"/>
          <w:szCs w:val="25"/>
          <w:color w:val="auto"/>
        </w:rPr>
        <w:t>[•] – [•]</w:t>
      </w:r>
    </w:p>
    <w:p>
      <w:pPr>
        <w:spacing w:after="0" w:line="248" w:lineRule="exact"/>
        <w:rPr>
          <w:sz w:val="20"/>
          <w:szCs w:val="20"/>
          <w:color w:val="auto"/>
        </w:rPr>
      </w:pPr>
    </w:p>
    <w:p>
      <w:pPr>
        <w:spacing w:after="0"/>
        <w:tabs>
          <w:tab w:leader="none" w:pos="2480" w:val="left"/>
        </w:tabs>
        <w:rPr>
          <w:sz w:val="20"/>
          <w:szCs w:val="20"/>
          <w:color w:val="auto"/>
        </w:rPr>
      </w:pPr>
      <w:r>
        <w:rPr>
          <w:rFonts w:ascii="Calibri" w:cs="Calibri" w:eastAsia="Calibri" w:hAnsi="Calibri"/>
          <w:sz w:val="25"/>
          <w:szCs w:val="25"/>
          <w:color w:val="auto"/>
        </w:rPr>
        <w:t>Service Vestng Date:</w:t>
      </w:r>
      <w:r>
        <w:rPr>
          <w:sz w:val="20"/>
          <w:szCs w:val="20"/>
          <w:color w:val="auto"/>
        </w:rPr>
        <w:tab/>
      </w:r>
      <w:r>
        <w:rPr>
          <w:rFonts w:ascii="Arial" w:cs="Arial" w:eastAsia="Arial" w:hAnsi="Arial"/>
          <w:sz w:val="25"/>
          <w:szCs w:val="25"/>
          <w:color w:val="auto"/>
        </w:rPr>
        <w:t>[•]</w:t>
      </w:r>
    </w:p>
    <w:p>
      <w:pPr>
        <w:sectPr>
          <w:pgSz w:w="11900" w:h="16838" w:orient="portrait"/>
          <w:cols w:equalWidth="0" w:num="1">
            <w:col w:w="11080"/>
          </w:cols>
          <w:pgMar w:left="320" w:top="1440" w:right="499" w:bottom="1440" w:gutter="0" w:footer="0" w:header="0"/>
        </w:sectPr>
      </w:pPr>
    </w:p>
    <w:bookmarkStart w:id="121" w:name="page122"/>
    <w:bookmarkEnd w:id="121"/>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Calibri" w:cs="Calibri" w:eastAsia="Calibri" w:hAnsi="Calibri"/>
          <w:sz w:val="25"/>
          <w:szCs w:val="25"/>
          <w:color w:val="auto"/>
        </w:rPr>
        <w:t>Table of Contents</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96"/>
        </w:trPr>
        <w:tc>
          <w:tcPr>
            <w:tcW w:w="8960" w:type="dxa"/>
            <w:vAlign w:val="bottom"/>
            <w:gridSpan w:val="3"/>
          </w:tcPr>
          <w:p>
            <w:pPr>
              <w:spacing w:after="0"/>
              <w:rPr>
                <w:sz w:val="20"/>
                <w:szCs w:val="20"/>
                <w:color w:val="auto"/>
              </w:rPr>
            </w:pPr>
            <w:r>
              <w:rPr>
                <w:rFonts w:ascii="Calibri" w:cs="Calibri" w:eastAsia="Calibri" w:hAnsi="Calibri"/>
                <w:sz w:val="22"/>
                <w:szCs w:val="22"/>
                <w:color w:val="auto"/>
              </w:rPr>
              <w:t>Secton 1.  Grant of Performance Award</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3</w:t>
            </w:r>
          </w:p>
        </w:tc>
      </w:tr>
      <w:tr>
        <w:trPr>
          <w:trHeight w:val="283"/>
        </w:trPr>
        <w:tc>
          <w:tcPr>
            <w:tcW w:w="940" w:type="dxa"/>
            <w:vAlign w:val="bottom"/>
          </w:tcPr>
          <w:p>
            <w:pPr>
              <w:spacing w:after="0" w:line="256" w:lineRule="exact"/>
              <w:rPr>
                <w:sz w:val="20"/>
                <w:szCs w:val="20"/>
                <w:color w:val="auto"/>
              </w:rPr>
            </w:pPr>
            <w:r>
              <w:rPr>
                <w:rFonts w:ascii="Calibri" w:cs="Calibri" w:eastAsia="Calibri" w:hAnsi="Calibri"/>
                <w:sz w:val="22"/>
                <w:szCs w:val="22"/>
                <w:color w:val="auto"/>
              </w:rPr>
              <w:t>Secton 2.</w:t>
            </w:r>
          </w:p>
        </w:tc>
        <w:tc>
          <w:tcPr>
            <w:tcW w:w="60" w:type="dxa"/>
            <w:vAlign w:val="bottom"/>
          </w:tcPr>
          <w:p>
            <w:pPr>
              <w:spacing w:after="0"/>
              <w:rPr>
                <w:sz w:val="24"/>
                <w:szCs w:val="24"/>
                <w:color w:val="auto"/>
              </w:rPr>
            </w:pPr>
          </w:p>
        </w:tc>
        <w:tc>
          <w:tcPr>
            <w:tcW w:w="7960" w:type="dxa"/>
            <w:vAlign w:val="bottom"/>
          </w:tcPr>
          <w:p>
            <w:pPr>
              <w:ind w:left="40"/>
              <w:spacing w:after="0" w:line="256" w:lineRule="exact"/>
              <w:rPr>
                <w:sz w:val="20"/>
                <w:szCs w:val="20"/>
                <w:color w:val="auto"/>
              </w:rPr>
            </w:pPr>
            <w:r>
              <w:rPr>
                <w:rFonts w:ascii="Calibri" w:cs="Calibri" w:eastAsia="Calibri" w:hAnsi="Calibri"/>
                <w:sz w:val="22"/>
                <w:szCs w:val="22"/>
                <w:color w:val="auto"/>
              </w:rPr>
              <w:t>Vestng</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3</w:t>
            </w:r>
          </w:p>
        </w:tc>
      </w:tr>
      <w:tr>
        <w:trPr>
          <w:trHeight w:val="284"/>
        </w:trPr>
        <w:tc>
          <w:tcPr>
            <w:tcW w:w="8960" w:type="dxa"/>
            <w:vAlign w:val="bottom"/>
            <w:gridSpan w:val="3"/>
          </w:tcPr>
          <w:p>
            <w:pPr>
              <w:spacing w:after="0" w:line="258" w:lineRule="exact"/>
              <w:rPr>
                <w:sz w:val="20"/>
                <w:szCs w:val="20"/>
                <w:color w:val="auto"/>
              </w:rPr>
            </w:pPr>
            <w:r>
              <w:rPr>
                <w:rFonts w:ascii="Calibri" w:cs="Calibri" w:eastAsia="Calibri" w:hAnsi="Calibri"/>
                <w:sz w:val="22"/>
                <w:szCs w:val="22"/>
                <w:color w:val="auto"/>
              </w:rPr>
              <w:t>Secton 3.  Impact of Certain Employment Status Changes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4</w:t>
            </w:r>
          </w:p>
        </w:tc>
      </w:tr>
      <w:tr>
        <w:trPr>
          <w:trHeight w:val="283"/>
        </w:trPr>
        <w:tc>
          <w:tcPr>
            <w:tcW w:w="8960" w:type="dxa"/>
            <w:vAlign w:val="bottom"/>
            <w:gridSpan w:val="3"/>
          </w:tcPr>
          <w:p>
            <w:pPr>
              <w:spacing w:after="0" w:line="258" w:lineRule="exact"/>
              <w:rPr>
                <w:sz w:val="20"/>
                <w:szCs w:val="20"/>
                <w:color w:val="auto"/>
              </w:rPr>
            </w:pPr>
            <w:r>
              <w:rPr>
                <w:rFonts w:ascii="Calibri" w:cs="Calibri" w:eastAsia="Calibri" w:hAnsi="Calibri"/>
                <w:sz w:val="22"/>
                <w:szCs w:val="22"/>
                <w:color w:val="auto"/>
              </w:rPr>
              <w:t>Secton 4.  Change in Control</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5</w:t>
            </w:r>
          </w:p>
        </w:tc>
      </w:tr>
      <w:tr>
        <w:trPr>
          <w:trHeight w:val="283"/>
        </w:trPr>
        <w:tc>
          <w:tcPr>
            <w:tcW w:w="940" w:type="dxa"/>
            <w:vAlign w:val="bottom"/>
          </w:tcPr>
          <w:p>
            <w:pPr>
              <w:spacing w:after="0" w:line="258" w:lineRule="exact"/>
              <w:rPr>
                <w:sz w:val="20"/>
                <w:szCs w:val="20"/>
                <w:color w:val="auto"/>
              </w:rPr>
            </w:pPr>
            <w:r>
              <w:rPr>
                <w:rFonts w:ascii="Calibri" w:cs="Calibri" w:eastAsia="Calibri" w:hAnsi="Calibri"/>
                <w:sz w:val="22"/>
                <w:szCs w:val="22"/>
                <w:color w:val="auto"/>
              </w:rPr>
              <w:t>Secton 5.</w:t>
            </w:r>
          </w:p>
        </w:tc>
        <w:tc>
          <w:tcPr>
            <w:tcW w:w="60" w:type="dxa"/>
            <w:vAlign w:val="bottom"/>
          </w:tcPr>
          <w:p>
            <w:pPr>
              <w:spacing w:after="0"/>
              <w:rPr>
                <w:sz w:val="24"/>
                <w:szCs w:val="24"/>
                <w:color w:val="auto"/>
              </w:rPr>
            </w:pPr>
          </w:p>
        </w:tc>
        <w:tc>
          <w:tcPr>
            <w:tcW w:w="7960" w:type="dxa"/>
            <w:vAlign w:val="bottom"/>
          </w:tcPr>
          <w:p>
            <w:pPr>
              <w:ind w:left="40"/>
              <w:spacing w:after="0" w:line="258" w:lineRule="exact"/>
              <w:rPr>
                <w:sz w:val="20"/>
                <w:szCs w:val="20"/>
                <w:color w:val="auto"/>
              </w:rPr>
            </w:pPr>
            <w:r>
              <w:rPr>
                <w:rFonts w:ascii="Calibri" w:cs="Calibri" w:eastAsia="Calibri" w:hAnsi="Calibri"/>
                <w:sz w:val="22"/>
                <w:szCs w:val="22"/>
                <w:color w:val="auto"/>
              </w:rPr>
              <w:t>Setlement</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6</w:t>
            </w:r>
          </w:p>
        </w:tc>
      </w:tr>
      <w:tr>
        <w:trPr>
          <w:trHeight w:val="283"/>
        </w:trPr>
        <w:tc>
          <w:tcPr>
            <w:tcW w:w="8960" w:type="dxa"/>
            <w:vAlign w:val="bottom"/>
            <w:gridSpan w:val="3"/>
          </w:tcPr>
          <w:p>
            <w:pPr>
              <w:spacing w:after="0" w:line="258" w:lineRule="exact"/>
              <w:rPr>
                <w:sz w:val="20"/>
                <w:szCs w:val="20"/>
                <w:color w:val="auto"/>
              </w:rPr>
            </w:pPr>
            <w:r>
              <w:rPr>
                <w:rFonts w:ascii="Calibri" w:cs="Calibri" w:eastAsia="Calibri" w:hAnsi="Calibri"/>
                <w:sz w:val="22"/>
                <w:szCs w:val="22"/>
                <w:color w:val="auto"/>
              </w:rPr>
              <w:t>Secton 6.  Rights of the Grantee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7</w:t>
            </w:r>
          </w:p>
        </w:tc>
      </w:tr>
      <w:tr>
        <w:trPr>
          <w:trHeight w:val="283"/>
        </w:trPr>
        <w:tc>
          <w:tcPr>
            <w:tcW w:w="8960" w:type="dxa"/>
            <w:vAlign w:val="bottom"/>
            <w:gridSpan w:val="3"/>
          </w:tcPr>
          <w:p>
            <w:pPr>
              <w:spacing w:after="0" w:line="256" w:lineRule="exact"/>
              <w:rPr>
                <w:sz w:val="20"/>
                <w:szCs w:val="20"/>
                <w:color w:val="auto"/>
              </w:rPr>
            </w:pPr>
            <w:r>
              <w:rPr>
                <w:rFonts w:ascii="Calibri" w:cs="Calibri" w:eastAsia="Calibri" w:hAnsi="Calibri"/>
                <w:sz w:val="22"/>
                <w:szCs w:val="22"/>
                <w:color w:val="auto"/>
              </w:rPr>
              <w:t>Secton 7.  Prohibiton Against Transfer</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7</w:t>
            </w:r>
          </w:p>
        </w:tc>
      </w:tr>
      <w:tr>
        <w:trPr>
          <w:trHeight w:val="284"/>
        </w:trPr>
        <w:tc>
          <w:tcPr>
            <w:tcW w:w="940" w:type="dxa"/>
            <w:vAlign w:val="bottom"/>
          </w:tcPr>
          <w:p>
            <w:pPr>
              <w:spacing w:after="0" w:line="258" w:lineRule="exact"/>
              <w:rPr>
                <w:sz w:val="20"/>
                <w:szCs w:val="20"/>
                <w:color w:val="auto"/>
              </w:rPr>
            </w:pPr>
            <w:r>
              <w:rPr>
                <w:rFonts w:ascii="Calibri" w:cs="Calibri" w:eastAsia="Calibri" w:hAnsi="Calibri"/>
                <w:sz w:val="22"/>
                <w:szCs w:val="22"/>
                <w:color w:val="auto"/>
              </w:rPr>
              <w:t>Secton 8.</w:t>
            </w:r>
          </w:p>
        </w:tc>
        <w:tc>
          <w:tcPr>
            <w:tcW w:w="8020" w:type="dxa"/>
            <w:vAlign w:val="bottom"/>
            <w:gridSpan w:val="2"/>
          </w:tcPr>
          <w:p>
            <w:pPr>
              <w:ind w:left="100"/>
              <w:spacing w:after="0" w:line="258" w:lineRule="exact"/>
              <w:rPr>
                <w:sz w:val="20"/>
                <w:szCs w:val="20"/>
                <w:color w:val="auto"/>
              </w:rPr>
            </w:pPr>
            <w:r>
              <w:rPr>
                <w:rFonts w:ascii="Calibri" w:cs="Calibri" w:eastAsia="Calibri" w:hAnsi="Calibri"/>
                <w:sz w:val="22"/>
                <w:szCs w:val="22"/>
                <w:color w:val="auto"/>
              </w:rPr>
              <w:t>Responsibility for Taxes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7</w:t>
            </w:r>
          </w:p>
        </w:tc>
      </w:tr>
      <w:tr>
        <w:trPr>
          <w:trHeight w:val="283"/>
        </w:trPr>
        <w:tc>
          <w:tcPr>
            <w:tcW w:w="940" w:type="dxa"/>
            <w:vAlign w:val="bottom"/>
          </w:tcPr>
          <w:p>
            <w:pPr>
              <w:spacing w:after="0" w:line="258" w:lineRule="exact"/>
              <w:rPr>
                <w:sz w:val="20"/>
                <w:szCs w:val="20"/>
                <w:color w:val="auto"/>
              </w:rPr>
            </w:pPr>
            <w:r>
              <w:rPr>
                <w:rFonts w:ascii="Calibri" w:cs="Calibri" w:eastAsia="Calibri" w:hAnsi="Calibri"/>
                <w:sz w:val="22"/>
                <w:szCs w:val="22"/>
                <w:color w:val="auto"/>
              </w:rPr>
              <w:t>Secton 9.</w:t>
            </w:r>
          </w:p>
        </w:tc>
        <w:tc>
          <w:tcPr>
            <w:tcW w:w="8020" w:type="dxa"/>
            <w:vAlign w:val="bottom"/>
            <w:gridSpan w:val="2"/>
          </w:tcPr>
          <w:p>
            <w:pPr>
              <w:ind w:left="100"/>
              <w:spacing w:after="0" w:line="258" w:lineRule="exact"/>
              <w:rPr>
                <w:sz w:val="20"/>
                <w:szCs w:val="20"/>
                <w:color w:val="auto"/>
              </w:rPr>
            </w:pPr>
            <w:r>
              <w:rPr>
                <w:rFonts w:ascii="Calibri" w:cs="Calibri" w:eastAsia="Calibri" w:hAnsi="Calibri"/>
                <w:sz w:val="22"/>
                <w:szCs w:val="22"/>
                <w:color w:val="auto"/>
              </w:rPr>
              <w:t>Secton 409A Compliance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9</w:t>
            </w:r>
          </w:p>
        </w:tc>
      </w:tr>
      <w:tr>
        <w:trPr>
          <w:trHeight w:val="283"/>
        </w:trPr>
        <w:tc>
          <w:tcPr>
            <w:tcW w:w="1000" w:type="dxa"/>
            <w:vAlign w:val="bottom"/>
            <w:gridSpan w:val="2"/>
          </w:tcPr>
          <w:p>
            <w:pPr>
              <w:spacing w:after="0" w:line="258" w:lineRule="exact"/>
              <w:rPr>
                <w:sz w:val="20"/>
                <w:szCs w:val="20"/>
                <w:color w:val="auto"/>
              </w:rPr>
            </w:pPr>
            <w:r>
              <w:rPr>
                <w:rFonts w:ascii="Calibri" w:cs="Calibri" w:eastAsia="Calibri" w:hAnsi="Calibri"/>
                <w:sz w:val="22"/>
                <w:szCs w:val="22"/>
                <w:color w:val="auto"/>
              </w:rPr>
              <w:t>Secton 10.</w:t>
            </w:r>
          </w:p>
        </w:tc>
        <w:tc>
          <w:tcPr>
            <w:tcW w:w="7960" w:type="dxa"/>
            <w:vAlign w:val="bottom"/>
          </w:tcPr>
          <w:p>
            <w:pPr>
              <w:ind w:left="140"/>
              <w:spacing w:after="0" w:line="258" w:lineRule="exact"/>
              <w:rPr>
                <w:sz w:val="20"/>
                <w:szCs w:val="20"/>
                <w:color w:val="auto"/>
              </w:rPr>
            </w:pPr>
            <w:r>
              <w:rPr>
                <w:rFonts w:ascii="Calibri" w:cs="Calibri" w:eastAsia="Calibri" w:hAnsi="Calibri"/>
                <w:sz w:val="22"/>
                <w:szCs w:val="22"/>
                <w:color w:val="auto"/>
              </w:rPr>
              <w:t>Grantee’s Acknowledgments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9</w:t>
            </w:r>
          </w:p>
        </w:tc>
      </w:tr>
      <w:tr>
        <w:trPr>
          <w:trHeight w:val="283"/>
        </w:trPr>
        <w:tc>
          <w:tcPr>
            <w:tcW w:w="1000" w:type="dxa"/>
            <w:vAlign w:val="bottom"/>
            <w:gridSpan w:val="2"/>
          </w:tcPr>
          <w:p>
            <w:pPr>
              <w:spacing w:after="0" w:line="258" w:lineRule="exact"/>
              <w:rPr>
                <w:sz w:val="20"/>
                <w:szCs w:val="20"/>
                <w:color w:val="auto"/>
              </w:rPr>
            </w:pPr>
            <w:r>
              <w:rPr>
                <w:rFonts w:ascii="Calibri" w:cs="Calibri" w:eastAsia="Calibri" w:hAnsi="Calibri"/>
                <w:sz w:val="22"/>
                <w:szCs w:val="22"/>
                <w:color w:val="auto"/>
              </w:rPr>
              <w:t>Secton 11.</w:t>
            </w:r>
          </w:p>
        </w:tc>
        <w:tc>
          <w:tcPr>
            <w:tcW w:w="7960" w:type="dxa"/>
            <w:vAlign w:val="bottom"/>
          </w:tcPr>
          <w:p>
            <w:pPr>
              <w:ind w:left="140"/>
              <w:spacing w:after="0" w:line="258" w:lineRule="exact"/>
              <w:rPr>
                <w:sz w:val="20"/>
                <w:szCs w:val="20"/>
                <w:color w:val="auto"/>
              </w:rPr>
            </w:pPr>
            <w:r>
              <w:rPr>
                <w:rFonts w:ascii="Calibri" w:cs="Calibri" w:eastAsia="Calibri" w:hAnsi="Calibri"/>
                <w:sz w:val="22"/>
                <w:szCs w:val="22"/>
                <w:color w:val="auto"/>
              </w:rPr>
              <w:t>Data Privacy</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10</w:t>
            </w:r>
          </w:p>
        </w:tc>
      </w:tr>
      <w:tr>
        <w:trPr>
          <w:trHeight w:val="283"/>
        </w:trPr>
        <w:tc>
          <w:tcPr>
            <w:tcW w:w="8960" w:type="dxa"/>
            <w:vAlign w:val="bottom"/>
            <w:gridSpan w:val="3"/>
          </w:tcPr>
          <w:p>
            <w:pPr>
              <w:spacing w:after="0" w:line="258" w:lineRule="exact"/>
              <w:rPr>
                <w:sz w:val="20"/>
                <w:szCs w:val="20"/>
                <w:color w:val="auto"/>
              </w:rPr>
            </w:pPr>
            <w:r>
              <w:rPr>
                <w:rFonts w:ascii="Calibri" w:cs="Calibri" w:eastAsia="Calibri" w:hAnsi="Calibri"/>
                <w:sz w:val="22"/>
                <w:szCs w:val="22"/>
                <w:color w:val="auto"/>
              </w:rPr>
              <w:t>Secton 12.  Restrictve Covenants, Remedies, and Additonal Terms and Conditons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11</w:t>
            </w:r>
          </w:p>
        </w:tc>
      </w:tr>
      <w:tr>
        <w:trPr>
          <w:trHeight w:val="283"/>
        </w:trPr>
        <w:tc>
          <w:tcPr>
            <w:tcW w:w="8960" w:type="dxa"/>
            <w:vAlign w:val="bottom"/>
            <w:gridSpan w:val="3"/>
          </w:tcPr>
          <w:p>
            <w:pPr>
              <w:spacing w:after="0" w:line="256" w:lineRule="exact"/>
              <w:rPr>
                <w:sz w:val="20"/>
                <w:szCs w:val="20"/>
                <w:color w:val="auto"/>
              </w:rPr>
            </w:pPr>
            <w:r>
              <w:rPr>
                <w:rFonts w:ascii="Calibri" w:cs="Calibri" w:eastAsia="Calibri" w:hAnsi="Calibri"/>
                <w:sz w:val="22"/>
                <w:szCs w:val="22"/>
                <w:color w:val="auto"/>
              </w:rPr>
              <w:t>Secton 13.  Governing Law and Choice of Venue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14</w:t>
            </w:r>
          </w:p>
        </w:tc>
      </w:tr>
      <w:tr>
        <w:trPr>
          <w:trHeight w:val="284"/>
        </w:trPr>
        <w:tc>
          <w:tcPr>
            <w:tcW w:w="1000" w:type="dxa"/>
            <w:vAlign w:val="bottom"/>
            <w:gridSpan w:val="2"/>
          </w:tcPr>
          <w:p>
            <w:pPr>
              <w:spacing w:after="0" w:line="258" w:lineRule="exact"/>
              <w:rPr>
                <w:sz w:val="20"/>
                <w:szCs w:val="20"/>
                <w:color w:val="auto"/>
              </w:rPr>
            </w:pPr>
            <w:r>
              <w:rPr>
                <w:rFonts w:ascii="Calibri" w:cs="Calibri" w:eastAsia="Calibri" w:hAnsi="Calibri"/>
                <w:sz w:val="22"/>
                <w:szCs w:val="22"/>
                <w:color w:val="auto"/>
              </w:rPr>
              <w:t>Secton 14.</w:t>
            </w:r>
          </w:p>
        </w:tc>
        <w:tc>
          <w:tcPr>
            <w:tcW w:w="7960" w:type="dxa"/>
            <w:vAlign w:val="bottom"/>
          </w:tcPr>
          <w:p>
            <w:pPr>
              <w:ind w:left="140"/>
              <w:spacing w:after="0" w:line="258" w:lineRule="exact"/>
              <w:rPr>
                <w:sz w:val="20"/>
                <w:szCs w:val="20"/>
                <w:color w:val="auto"/>
              </w:rPr>
            </w:pPr>
            <w:r>
              <w:rPr>
                <w:rFonts w:ascii="Calibri" w:cs="Calibri" w:eastAsia="Calibri" w:hAnsi="Calibri"/>
                <w:sz w:val="22"/>
                <w:szCs w:val="22"/>
                <w:color w:val="auto"/>
              </w:rPr>
              <w:t>Miscellaneous Provisions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14</w:t>
            </w:r>
          </w:p>
        </w:tc>
      </w:tr>
      <w:tr>
        <w:trPr>
          <w:trHeight w:val="283"/>
        </w:trPr>
        <w:tc>
          <w:tcPr>
            <w:tcW w:w="1000" w:type="dxa"/>
            <w:vAlign w:val="bottom"/>
            <w:gridSpan w:val="2"/>
          </w:tcPr>
          <w:p>
            <w:pPr>
              <w:spacing w:after="0" w:line="258" w:lineRule="exact"/>
              <w:rPr>
                <w:sz w:val="20"/>
                <w:szCs w:val="20"/>
                <w:color w:val="auto"/>
              </w:rPr>
            </w:pPr>
            <w:r>
              <w:rPr>
                <w:rFonts w:ascii="Calibri" w:cs="Calibri" w:eastAsia="Calibri" w:hAnsi="Calibri"/>
                <w:sz w:val="22"/>
                <w:szCs w:val="22"/>
                <w:color w:val="auto"/>
              </w:rPr>
              <w:t>Secton 15.</w:t>
            </w:r>
          </w:p>
        </w:tc>
        <w:tc>
          <w:tcPr>
            <w:tcW w:w="7960" w:type="dxa"/>
            <w:vAlign w:val="bottom"/>
          </w:tcPr>
          <w:p>
            <w:pPr>
              <w:ind w:left="140"/>
              <w:spacing w:after="0" w:line="258" w:lineRule="exact"/>
              <w:rPr>
                <w:sz w:val="20"/>
                <w:szCs w:val="20"/>
                <w:color w:val="auto"/>
              </w:rPr>
            </w:pPr>
            <w:r>
              <w:rPr>
                <w:rFonts w:ascii="Calibri" w:cs="Calibri" w:eastAsia="Calibri" w:hAnsi="Calibri"/>
                <w:sz w:val="22"/>
                <w:szCs w:val="22"/>
                <w:color w:val="auto"/>
              </w:rPr>
              <w:t>Compensaton Recovery</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15</w:t>
            </w:r>
          </w:p>
        </w:tc>
      </w:tr>
      <w:tr>
        <w:trPr>
          <w:trHeight w:val="297"/>
        </w:trPr>
        <w:tc>
          <w:tcPr>
            <w:tcW w:w="1000" w:type="dxa"/>
            <w:vAlign w:val="bottom"/>
            <w:gridSpan w:val="2"/>
          </w:tcPr>
          <w:p>
            <w:pPr>
              <w:spacing w:after="0" w:line="258" w:lineRule="exact"/>
              <w:rPr>
                <w:sz w:val="20"/>
                <w:szCs w:val="20"/>
                <w:color w:val="auto"/>
              </w:rPr>
            </w:pPr>
            <w:r>
              <w:rPr>
                <w:rFonts w:ascii="Calibri" w:cs="Calibri" w:eastAsia="Calibri" w:hAnsi="Calibri"/>
                <w:sz w:val="22"/>
                <w:szCs w:val="22"/>
                <w:color w:val="auto"/>
              </w:rPr>
              <w:t>Secton 16.</w:t>
            </w:r>
          </w:p>
        </w:tc>
        <w:tc>
          <w:tcPr>
            <w:tcW w:w="7960" w:type="dxa"/>
            <w:vAlign w:val="bottom"/>
          </w:tcPr>
          <w:p>
            <w:pPr>
              <w:ind w:left="140"/>
              <w:spacing w:after="0" w:line="258" w:lineRule="exact"/>
              <w:rPr>
                <w:sz w:val="20"/>
                <w:szCs w:val="20"/>
                <w:color w:val="auto"/>
              </w:rPr>
            </w:pPr>
            <w:r>
              <w:rPr>
                <w:rFonts w:ascii="Calibri" w:cs="Calibri" w:eastAsia="Calibri" w:hAnsi="Calibri"/>
                <w:sz w:val="22"/>
                <w:szCs w:val="22"/>
                <w:color w:val="auto"/>
              </w:rPr>
              <w:t>Award Subject to Acknowledgement of Acceptance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Calibri" w:cs="Calibri" w:eastAsia="Calibri" w:hAnsi="Calibri"/>
          <w:sz w:val="18"/>
          <w:szCs w:val="18"/>
          <w:color w:val="auto"/>
        </w:rPr>
        <w:t>Page 2</w:t>
      </w:r>
    </w:p>
    <w:p>
      <w:pPr>
        <w:sectPr>
          <w:pgSz w:w="11900" w:h="16838" w:orient="portrait"/>
          <w:cols w:equalWidth="0" w:num="1">
            <w:col w:w="10920"/>
          </w:cols>
          <w:pgMar w:left="320" w:top="87" w:right="659" w:bottom="1440" w:gutter="0" w:footer="0" w:header="0"/>
        </w:sectPr>
      </w:pPr>
    </w:p>
    <w:bookmarkStart w:id="122" w:name="page123"/>
    <w:bookmarkEnd w:id="122"/>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1.</w:t>
      </w:r>
      <w:r>
        <w:rPr>
          <w:sz w:val="20"/>
          <w:szCs w:val="20"/>
          <w:color w:val="auto"/>
        </w:rPr>
        <w:tab/>
      </w:r>
      <w:r>
        <w:rPr>
          <w:rFonts w:ascii="Calibri" w:cs="Calibri" w:eastAsia="Calibri" w:hAnsi="Calibri"/>
          <w:sz w:val="22"/>
          <w:szCs w:val="22"/>
          <w:color w:val="auto"/>
        </w:rPr>
        <w:t>Grant of Performance Award</w:t>
      </w:r>
    </w:p>
    <w:p>
      <w:pPr>
        <w:spacing w:after="0" w:line="78"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 xml:space="preserve"> (the "Target Number of Shares").</w:t>
      </w:r>
    </w:p>
    <w:p>
      <w:pPr>
        <w:spacing w:after="0" w:line="44" w:lineRule="exact"/>
        <w:rPr>
          <w:sz w:val="20"/>
          <w:szCs w:val="20"/>
          <w:color w:val="auto"/>
        </w:rPr>
      </w:pPr>
    </w:p>
    <w:p>
      <w:pPr>
        <w:jc w:val="both"/>
        <w:ind w:left="400"/>
        <w:spacing w:after="0" w:line="228" w:lineRule="auto"/>
        <w:rPr>
          <w:sz w:val="20"/>
          <w:szCs w:val="20"/>
          <w:color w:val="auto"/>
        </w:rPr>
      </w:pPr>
      <w:r>
        <w:rPr>
          <w:rFonts w:ascii="Arial" w:cs="Arial" w:eastAsia="Arial" w:hAnsi="Arial"/>
          <w:sz w:val="21"/>
          <w:szCs w:val="21"/>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176" w:lineRule="exact"/>
        <w:rPr>
          <w:sz w:val="20"/>
          <w:szCs w:val="20"/>
          <w:color w:val="auto"/>
        </w:rPr>
      </w:pPr>
    </w:p>
    <w:p>
      <w:pPr>
        <w:jc w:val="both"/>
        <w:ind w:left="420"/>
        <w:spacing w:after="0" w:line="236"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2.</w:t>
        <w:tab/>
        <w:t>Vestng</w:t>
      </w:r>
    </w:p>
    <w:p>
      <w:pPr>
        <w:spacing w:after="0" w:line="64"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units eligible to vest (“Performance Units”)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44"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actual cumulative EPS for the Performance Period shall be computed using the following procedures:</w:t>
      </w:r>
    </w:p>
    <w:p>
      <w:pPr>
        <w:spacing w:after="0" w:line="82" w:lineRule="exact"/>
        <w:rPr>
          <w:rFonts w:ascii="Arial" w:cs="Arial" w:eastAsia="Arial" w:hAnsi="Arial"/>
          <w:sz w:val="21"/>
          <w:szCs w:val="21"/>
          <w:color w:val="auto"/>
        </w:rPr>
      </w:pPr>
    </w:p>
    <w:p>
      <w:pPr>
        <w:jc w:val="both"/>
        <w:ind w:left="1960" w:hanging="332"/>
        <w:spacing w:after="0" w:line="217" w:lineRule="auto"/>
        <w:tabs>
          <w:tab w:leader="none" w:pos="2059" w:val="left"/>
        </w:tabs>
        <w:numPr>
          <w:ilvl w:val="1"/>
          <w:numId w:val="62"/>
        </w:numPr>
        <w:rPr>
          <w:rFonts w:ascii="Arial" w:cs="Arial" w:eastAsia="Arial" w:hAnsi="Arial"/>
          <w:sz w:val="22"/>
          <w:szCs w:val="22"/>
          <w:color w:val="auto"/>
        </w:rPr>
      </w:pPr>
      <w:r>
        <w:rPr>
          <w:rFonts w:ascii="Arial" w:cs="Arial" w:eastAsia="Arial" w:hAnsi="Arial"/>
          <w:sz w:val="22"/>
          <w:szCs w:val="22"/>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pacing w:after="0" w:line="44" w:lineRule="exact"/>
        <w:rPr>
          <w:rFonts w:ascii="Arial" w:cs="Arial" w:eastAsia="Arial" w:hAnsi="Arial"/>
          <w:sz w:val="22"/>
          <w:szCs w:val="22"/>
          <w:color w:val="auto"/>
        </w:rPr>
      </w:pPr>
    </w:p>
    <w:p>
      <w:pPr>
        <w:jc w:val="both"/>
        <w:ind w:left="1960" w:hanging="332"/>
        <w:spacing w:after="0" w:line="226" w:lineRule="auto"/>
        <w:tabs>
          <w:tab w:leader="none" w:pos="2098"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41" w:lineRule="exact"/>
        <w:rPr>
          <w:rFonts w:ascii="Arial" w:cs="Arial" w:eastAsia="Arial" w:hAnsi="Arial"/>
          <w:sz w:val="22"/>
          <w:szCs w:val="22"/>
          <w:color w:val="auto"/>
        </w:rPr>
      </w:pPr>
    </w:p>
    <w:p>
      <w:pPr>
        <w:jc w:val="both"/>
        <w:ind w:left="1960" w:hanging="332"/>
        <w:spacing w:after="0" w:line="220" w:lineRule="auto"/>
        <w:tabs>
          <w:tab w:leader="none" w:pos="22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44" w:lineRule="exact"/>
        <w:rPr>
          <w:rFonts w:ascii="Arial" w:cs="Arial" w:eastAsia="Arial" w:hAnsi="Arial"/>
          <w:sz w:val="22"/>
          <w:szCs w:val="22"/>
          <w:color w:val="auto"/>
        </w:rPr>
      </w:pPr>
    </w:p>
    <w:p>
      <w:pPr>
        <w:ind w:left="1960" w:hanging="332"/>
        <w:spacing w:after="0" w:line="236" w:lineRule="auto"/>
        <w:tabs>
          <w:tab w:leader="none" w:pos="2102" w:val="left"/>
        </w:tabs>
        <w:numPr>
          <w:ilvl w:val="1"/>
          <w:numId w:val="62"/>
        </w:numPr>
        <w:rPr>
          <w:rFonts w:ascii="Arial" w:cs="Arial" w:eastAsia="Arial" w:hAnsi="Arial"/>
          <w:sz w:val="22"/>
          <w:szCs w:val="22"/>
          <w:color w:val="auto"/>
        </w:rPr>
      </w:pPr>
      <w:r>
        <w:rPr>
          <w:rFonts w:ascii="Arial" w:cs="Arial" w:eastAsia="Arial" w:hAnsi="Arial"/>
          <w:sz w:val="22"/>
          <w:szCs w:val="22"/>
          <w:color w:val="auto"/>
        </w:rPr>
        <w:t>To determine the cumulative EPS for the Performance Period, the EPS amounts for each fiscal year as determined above shall be added.</w:t>
      </w:r>
    </w:p>
    <w:p>
      <w:pPr>
        <w:spacing w:after="0" w:line="42" w:lineRule="exact"/>
        <w:rPr>
          <w:rFonts w:ascii="Arial" w:cs="Arial" w:eastAsia="Arial" w:hAnsi="Arial"/>
          <w:sz w:val="22"/>
          <w:szCs w:val="22"/>
          <w:color w:val="auto"/>
        </w:rPr>
      </w:pPr>
    </w:p>
    <w:p>
      <w:pPr>
        <w:ind w:left="1300" w:hanging="644"/>
        <w:spacing w:after="0" w:line="236" w:lineRule="auto"/>
        <w:tabs>
          <w:tab w:leader="none" w:pos="111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payout multiple corresponding to the EPS Growth (as shown on page 1 of this document) shall then be applied to the Target Number of Shares.</w:t>
      </w:r>
    </w:p>
    <w:p>
      <w:pPr>
        <w:spacing w:after="0" w:line="42" w:lineRule="exact"/>
        <w:rPr>
          <w:rFonts w:ascii="Arial" w:cs="Arial" w:eastAsia="Arial" w:hAnsi="Arial"/>
          <w:sz w:val="22"/>
          <w:szCs w:val="22"/>
          <w:color w:val="auto"/>
        </w:rPr>
      </w:pPr>
    </w:p>
    <w:p>
      <w:pPr>
        <w:ind w:left="1300" w:hanging="644"/>
        <w:spacing w:after="0" w:line="236" w:lineRule="auto"/>
        <w:tabs>
          <w:tab w:leader="none" w:pos="1141"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number of Performance Units under this Performance Award will be the number resulting from the calculation described in subsection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3</w:t>
      </w:r>
    </w:p>
    <w:p>
      <w:pPr>
        <w:sectPr>
          <w:pgSz w:w="11900" w:h="16838" w:orient="portrait"/>
          <w:cols w:equalWidth="0" w:num="1">
            <w:col w:w="11240"/>
          </w:cols>
          <w:pgMar w:left="320" w:top="87" w:right="339" w:bottom="1440" w:gutter="0" w:footer="0" w:header="0"/>
        </w:sectPr>
      </w:pPr>
    </w:p>
    <w:bookmarkStart w:id="123" w:name="page124"/>
    <w:bookmarkEnd w:id="123"/>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hanging="644"/>
        <w:spacing w:after="0" w:line="226" w:lineRule="auto"/>
        <w:tabs>
          <w:tab w:leader="none" w:pos="1091"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event the Grantee’s Service is terminated prior to the Service Vesting Date for any reason or in any circumstance other than as described in Section 3 below, the Award, including any accrued Dividend Equivalent Rights, shall be forfeited.</w:t>
      </w:r>
    </w:p>
    <w:p>
      <w:pPr>
        <w:spacing w:after="0" w:line="142"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3.</w:t>
      </w:r>
      <w:r>
        <w:rPr>
          <w:sz w:val="20"/>
          <w:szCs w:val="20"/>
          <w:color w:val="auto"/>
        </w:rPr>
        <w:tab/>
      </w:r>
      <w:r>
        <w:rPr>
          <w:rFonts w:ascii="Calibri" w:cs="Calibri" w:eastAsia="Calibri" w:hAnsi="Calibri"/>
          <w:sz w:val="22"/>
          <w:szCs w:val="22"/>
          <w:color w:val="auto"/>
        </w:rPr>
        <w:t>Impact of Certain Employment Status Changes</w:t>
      </w:r>
    </w:p>
    <w:p>
      <w:pPr>
        <w:spacing w:after="0" w:line="78" w:lineRule="exact"/>
        <w:rPr>
          <w:sz w:val="20"/>
          <w:szCs w:val="20"/>
          <w:color w:val="auto"/>
        </w:rPr>
      </w:pPr>
    </w:p>
    <w:p>
      <w:pPr>
        <w:jc w:val="both"/>
        <w:ind w:left="420" w:right="20"/>
        <w:spacing w:after="0" w:line="226"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41" w:lineRule="exact"/>
        <w:rPr>
          <w:sz w:val="20"/>
          <w:szCs w:val="20"/>
          <w:color w:val="auto"/>
        </w:rPr>
      </w:pPr>
    </w:p>
    <w:p>
      <w:pPr>
        <w:ind w:left="1300" w:hanging="644"/>
        <w:spacing w:after="0" w:line="226" w:lineRule="auto"/>
        <w:tabs>
          <w:tab w:leader="none" w:pos="108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41" w:lineRule="exact"/>
        <w:rPr>
          <w:rFonts w:ascii="Arial" w:cs="Arial" w:eastAsia="Arial" w:hAnsi="Arial"/>
          <w:sz w:val="22"/>
          <w:szCs w:val="22"/>
          <w:color w:val="auto"/>
        </w:rPr>
      </w:pPr>
    </w:p>
    <w:p>
      <w:pPr>
        <w:ind w:left="1300" w:hanging="644"/>
        <w:spacing w:after="0" w:line="214" w:lineRule="auto"/>
        <w:tabs>
          <w:tab w:leader="none" w:pos="108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41" w:lineRule="exact"/>
        <w:rPr>
          <w:sz w:val="20"/>
          <w:szCs w:val="20"/>
          <w:color w:val="auto"/>
        </w:rPr>
      </w:pPr>
    </w:p>
    <w:p>
      <w:pPr>
        <w:jc w:val="both"/>
        <w:ind w:left="1300"/>
        <w:spacing w:after="0" w:line="219"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3" w:lineRule="exact"/>
        <w:rPr>
          <w:sz w:val="20"/>
          <w:szCs w:val="20"/>
          <w:color w:val="auto"/>
        </w:rPr>
      </w:pPr>
    </w:p>
    <w:p>
      <w:pPr>
        <w:jc w:val="both"/>
        <w:ind w:left="1300" w:firstLine="4"/>
        <w:spacing w:after="0" w:line="211" w:lineRule="auto"/>
        <w:tabs>
          <w:tab w:leader="none" w:pos="1674" w:val="left"/>
        </w:tabs>
        <w:numPr>
          <w:ilvl w:val="0"/>
          <w:numId w:val="65"/>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43"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43" w:lineRule="exact"/>
        <w:rPr>
          <w:sz w:val="20"/>
          <w:szCs w:val="20"/>
          <w:color w:val="auto"/>
        </w:rPr>
      </w:pPr>
    </w:p>
    <w:p>
      <w:pPr>
        <w:jc w:val="both"/>
        <w:ind w:left="1300" w:hanging="644"/>
        <w:spacing w:after="0" w:line="215" w:lineRule="auto"/>
        <w:tabs>
          <w:tab w:leader="none" w:pos="131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Except as otherwise provided in section 3(b), in the event the Grantee’s employment is subject to a Qualifying Termination (as defined below), the Performance Units shall vest, provided that if the Qualifying Termination occurs prior to the last day of the Performance Period, the number of Shares eligible to vest shall be the number determined in accordance with Section 2 above, reduced proportionally for the portion of the total days during the Performance Period in which the Grantee was not in active Service.</w:t>
      </w:r>
    </w:p>
    <w:p>
      <w:pPr>
        <w:spacing w:after="0" w:line="44" w:lineRule="exact"/>
        <w:rPr>
          <w:rFonts w:ascii="Arial" w:cs="Arial" w:eastAsia="Arial" w:hAnsi="Arial"/>
          <w:sz w:val="22"/>
          <w:szCs w:val="22"/>
          <w:color w:val="auto"/>
        </w:rPr>
      </w:pPr>
    </w:p>
    <w:p>
      <w:pPr>
        <w:ind w:left="1300" w:right="20"/>
        <w:spacing w:after="0" w:line="236"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42" w:lineRule="exact"/>
        <w:rPr>
          <w:rFonts w:ascii="Arial" w:cs="Arial" w:eastAsia="Arial" w:hAnsi="Arial"/>
          <w:sz w:val="22"/>
          <w:szCs w:val="22"/>
          <w:color w:val="auto"/>
        </w:rPr>
      </w:pPr>
    </w:p>
    <w:p>
      <w:pPr>
        <w:ind w:left="1980" w:hanging="352"/>
        <w:spacing w:after="0"/>
        <w:tabs>
          <w:tab w:leader="none" w:pos="19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20" w:lineRule="auto"/>
        <w:tabs>
          <w:tab w:leader="none" w:pos="2199" w:val="left"/>
        </w:tabs>
        <w:numPr>
          <w:ilvl w:val="1"/>
          <w:numId w:val="66"/>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4</w:t>
      </w:r>
    </w:p>
    <w:p>
      <w:pPr>
        <w:sectPr>
          <w:pgSz w:w="11900" w:h="16838" w:orient="portrait"/>
          <w:cols w:equalWidth="0" w:num="1">
            <w:col w:w="11240"/>
          </w:cols>
          <w:pgMar w:left="320" w:top="87" w:right="339" w:bottom="1440" w:gutter="0" w:footer="0" w:header="0"/>
        </w:sectPr>
      </w:pPr>
    </w:p>
    <w:bookmarkStart w:id="124" w:name="page125"/>
    <w:bookmarkEnd w:id="124"/>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right="760"/>
        <w:spacing w:after="0" w:line="236"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43" w:lineRule="exact"/>
        <w:rPr>
          <w:sz w:val="20"/>
          <w:szCs w:val="20"/>
          <w:color w:val="auto"/>
        </w:rPr>
      </w:pPr>
    </w:p>
    <w:p>
      <w:pPr>
        <w:ind w:left="1300" w:right="100"/>
        <w:spacing w:after="0" w:line="25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25" w:lineRule="exact"/>
        <w:rPr>
          <w:sz w:val="20"/>
          <w:szCs w:val="20"/>
          <w:color w:val="auto"/>
        </w:rPr>
      </w:pPr>
    </w:p>
    <w:p>
      <w:pPr>
        <w:ind w:left="1300" w:hanging="644"/>
        <w:spacing w:after="0" w:line="212" w:lineRule="auto"/>
        <w:tabs>
          <w:tab w:leader="none" w:pos="11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Company may, in its sole discretion, cancel this Performance Award or reduce the number of Performance Units, prorated according to time or other measure as determined appropriate by the Company, if during any period prior to the Service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48"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as a result of the failure to locate a position within the Company or an Affiliate following reallocation or medical reassignment shall be final and binding on the Grantee.</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4.</w:t>
      </w:r>
      <w:r>
        <w:rPr>
          <w:sz w:val="20"/>
          <w:szCs w:val="20"/>
          <w:color w:val="auto"/>
        </w:rPr>
        <w:tab/>
      </w:r>
      <w:r>
        <w:rPr>
          <w:rFonts w:ascii="Calibri" w:cs="Calibri" w:eastAsia="Calibri" w:hAnsi="Calibri"/>
          <w:sz w:val="22"/>
          <w:szCs w:val="22"/>
          <w:color w:val="auto"/>
        </w:rPr>
        <w:t>Change in Control</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85" w:lineRule="exact"/>
        <w:rPr>
          <w:sz w:val="20"/>
          <w:szCs w:val="20"/>
          <w:color w:val="auto"/>
        </w:rPr>
      </w:pPr>
    </w:p>
    <w:p>
      <w:pPr>
        <w:jc w:val="both"/>
        <w:ind w:left="1300" w:hanging="644"/>
        <w:spacing w:after="0" w:line="226" w:lineRule="auto"/>
        <w:tabs>
          <w:tab w:leader="none" w:pos="1282"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41" w:lineRule="exact"/>
        <w:rPr>
          <w:rFonts w:ascii="Arial" w:cs="Arial" w:eastAsia="Arial" w:hAnsi="Arial"/>
          <w:sz w:val="22"/>
          <w:szCs w:val="22"/>
          <w:color w:val="auto"/>
        </w:rPr>
      </w:pPr>
    </w:p>
    <w:p>
      <w:pPr>
        <w:ind w:left="1300" w:hanging="644"/>
        <w:spacing w:after="0" w:line="212" w:lineRule="auto"/>
        <w:tabs>
          <w:tab w:leader="none" w:pos="1124"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Performance Units,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48" w:lineRule="exact"/>
        <w:rPr>
          <w:rFonts w:ascii="Arial" w:cs="Arial" w:eastAsia="Arial" w:hAnsi="Arial"/>
          <w:sz w:val="22"/>
          <w:szCs w:val="22"/>
          <w:color w:val="auto"/>
        </w:rPr>
      </w:pPr>
    </w:p>
    <w:p>
      <w:pPr>
        <w:jc w:val="both"/>
        <w:ind w:left="1960" w:hanging="332"/>
        <w:spacing w:after="0" w:line="220" w:lineRule="auto"/>
        <w:tabs>
          <w:tab w:leader="none" w:pos="2035" w:val="left"/>
        </w:tabs>
        <w:numPr>
          <w:ilvl w:val="1"/>
          <w:numId w:val="68"/>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44" w:lineRule="exact"/>
        <w:rPr>
          <w:rFonts w:ascii="Arial" w:cs="Arial" w:eastAsia="Arial" w:hAnsi="Arial"/>
          <w:sz w:val="22"/>
          <w:szCs w:val="22"/>
          <w:color w:val="auto"/>
        </w:rPr>
      </w:pPr>
    </w:p>
    <w:p>
      <w:pPr>
        <w:ind w:left="1960" w:right="80" w:hanging="332"/>
        <w:spacing w:after="0" w:line="217" w:lineRule="auto"/>
        <w:tabs>
          <w:tab w:leader="none" w:pos="2032" w:val="left"/>
        </w:tabs>
        <w:numPr>
          <w:ilvl w:val="1"/>
          <w:numId w:val="68"/>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44"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5</w:t>
      </w:r>
    </w:p>
    <w:p>
      <w:pPr>
        <w:sectPr>
          <w:pgSz w:w="11900" w:h="16838" w:orient="portrait"/>
          <w:cols w:equalWidth="0" w:num="1">
            <w:col w:w="11240"/>
          </w:cols>
          <w:pgMar w:left="320" w:top="87" w:right="339" w:bottom="1440" w:gutter="0" w:footer="0" w:header="0"/>
        </w:sectPr>
      </w:pPr>
    </w:p>
    <w:bookmarkStart w:id="125" w:name="page126"/>
    <w:bookmarkEnd w:id="125"/>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300"/>
        <w:spacing w:after="0" w:line="220" w:lineRule="auto"/>
        <w:rPr>
          <w:sz w:val="20"/>
          <w:szCs w:val="20"/>
          <w:color w:val="auto"/>
        </w:rPr>
      </w:pPr>
      <w:r>
        <w:rPr>
          <w:rFonts w:ascii="Arial" w:cs="Arial" w:eastAsia="Arial" w:hAnsi="Arial"/>
          <w:sz w:val="22"/>
          <w:szCs w:val="22"/>
          <w:color w:val="auto"/>
        </w:rPr>
        <w:t>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44" w:lineRule="exact"/>
        <w:rPr>
          <w:sz w:val="20"/>
          <w:szCs w:val="20"/>
          <w:color w:val="auto"/>
        </w:rPr>
      </w:pPr>
    </w:p>
    <w:p>
      <w:pPr>
        <w:ind w:left="1300" w:hanging="644"/>
        <w:spacing w:after="0" w:line="236" w:lineRule="auto"/>
        <w:tabs>
          <w:tab w:leader="none" w:pos="1191"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following shall apply in the event of a Transaction that occurs subsequent to the last day of the Performance Period but prior to the Service Vesting Date:</w:t>
      </w:r>
    </w:p>
    <w:p>
      <w:pPr>
        <w:spacing w:after="0" w:line="42" w:lineRule="exact"/>
        <w:rPr>
          <w:rFonts w:ascii="Arial" w:cs="Arial" w:eastAsia="Arial" w:hAnsi="Arial"/>
          <w:sz w:val="22"/>
          <w:szCs w:val="22"/>
          <w:color w:val="auto"/>
        </w:rPr>
      </w:pPr>
    </w:p>
    <w:p>
      <w:pPr>
        <w:jc w:val="both"/>
        <w:ind w:left="1960" w:hanging="332"/>
        <w:spacing w:after="0" w:line="220" w:lineRule="auto"/>
        <w:tabs>
          <w:tab w:leader="none" w:pos="2051" w:val="left"/>
        </w:tabs>
        <w:numPr>
          <w:ilvl w:val="1"/>
          <w:numId w:val="69"/>
        </w:numPr>
        <w:rPr>
          <w:rFonts w:ascii="Arial" w:cs="Arial" w:eastAsia="Arial" w:hAnsi="Arial"/>
          <w:sz w:val="22"/>
          <w:szCs w:val="22"/>
          <w:color w:val="auto"/>
        </w:rPr>
      </w:pPr>
      <w:r>
        <w:rPr>
          <w:rFonts w:ascii="Arial" w:cs="Arial" w:eastAsia="Arial" w:hAnsi="Arial"/>
          <w:sz w:val="22"/>
          <w:szCs w:val="22"/>
          <w:color w:val="auto"/>
        </w:rPr>
        <w:t>In the event that the Performance Units are not converted, assumed, substituted, continued or replaced by a successor or surviving corporation, or a parent or subsidiary thereof, in connection with a Transaction, then immediately prior to the Transaction, the Performance Units shall vest automatically in full.</w:t>
      </w:r>
    </w:p>
    <w:p>
      <w:pPr>
        <w:spacing w:after="0" w:line="44" w:lineRule="exact"/>
        <w:rPr>
          <w:rFonts w:ascii="Arial" w:cs="Arial" w:eastAsia="Arial" w:hAnsi="Arial"/>
          <w:sz w:val="22"/>
          <w:szCs w:val="22"/>
          <w:color w:val="auto"/>
        </w:rPr>
      </w:pPr>
    </w:p>
    <w:p>
      <w:pPr>
        <w:ind w:left="1960" w:right="20" w:hanging="332"/>
        <w:spacing w:after="0" w:line="217" w:lineRule="auto"/>
        <w:tabs>
          <w:tab w:leader="none" w:pos="2032" w:val="left"/>
        </w:tabs>
        <w:numPr>
          <w:ilvl w:val="1"/>
          <w:numId w:val="69"/>
        </w:numPr>
        <w:rPr>
          <w:rFonts w:ascii="Arial" w:cs="Arial" w:eastAsia="Arial" w:hAnsi="Arial"/>
          <w:sz w:val="22"/>
          <w:szCs w:val="22"/>
          <w:color w:val="auto"/>
        </w:rPr>
      </w:pPr>
      <w:r>
        <w:rPr>
          <w:rFonts w:ascii="Arial" w:cs="Arial" w:eastAsia="Arial" w:hAnsi="Arial"/>
          <w:sz w:val="22"/>
          <w:szCs w:val="22"/>
          <w:color w:val="auto"/>
        </w:rPr>
        <w:t>In the event that the Performance Units are converted, assumed, substituted, continued or replaced by a successor or surviving corporation, or a parent or subsidiary thereof, in connection with the Transaction and the Grantee is subject to a Covered Termination prior to the Service Vesting Date, then immediately as of the date of the Covered Termination, the Performance Units shall vest automatically in full.</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5.</w:t>
        <w:tab/>
        <w:t>Setlement</w:t>
      </w:r>
    </w:p>
    <w:p>
      <w:pPr>
        <w:spacing w:after="0" w:line="78" w:lineRule="exact"/>
        <w:rPr>
          <w:sz w:val="20"/>
          <w:szCs w:val="20"/>
          <w:color w:val="auto"/>
        </w:rPr>
      </w:pPr>
    </w:p>
    <w:p>
      <w:pPr>
        <w:ind w:left="1300" w:hanging="644"/>
        <w:spacing w:after="0" w:line="226" w:lineRule="auto"/>
        <w:tabs>
          <w:tab w:leader="none" w:pos="1112"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Except as provided below, a vested Award shall be paid to the Grantee as soon as practicable, but in no event later than sixty (60) days following the Service Vesting Date, including if the Award vests pursuant to Sections 3(b) or 3(c).</w:t>
      </w:r>
    </w:p>
    <w:p>
      <w:pPr>
        <w:spacing w:after="0" w:line="24" w:lineRule="exact"/>
        <w:rPr>
          <w:rFonts w:ascii="Arial" w:cs="Arial" w:eastAsia="Arial" w:hAnsi="Arial"/>
          <w:sz w:val="22"/>
          <w:szCs w:val="22"/>
          <w:color w:val="auto"/>
        </w:rPr>
      </w:pPr>
    </w:p>
    <w:p>
      <w:pPr>
        <w:ind w:left="1120" w:hanging="464"/>
        <w:spacing w:after="0"/>
        <w:tabs>
          <w:tab w:leader="none" w:pos="11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the Award vests pursuant to Section 3(b)(ii), the Award shall be paid to the Grantee no later than sixty</w:t>
      </w:r>
    </w:p>
    <w:p>
      <w:pPr>
        <w:jc w:val="both"/>
        <w:ind w:left="1300" w:firstLine="4"/>
        <w:spacing w:after="0" w:line="212" w:lineRule="auto"/>
        <w:tabs>
          <w:tab w:leader="none" w:pos="1799" w:val="left"/>
        </w:tabs>
        <w:numPr>
          <w:ilvl w:val="1"/>
          <w:numId w:val="70"/>
        </w:numPr>
        <w:rPr>
          <w:rFonts w:ascii="Arial" w:cs="Arial" w:eastAsia="Arial" w:hAnsi="Arial"/>
          <w:sz w:val="22"/>
          <w:szCs w:val="22"/>
          <w:color w:val="auto"/>
        </w:rPr>
      </w:pPr>
      <w:r>
        <w:rPr>
          <w:rFonts w:ascii="Arial" w:cs="Arial" w:eastAsia="Arial" w:hAnsi="Arial"/>
          <w:sz w:val="22"/>
          <w:szCs w:val="22"/>
          <w:color w:val="auto"/>
        </w:rPr>
        <w:t>days following (i) the date the Committee determines the number of units eligible to vest in accordance with Section 2, if the vesting event occurs on or prior to the last day of the Performance Period or (ii) the date of the vesting event, if the vesting event occurs after the last day of the Performance Period, provided that if the Award is considered an item of nonqualified deferred compensation subject to Section 409A of the Code (“NQ Deferred Compensation”), the Award shall be paid in the calendar year containing the Service Vesting Date.</w:t>
      </w:r>
    </w:p>
    <w:p>
      <w:pPr>
        <w:spacing w:after="0" w:line="43" w:lineRule="exact"/>
        <w:rPr>
          <w:rFonts w:ascii="Arial" w:cs="Arial" w:eastAsia="Arial" w:hAnsi="Arial"/>
          <w:sz w:val="22"/>
          <w:szCs w:val="22"/>
          <w:color w:val="auto"/>
        </w:rPr>
      </w:pPr>
    </w:p>
    <w:p>
      <w:pPr>
        <w:ind w:left="1300" w:hanging="644"/>
        <w:spacing w:after="0" w:line="215" w:lineRule="auto"/>
        <w:tabs>
          <w:tab w:leader="none" w:pos="1141"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the Award vests pursuant to Section 4(b)(i) or Section 4(c)(i), the Award shall be paid to the Grantee immediately prior to the Transaction, provided that if the Award is considered NQ Deferred Compensation and the Transaction does not constitute a “change in control event” under Section 409A of the Code (a “409A CIC”), then the Award shall be paid in cash (calculated based on the value of the Shares established for the consideration to be paid to holders of Shares in the Transaction) on the Service Vesting Date.</w:t>
      </w:r>
    </w:p>
    <w:p>
      <w:pPr>
        <w:spacing w:after="0" w:line="44" w:lineRule="exact"/>
        <w:rPr>
          <w:rFonts w:ascii="Arial" w:cs="Arial" w:eastAsia="Arial" w:hAnsi="Arial"/>
          <w:sz w:val="22"/>
          <w:szCs w:val="22"/>
          <w:color w:val="auto"/>
        </w:rPr>
      </w:pPr>
    </w:p>
    <w:p>
      <w:pPr>
        <w:ind w:left="1300" w:hanging="644"/>
        <w:spacing w:after="0" w:line="223" w:lineRule="auto"/>
        <w:tabs>
          <w:tab w:leader="none" w:pos="1079" w:val="left"/>
        </w:tabs>
        <w:numPr>
          <w:ilvl w:val="0"/>
          <w:numId w:val="70"/>
        </w:numPr>
        <w:rPr>
          <w:rFonts w:ascii="Arial" w:cs="Arial" w:eastAsia="Arial" w:hAnsi="Arial"/>
          <w:sz w:val="21"/>
          <w:szCs w:val="21"/>
          <w:color w:val="auto"/>
        </w:rPr>
      </w:pPr>
      <w:r>
        <w:rPr>
          <w:rFonts w:ascii="Arial" w:cs="Arial" w:eastAsia="Arial" w:hAnsi="Arial"/>
          <w:sz w:val="21"/>
          <w:szCs w:val="21"/>
          <w:color w:val="auto"/>
        </w:rPr>
        <w:t>If the Award vests pursuant to Section 4(b)(ii) or Section 4(c)(ii), the Award shall be paid to the Grantee as soon as practicable, but in no event later than sixty (60) days following the date the Grantee is subject to a Covered Termination, provided that if the Award is NQ Deferred Compensation (and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first day following the six (6) month anniversary of the Grantee’s Section 409A Separation and (2) the date of the Grantee’s death.</w:t>
      </w:r>
    </w:p>
    <w:p>
      <w:pPr>
        <w:spacing w:after="0" w:line="40" w:lineRule="exact"/>
        <w:rPr>
          <w:rFonts w:ascii="Arial" w:cs="Arial" w:eastAsia="Arial" w:hAnsi="Arial"/>
          <w:sz w:val="21"/>
          <w:szCs w:val="21"/>
          <w:color w:val="auto"/>
        </w:rPr>
      </w:pPr>
    </w:p>
    <w:p>
      <w:pPr>
        <w:jc w:val="both"/>
        <w:ind w:left="1300" w:hanging="644"/>
        <w:spacing w:after="0" w:line="237" w:lineRule="auto"/>
        <w:tabs>
          <w:tab w:leader="none" w:pos="1222" w:val="left"/>
        </w:tabs>
        <w:numPr>
          <w:ilvl w:val="0"/>
          <w:numId w:val="70"/>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5(f) below, to the Grantee. In the event the Grantee is entitled to a fractional Share, the fraction may be paid in cash or rounded, in the Committee’s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6</w:t>
      </w:r>
    </w:p>
    <w:p>
      <w:pPr>
        <w:sectPr>
          <w:pgSz w:w="11900" w:h="16838" w:orient="portrait"/>
          <w:cols w:equalWidth="0" w:num="1">
            <w:col w:w="11240"/>
          </w:cols>
          <w:pgMar w:left="320" w:top="87" w:right="339" w:bottom="1440" w:gutter="0" w:footer="0" w:header="0"/>
        </w:sectPr>
      </w:pPr>
    </w:p>
    <w:bookmarkStart w:id="126" w:name="page127"/>
    <w:bookmarkEnd w:id="126"/>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hanging="644"/>
        <w:spacing w:after="0" w:line="228" w:lineRule="auto"/>
        <w:tabs>
          <w:tab w:leader="none" w:pos="1069" w:val="left"/>
        </w:tabs>
        <w:numPr>
          <w:ilvl w:val="0"/>
          <w:numId w:val="71"/>
        </w:numPr>
        <w:rPr>
          <w:rFonts w:ascii="Arial" w:cs="Arial" w:eastAsia="Arial" w:hAnsi="Arial"/>
          <w:sz w:val="21"/>
          <w:szCs w:val="21"/>
          <w:color w:val="auto"/>
        </w:rPr>
      </w:pPr>
      <w:r>
        <w:rPr>
          <w:rFonts w:ascii="Arial" w:cs="Arial" w:eastAsia="Arial" w:hAnsi="Arial"/>
          <w:sz w:val="21"/>
          <w:szCs w:val="21"/>
          <w:color w:val="auto"/>
        </w:rPr>
        <w:t>At any time prior to the Service Vesting Date or until the Performance Units are paid in accordance with this Section 5, the Committee may, if it so elects, determine to pay part or all of the Performance Units in cash in lieu of issuing or transferring Shares. The amount of cash shall be calculated based on the Fair Market Value of the Shares on the last day of the Restriction Period in the case of payment pursuant to Section 5(a) and on the date of payment in the case of a payment pursuant to Section 5(d).</w:t>
      </w:r>
    </w:p>
    <w:p>
      <w:pPr>
        <w:spacing w:after="0" w:line="40" w:lineRule="exact"/>
        <w:rPr>
          <w:rFonts w:ascii="Arial" w:cs="Arial" w:eastAsia="Arial" w:hAnsi="Arial"/>
          <w:sz w:val="21"/>
          <w:szCs w:val="21"/>
          <w:color w:val="auto"/>
        </w:rPr>
      </w:pPr>
    </w:p>
    <w:p>
      <w:pPr>
        <w:ind w:left="1080" w:hanging="424"/>
        <w:spacing w:after="0"/>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Dividend Equivalent Rights, if any, that accrue hereunder shall be settled in cash.</w:t>
      </w:r>
    </w:p>
    <w:p>
      <w:pPr>
        <w:spacing w:after="0" w:line="71" w:lineRule="exact"/>
        <w:rPr>
          <w:rFonts w:ascii="Arial" w:cs="Arial" w:eastAsia="Arial" w:hAnsi="Arial"/>
          <w:sz w:val="22"/>
          <w:szCs w:val="22"/>
          <w:color w:val="auto"/>
        </w:rPr>
      </w:pPr>
    </w:p>
    <w:p>
      <w:pPr>
        <w:ind w:left="1300" w:right="20" w:hanging="644"/>
        <w:spacing w:after="0" w:line="236" w:lineRule="auto"/>
        <w:tabs>
          <w:tab w:leader="none" w:pos="1079" w:val="left"/>
        </w:tabs>
        <w:numPr>
          <w:ilvl w:val="0"/>
          <w:numId w:val="71"/>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6.</w:t>
      </w:r>
      <w:r>
        <w:rPr>
          <w:sz w:val="20"/>
          <w:szCs w:val="20"/>
          <w:color w:val="auto"/>
        </w:rPr>
        <w:tab/>
      </w:r>
      <w:r>
        <w:rPr>
          <w:rFonts w:ascii="Calibri" w:cs="Calibri" w:eastAsia="Calibri" w:hAnsi="Calibri"/>
          <w:sz w:val="22"/>
          <w:szCs w:val="22"/>
          <w:color w:val="auto"/>
        </w:rPr>
        <w:t>Rights of the Grantee</w:t>
      </w:r>
    </w:p>
    <w:p>
      <w:pPr>
        <w:spacing w:after="0" w:line="78" w:lineRule="exact"/>
        <w:rPr>
          <w:sz w:val="20"/>
          <w:szCs w:val="20"/>
          <w:color w:val="auto"/>
        </w:rPr>
      </w:pPr>
    </w:p>
    <w:p>
      <w:pPr>
        <w:jc w:val="both"/>
        <w:ind w:left="1300" w:hanging="644"/>
        <w:spacing w:after="0" w:line="226" w:lineRule="auto"/>
        <w:tabs>
          <w:tab w:leader="none" w:pos="130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Performance Award does not entitle the Grantee to any rights of a shareholder of Lilly until such time as the Performance Award is settled and Shares are issued or transferred to the Grantee.</w:t>
      </w:r>
    </w:p>
    <w:p>
      <w:pPr>
        <w:spacing w:after="0" w:line="41" w:lineRule="exact"/>
        <w:rPr>
          <w:rFonts w:ascii="Arial" w:cs="Arial" w:eastAsia="Arial" w:hAnsi="Arial"/>
          <w:sz w:val="22"/>
          <w:szCs w:val="22"/>
          <w:color w:val="auto"/>
        </w:rPr>
      </w:pPr>
    </w:p>
    <w:p>
      <w:pPr>
        <w:ind w:left="1300" w:hanging="644"/>
        <w:spacing w:after="0" w:line="211" w:lineRule="auto"/>
        <w:tabs>
          <w:tab w:leader="none" w:pos="112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On each date that the Company pays a cash dividend to holders of Shares during the period commencing on the date the number of Performance Units are determined continuing through the date the Performance Units are settled, the Grantee shall be credited with Dividend Equivalent Rights in an amount equal to the total number of Performance Units, multiplied by the dollar amount of the cash dividend paid per Share by the Company on such date. Dividend Equivalent Rights shall accrue in an account denominated in U.S. dollars and shall not accrue interest or other credits prior to being paid. The Dividend Equivalent Rights shall be subject to the same vesting conditions and restrictions as the Performance Units to which the Dividend Equivalent Rights relate, and the Dividend Equivalent Rights shall be forfeited in the event that the Performance Units with respect to which such Dividend Equivalent Rights were credited are forfeited.</w:t>
      </w:r>
    </w:p>
    <w:p>
      <w:pPr>
        <w:spacing w:after="0" w:line="44" w:lineRule="exact"/>
        <w:rPr>
          <w:rFonts w:ascii="Arial" w:cs="Arial" w:eastAsia="Arial" w:hAnsi="Arial"/>
          <w:sz w:val="22"/>
          <w:szCs w:val="22"/>
          <w:color w:val="auto"/>
        </w:rPr>
      </w:pPr>
    </w:p>
    <w:p>
      <w:pPr>
        <w:ind w:left="1300" w:hanging="644"/>
        <w:spacing w:after="0" w:line="220" w:lineRule="auto"/>
        <w:tabs>
          <w:tab w:leader="none" w:pos="111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7.</w:t>
      </w:r>
      <w:r>
        <w:rPr>
          <w:sz w:val="20"/>
          <w:szCs w:val="20"/>
          <w:color w:val="auto"/>
        </w:rPr>
        <w:tab/>
      </w:r>
      <w:r>
        <w:rPr>
          <w:rFonts w:ascii="Calibri" w:cs="Calibri" w:eastAsia="Calibri" w:hAnsi="Calibri"/>
          <w:sz w:val="22"/>
          <w:szCs w:val="22"/>
          <w:color w:val="auto"/>
        </w:rPr>
        <w:t>Prohibiton Against Transfer</w:t>
      </w:r>
    </w:p>
    <w:p>
      <w:pPr>
        <w:spacing w:after="0" w:line="64"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8.</w:t>
      </w:r>
      <w:r>
        <w:rPr>
          <w:sz w:val="20"/>
          <w:szCs w:val="20"/>
          <w:color w:val="auto"/>
        </w:rPr>
        <w:tab/>
      </w:r>
      <w:r>
        <w:rPr>
          <w:rFonts w:ascii="Calibri" w:cs="Calibri" w:eastAsia="Calibri" w:hAnsi="Calibri"/>
          <w:sz w:val="22"/>
          <w:szCs w:val="22"/>
          <w:color w:val="auto"/>
        </w:rPr>
        <w:t>Responsibility for Taxes</w:t>
      </w:r>
    </w:p>
    <w:p>
      <w:pPr>
        <w:spacing w:after="0" w:line="64" w:lineRule="exact"/>
        <w:rPr>
          <w:sz w:val="20"/>
          <w:szCs w:val="20"/>
          <w:color w:val="auto"/>
        </w:rPr>
      </w:pPr>
    </w:p>
    <w:p>
      <w:pPr>
        <w:ind w:left="1300" w:hanging="644"/>
        <w:spacing w:after="0" w:line="214" w:lineRule="auto"/>
        <w:tabs>
          <w:tab w:leader="none" w:pos="1126"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7</w:t>
      </w:r>
    </w:p>
    <w:p>
      <w:pPr>
        <w:sectPr>
          <w:pgSz w:w="11900" w:h="16838" w:orient="portrait"/>
          <w:cols w:equalWidth="0" w:num="1">
            <w:col w:w="11240"/>
          </w:cols>
          <w:pgMar w:left="320" w:top="87" w:right="339" w:bottom="1440" w:gutter="0" w:footer="0" w:header="0"/>
        </w:sectPr>
      </w:pPr>
    </w:p>
    <w:bookmarkStart w:id="127" w:name="page128"/>
    <w:bookmarkEnd w:id="127"/>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accrual and payment of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44" w:lineRule="exact"/>
        <w:rPr>
          <w:sz w:val="20"/>
          <w:szCs w:val="20"/>
          <w:color w:val="auto"/>
        </w:rPr>
      </w:pPr>
    </w:p>
    <w:p>
      <w:pPr>
        <w:ind w:left="1300" w:hanging="644"/>
        <w:spacing w:after="0" w:line="236" w:lineRule="auto"/>
        <w:tabs>
          <w:tab w:leader="none" w:pos="1191" w:val="left"/>
        </w:tabs>
        <w:numPr>
          <w:ilvl w:val="0"/>
          <w:numId w:val="74"/>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42" w:lineRule="exact"/>
        <w:rPr>
          <w:rFonts w:ascii="Arial" w:cs="Arial" w:eastAsia="Arial" w:hAnsi="Arial"/>
          <w:sz w:val="22"/>
          <w:szCs w:val="22"/>
          <w:color w:val="auto"/>
        </w:rPr>
      </w:pPr>
    </w:p>
    <w:p>
      <w:pPr>
        <w:jc w:val="both"/>
        <w:ind w:left="1800" w:hanging="334"/>
        <w:spacing w:after="0" w:line="217" w:lineRule="auto"/>
        <w:tabs>
          <w:tab w:leader="none" w:pos="18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44" w:lineRule="exact"/>
        <w:rPr>
          <w:rFonts w:ascii="Arial" w:cs="Arial" w:eastAsia="Arial" w:hAnsi="Arial"/>
          <w:sz w:val="22"/>
          <w:szCs w:val="22"/>
          <w:color w:val="auto"/>
        </w:rPr>
      </w:pPr>
    </w:p>
    <w:p>
      <w:pPr>
        <w:jc w:val="both"/>
        <w:ind w:left="1800" w:hanging="334"/>
        <w:spacing w:after="0" w:line="210" w:lineRule="auto"/>
        <w:tabs>
          <w:tab w:leader="none" w:pos="1924" w:val="left"/>
        </w:tabs>
        <w:numPr>
          <w:ilvl w:val="1"/>
          <w:numId w:val="74"/>
        </w:numPr>
        <w:rPr>
          <w:rFonts w:ascii="Arial" w:cs="Arial" w:eastAsia="Arial" w:hAnsi="Arial"/>
          <w:sz w:val="22"/>
          <w:szCs w:val="22"/>
          <w:color w:val="auto"/>
        </w:rPr>
      </w:pPr>
      <w:r>
        <w:rPr>
          <w:rFonts w:ascii="Arial" w:cs="Arial" w:eastAsia="Arial" w:hAnsi="Arial"/>
          <w:sz w:val="22"/>
          <w:szCs w:val="22"/>
          <w:color w:val="auto"/>
        </w:rPr>
        <w:t>If the Performance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49" w:lineRule="exact"/>
        <w:rPr>
          <w:rFonts w:ascii="Arial" w:cs="Arial" w:eastAsia="Arial" w:hAnsi="Arial"/>
          <w:sz w:val="22"/>
          <w:szCs w:val="22"/>
          <w:color w:val="auto"/>
        </w:rPr>
      </w:pPr>
    </w:p>
    <w:p>
      <w:pPr>
        <w:jc w:val="both"/>
        <w:ind w:left="1800" w:hanging="334"/>
        <w:spacing w:after="0" w:line="223" w:lineRule="auto"/>
        <w:tabs>
          <w:tab w:leader="none" w:pos="2033" w:val="left"/>
        </w:tabs>
        <w:numPr>
          <w:ilvl w:val="1"/>
          <w:numId w:val="74"/>
        </w:numPr>
        <w:rPr>
          <w:rFonts w:ascii="Arial" w:cs="Arial" w:eastAsia="Arial" w:hAnsi="Arial"/>
          <w:sz w:val="21"/>
          <w:szCs w:val="21"/>
          <w:color w:val="auto"/>
        </w:rPr>
      </w:pPr>
      <w:r>
        <w:rPr>
          <w:rFonts w:ascii="Arial" w:cs="Arial" w:eastAsia="Arial" w:hAnsi="Arial"/>
          <w:sz w:val="21"/>
          <w:szCs w:val="21"/>
          <w:color w:val="auto"/>
        </w:rPr>
        <w:t>If the Performance Award is paid to the Grantee in Shares and the Grantee is subject to the short-swing profit rules of Section 16(b) of the Exchange Act, for Tax-Related Items other than U.S. Federal Insurance Contribution Act taxes or other Tax-Related Items that become payable in a year prior to the year in which Shares are issued upon settlement of the Performance Award,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40" w:lineRule="exact"/>
        <w:rPr>
          <w:rFonts w:ascii="Arial" w:cs="Arial" w:eastAsia="Arial" w:hAnsi="Arial"/>
          <w:sz w:val="21"/>
          <w:szCs w:val="21"/>
          <w:color w:val="auto"/>
        </w:rPr>
      </w:pPr>
    </w:p>
    <w:p>
      <w:pPr>
        <w:ind w:left="1300" w:hanging="644"/>
        <w:spacing w:after="0" w:line="214" w:lineRule="auto"/>
        <w:tabs>
          <w:tab w:leader="none" w:pos="1091" w:val="left"/>
        </w:tabs>
        <w:numPr>
          <w:ilvl w:val="0"/>
          <w:numId w:val="74"/>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8</w:t>
      </w:r>
    </w:p>
    <w:p>
      <w:pPr>
        <w:sectPr>
          <w:pgSz w:w="11900" w:h="16838" w:orient="portrait"/>
          <w:cols w:equalWidth="0" w:num="1">
            <w:col w:w="11240"/>
          </w:cols>
          <w:pgMar w:left="320" w:top="85" w:right="339" w:bottom="1440" w:gutter="0" w:footer="0" w:header="0"/>
        </w:sectPr>
      </w:pPr>
    </w:p>
    <w:bookmarkStart w:id="128" w:name="page129"/>
    <w:bookmarkEnd w:id="128"/>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right="20"/>
        <w:spacing w:after="0" w:line="236" w:lineRule="auto"/>
        <w:rPr>
          <w:sz w:val="20"/>
          <w:szCs w:val="20"/>
          <w:color w:val="auto"/>
        </w:rPr>
      </w:pPr>
      <w:r>
        <w:rPr>
          <w:rFonts w:ascii="Arial" w:cs="Arial" w:eastAsia="Arial" w:hAnsi="Arial"/>
          <w:sz w:val="22"/>
          <w:szCs w:val="22"/>
          <w:color w:val="auto"/>
        </w:rPr>
        <w:t>pursuant to this Award, notwithstanding that a number of Shares are withheld to satisfy the obligation for Tax Related Items.</w:t>
      </w:r>
    </w:p>
    <w:p>
      <w:pPr>
        <w:spacing w:after="0" w:line="43" w:lineRule="exact"/>
        <w:rPr>
          <w:sz w:val="20"/>
          <w:szCs w:val="20"/>
          <w:color w:val="auto"/>
        </w:rPr>
      </w:pPr>
    </w:p>
    <w:p>
      <w:pPr>
        <w:ind w:left="1300" w:hanging="644"/>
        <w:spacing w:after="0" w:line="236" w:lineRule="auto"/>
        <w:tabs>
          <w:tab w:leader="none" w:pos="1112" w:val="left"/>
        </w:tabs>
        <w:numPr>
          <w:ilvl w:val="0"/>
          <w:numId w:val="75"/>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9.</w:t>
        <w:tab/>
        <w:t>Secton 409A Compliance</w:t>
      </w:r>
    </w:p>
    <w:p>
      <w:pPr>
        <w:spacing w:after="0" w:line="24" w:lineRule="exact"/>
        <w:rPr>
          <w:sz w:val="20"/>
          <w:szCs w:val="20"/>
          <w:color w:val="auto"/>
        </w:rPr>
      </w:pPr>
    </w:p>
    <w:p>
      <w:pPr>
        <w:jc w:val="both"/>
        <w:ind w:left="420"/>
        <w:spacing w:after="0" w:line="220"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10.</w:t>
      </w:r>
      <w:r>
        <w:rPr>
          <w:sz w:val="20"/>
          <w:szCs w:val="20"/>
          <w:color w:val="auto"/>
        </w:rPr>
        <w:tab/>
      </w:r>
      <w:r>
        <w:rPr>
          <w:rFonts w:ascii="Calibri" w:cs="Calibri" w:eastAsia="Calibri" w:hAnsi="Calibri"/>
          <w:sz w:val="22"/>
          <w:szCs w:val="22"/>
          <w:color w:val="auto"/>
        </w:rPr>
        <w:t>Grantee’s Acknowledgments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71" w:lineRule="exact"/>
        <w:rPr>
          <w:sz w:val="20"/>
          <w:szCs w:val="20"/>
          <w:color w:val="auto"/>
        </w:rPr>
      </w:pPr>
    </w:p>
    <w:p>
      <w:pPr>
        <w:ind w:left="1300" w:right="20" w:hanging="644"/>
        <w:spacing w:after="0" w:line="236" w:lineRule="auto"/>
        <w:tabs>
          <w:tab w:leader="none" w:pos="113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2" w:lineRule="exact"/>
        <w:rPr>
          <w:rFonts w:ascii="Arial" w:cs="Arial" w:eastAsia="Arial" w:hAnsi="Arial"/>
          <w:sz w:val="22"/>
          <w:szCs w:val="22"/>
          <w:color w:val="auto"/>
        </w:rPr>
      </w:pPr>
    </w:p>
    <w:p>
      <w:pPr>
        <w:ind w:left="1300" w:hanging="644"/>
        <w:spacing w:after="0" w:line="226" w:lineRule="auto"/>
        <w:tabs>
          <w:tab w:leader="none" w:pos="11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41" w:lineRule="exact"/>
        <w:rPr>
          <w:rFonts w:ascii="Arial" w:cs="Arial" w:eastAsia="Arial" w:hAnsi="Arial"/>
          <w:sz w:val="22"/>
          <w:szCs w:val="22"/>
          <w:color w:val="auto"/>
        </w:rPr>
      </w:pPr>
    </w:p>
    <w:p>
      <w:pPr>
        <w:ind w:left="1300" w:hanging="644"/>
        <w:spacing w:after="0" w:line="236" w:lineRule="auto"/>
        <w:tabs>
          <w:tab w:leader="none" w:pos="110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2" w:lineRule="exact"/>
        <w:rPr>
          <w:rFonts w:ascii="Arial" w:cs="Arial" w:eastAsia="Arial" w:hAnsi="Arial"/>
          <w:sz w:val="22"/>
          <w:szCs w:val="22"/>
          <w:color w:val="auto"/>
        </w:rPr>
      </w:pPr>
    </w:p>
    <w:p>
      <w:pPr>
        <w:ind w:left="1080" w:hanging="424"/>
        <w:spacing w:after="0"/>
        <w:tabs>
          <w:tab w:leader="none" w:pos="10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36" w:lineRule="auto"/>
        <w:tabs>
          <w:tab w:leader="none" w:pos="12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42" w:lineRule="exact"/>
        <w:rPr>
          <w:rFonts w:ascii="Arial" w:cs="Arial" w:eastAsia="Arial" w:hAnsi="Arial"/>
          <w:sz w:val="22"/>
          <w:szCs w:val="22"/>
          <w:color w:val="auto"/>
        </w:rPr>
      </w:pPr>
    </w:p>
    <w:p>
      <w:pPr>
        <w:ind w:left="1300" w:hanging="644"/>
        <w:spacing w:after="0" w:line="217" w:lineRule="auto"/>
        <w:tabs>
          <w:tab w:leader="none" w:pos="102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44" w:lineRule="exact"/>
        <w:rPr>
          <w:rFonts w:ascii="Arial" w:cs="Arial" w:eastAsia="Arial" w:hAnsi="Arial"/>
          <w:sz w:val="22"/>
          <w:szCs w:val="22"/>
          <w:color w:val="auto"/>
        </w:rPr>
      </w:pPr>
    </w:p>
    <w:p>
      <w:pPr>
        <w:ind w:left="1300" w:hanging="644"/>
        <w:spacing w:after="0" w:line="231" w:lineRule="auto"/>
        <w:tabs>
          <w:tab w:leader="none" w:pos="1082" w:val="left"/>
        </w:tabs>
        <w:numPr>
          <w:ilvl w:val="0"/>
          <w:numId w:val="76"/>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42" w:lineRule="exact"/>
        <w:rPr>
          <w:rFonts w:ascii="Arial" w:cs="Arial" w:eastAsia="Arial" w:hAnsi="Arial"/>
          <w:sz w:val="21"/>
          <w:szCs w:val="21"/>
          <w:color w:val="auto"/>
        </w:rPr>
      </w:pPr>
    </w:p>
    <w:p>
      <w:pPr>
        <w:ind w:left="1300" w:hanging="644"/>
        <w:spacing w:after="0" w:line="236" w:lineRule="auto"/>
        <w:tabs>
          <w:tab w:leader="none" w:pos="1243"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42" w:lineRule="exact"/>
        <w:rPr>
          <w:rFonts w:ascii="Arial" w:cs="Arial" w:eastAsia="Arial" w:hAnsi="Arial"/>
          <w:sz w:val="22"/>
          <w:szCs w:val="22"/>
          <w:color w:val="auto"/>
        </w:rPr>
      </w:pPr>
    </w:p>
    <w:p>
      <w:pPr>
        <w:ind w:left="1300" w:hanging="644"/>
        <w:spacing w:after="0" w:line="220" w:lineRule="auto"/>
        <w:tabs>
          <w:tab w:leader="none" w:pos="1027"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44" w:lineRule="exact"/>
        <w:rPr>
          <w:rFonts w:ascii="Arial" w:cs="Arial" w:eastAsia="Arial" w:hAnsi="Arial"/>
          <w:sz w:val="22"/>
          <w:szCs w:val="22"/>
          <w:color w:val="auto"/>
        </w:rPr>
      </w:pPr>
    </w:p>
    <w:p>
      <w:pPr>
        <w:ind w:left="1300" w:hanging="644"/>
        <w:spacing w:after="0" w:line="231" w:lineRule="auto"/>
        <w:tabs>
          <w:tab w:leader="none" w:pos="1064" w:val="left"/>
        </w:tabs>
        <w:numPr>
          <w:ilvl w:val="0"/>
          <w:numId w:val="76"/>
        </w:numPr>
        <w:rPr>
          <w:rFonts w:ascii="Arial" w:cs="Arial" w:eastAsia="Arial" w:hAnsi="Arial"/>
          <w:sz w:val="21"/>
          <w:szCs w:val="21"/>
          <w:color w:val="auto"/>
        </w:rPr>
      </w:pPr>
      <w:r>
        <w:rPr>
          <w:rFonts w:ascii="Arial" w:cs="Arial" w:eastAsia="Arial" w:hAnsi="Arial"/>
          <w:sz w:val="21"/>
          <w:szCs w:val="21"/>
          <w:color w:val="auto"/>
        </w:rPr>
        <w:t>for purposes of the Award, the Grantee’s employment will be considered terminated as of the date he or she is no longer actively providing services to the Company or an Affiliate and the Grantee’s right, if any, to earn and be paid any portion of the Award and any Dividend Equivalent Rights after such termination of employment or services (regardless of the reason for such termination and whether or not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9</w:t>
      </w:r>
    </w:p>
    <w:p>
      <w:pPr>
        <w:sectPr>
          <w:pgSz w:w="11900" w:h="16838" w:orient="portrait"/>
          <w:cols w:equalWidth="0" w:num="1">
            <w:col w:w="11240"/>
          </w:cols>
          <w:pgMar w:left="320" w:top="85" w:right="339" w:bottom="1440" w:gutter="0" w:footer="0" w:header="0"/>
        </w:sectPr>
      </w:pPr>
    </w:p>
    <w:bookmarkStart w:id="129" w:name="page130"/>
    <w:bookmarkEnd w:id="129"/>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41" w:lineRule="exact"/>
        <w:rPr>
          <w:sz w:val="20"/>
          <w:szCs w:val="20"/>
          <w:color w:val="auto"/>
        </w:rPr>
      </w:pPr>
    </w:p>
    <w:p>
      <w:pPr>
        <w:ind w:left="1300" w:hanging="644"/>
        <w:spacing w:after="0" w:line="220" w:lineRule="auto"/>
        <w:tabs>
          <w:tab w:leader="none" w:pos="11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44" w:lineRule="exact"/>
        <w:rPr>
          <w:rFonts w:ascii="Arial" w:cs="Arial" w:eastAsia="Arial" w:hAnsi="Arial"/>
          <w:sz w:val="22"/>
          <w:szCs w:val="22"/>
          <w:color w:val="auto"/>
        </w:rPr>
      </w:pPr>
    </w:p>
    <w:p>
      <w:pPr>
        <w:ind w:left="1300" w:hanging="644"/>
        <w:spacing w:after="0" w:line="236" w:lineRule="auto"/>
        <w:tabs>
          <w:tab w:leader="none" w:pos="1036"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42" w:lineRule="exact"/>
        <w:rPr>
          <w:rFonts w:ascii="Arial" w:cs="Arial" w:eastAsia="Arial" w:hAnsi="Arial"/>
          <w:sz w:val="22"/>
          <w:szCs w:val="22"/>
          <w:color w:val="auto"/>
        </w:rPr>
      </w:pPr>
    </w:p>
    <w:p>
      <w:pPr>
        <w:ind w:left="1300" w:hanging="644"/>
        <w:spacing w:after="0" w:line="226" w:lineRule="auto"/>
        <w:tabs>
          <w:tab w:leader="none" w:pos="1165"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of Lilly Stock that may be issued pursuant to this Award.</w:t>
      </w:r>
    </w:p>
    <w:p>
      <w:pPr>
        <w:spacing w:after="0" w:line="142"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11.</w:t>
        <w:tab/>
        <w:t>Data Privacy</w:t>
      </w:r>
    </w:p>
    <w:p>
      <w:pPr>
        <w:spacing w:after="0" w:line="78" w:lineRule="exact"/>
        <w:rPr>
          <w:sz w:val="20"/>
          <w:szCs w:val="20"/>
          <w:color w:val="auto"/>
        </w:rPr>
      </w:pPr>
    </w:p>
    <w:p>
      <w:pPr>
        <w:jc w:val="both"/>
        <w:ind w:left="1300" w:hanging="644"/>
        <w:spacing w:after="0" w:line="220" w:lineRule="auto"/>
        <w:tabs>
          <w:tab w:leader="none" w:pos="1248" w:val="left"/>
        </w:tabs>
        <w:numPr>
          <w:ilvl w:val="0"/>
          <w:numId w:val="78"/>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Data Collection and Usage</w:t>
      </w:r>
      <w:r>
        <w:rPr>
          <w:rFonts w:ascii="Arial" w:cs="Arial" w:eastAsia="Arial" w:hAnsi="Arial"/>
          <w:sz w:val="21"/>
          <w:szCs w:val="21"/>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9" w:lineRule="exact"/>
        <w:rPr>
          <w:rFonts w:ascii="Arial" w:cs="Arial" w:eastAsia="Arial" w:hAnsi="Arial"/>
          <w:sz w:val="21"/>
          <w:szCs w:val="21"/>
          <w:i w:val="1"/>
          <w:iCs w:val="1"/>
          <w:color w:val="auto"/>
        </w:rPr>
      </w:pPr>
    </w:p>
    <w:p>
      <w:pPr>
        <w:ind w:left="1300" w:hanging="644"/>
        <w:spacing w:after="0" w:line="211" w:lineRule="auto"/>
        <w:tabs>
          <w:tab w:leader="none" w:pos="1194" w:val="left"/>
        </w:tabs>
        <w:numPr>
          <w:ilvl w:val="0"/>
          <w:numId w:val="7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ind w:left="1300" w:hanging="644"/>
        <w:spacing w:after="0" w:line="237" w:lineRule="auto"/>
        <w:tabs>
          <w:tab w:leader="none" w:pos="1087" w:val="left"/>
        </w:tabs>
        <w:numPr>
          <w:ilvl w:val="0"/>
          <w:numId w:val="78"/>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10</w:t>
      </w:r>
    </w:p>
    <w:p>
      <w:pPr>
        <w:sectPr>
          <w:pgSz w:w="11900" w:h="16838" w:orient="portrait"/>
          <w:cols w:equalWidth="0" w:num="1">
            <w:col w:w="11240"/>
          </w:cols>
          <w:pgMar w:left="320" w:top="85" w:right="339" w:bottom="1440" w:gutter="0" w:footer="0" w:header="0"/>
        </w:sectPr>
      </w:pPr>
    </w:p>
    <w:bookmarkStart w:id="130" w:name="page131"/>
    <w:bookmarkEnd w:id="130"/>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hanging="644"/>
        <w:spacing w:after="0" w:line="226" w:lineRule="auto"/>
        <w:tabs>
          <w:tab w:leader="none" w:pos="1180" w:val="left"/>
        </w:tabs>
        <w:numPr>
          <w:ilvl w:val="0"/>
          <w:numId w:val="7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1" w:lineRule="exact"/>
        <w:rPr>
          <w:rFonts w:ascii="Arial" w:cs="Arial" w:eastAsia="Arial" w:hAnsi="Arial"/>
          <w:sz w:val="22"/>
          <w:szCs w:val="22"/>
          <w:i w:val="1"/>
          <w:iCs w:val="1"/>
          <w:color w:val="auto"/>
        </w:rPr>
      </w:pPr>
    </w:p>
    <w:p>
      <w:pPr>
        <w:ind w:left="1300" w:hanging="644"/>
        <w:spacing w:after="0" w:line="215" w:lineRule="auto"/>
        <w:tabs>
          <w:tab w:leader="none" w:pos="1126" w:val="left"/>
        </w:tabs>
        <w:numPr>
          <w:ilvl w:val="0"/>
          <w:numId w:val="7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ind w:left="1300" w:hanging="644"/>
        <w:spacing w:after="0" w:line="208" w:lineRule="auto"/>
        <w:tabs>
          <w:tab w:leader="none" w:pos="1080" w:val="left"/>
        </w:tabs>
        <w:numPr>
          <w:ilvl w:val="0"/>
          <w:numId w:val="7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75" w:val="left"/>
        </w:tabs>
        <w:numPr>
          <w:ilvl w:val="0"/>
          <w:numId w:val="7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12.</w:t>
        <w:tab/>
        <w:t>Restrictve Covenants, Remedies, and Additonal Terms and Conditons</w:t>
      </w:r>
    </w:p>
    <w:p>
      <w:pPr>
        <w:spacing w:after="0" w:line="24" w:lineRule="exact"/>
        <w:rPr>
          <w:sz w:val="20"/>
          <w:szCs w:val="20"/>
          <w:color w:val="auto"/>
        </w:rPr>
      </w:pPr>
    </w:p>
    <w:p>
      <w:pPr>
        <w:ind w:left="1300" w:hanging="644"/>
        <w:spacing w:after="0" w:line="217" w:lineRule="auto"/>
        <w:tabs>
          <w:tab w:leader="none" w:pos="1221"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44" w:lineRule="exact"/>
        <w:rPr>
          <w:rFonts w:ascii="Arial" w:cs="Arial" w:eastAsia="Arial" w:hAnsi="Arial"/>
          <w:sz w:val="22"/>
          <w:szCs w:val="22"/>
          <w:color w:val="auto"/>
        </w:rPr>
      </w:pPr>
    </w:p>
    <w:p>
      <w:pPr>
        <w:jc w:val="both"/>
        <w:ind w:left="1960" w:hanging="332"/>
        <w:spacing w:after="0" w:line="217" w:lineRule="auto"/>
        <w:tabs>
          <w:tab w:leader="none" w:pos="2004" w:val="left"/>
        </w:tabs>
        <w:numPr>
          <w:ilvl w:val="1"/>
          <w:numId w:val="80"/>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11</w:t>
      </w:r>
    </w:p>
    <w:p>
      <w:pPr>
        <w:sectPr>
          <w:pgSz w:w="11900" w:h="16838" w:orient="portrait"/>
          <w:cols w:equalWidth="0" w:num="1">
            <w:col w:w="11240"/>
          </w:cols>
          <w:pgMar w:left="320" w:top="85" w:right="339" w:bottom="1440" w:gutter="0" w:footer="0" w:header="0"/>
        </w:sectPr>
      </w:pPr>
    </w:p>
    <w:bookmarkStart w:id="131" w:name="page132"/>
    <w:bookmarkEnd w:id="131"/>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960" w:right="20"/>
        <w:spacing w:after="0" w:line="236" w:lineRule="auto"/>
        <w:rPr>
          <w:sz w:val="20"/>
          <w:szCs w:val="20"/>
          <w:color w:val="auto"/>
        </w:rPr>
      </w:pPr>
      <w:r>
        <w:rPr>
          <w:rFonts w:ascii="Arial" w:cs="Arial" w:eastAsia="Arial" w:hAnsi="Arial"/>
          <w:sz w:val="22"/>
          <w:szCs w:val="22"/>
          <w:color w:val="auto"/>
        </w:rPr>
        <w:t>or (b) any person or entity that otherwise competes or intends to compete with Lilly or a Covered Affiliate.</w:t>
      </w:r>
    </w:p>
    <w:p>
      <w:pPr>
        <w:spacing w:after="0" w:line="43" w:lineRule="exact"/>
        <w:rPr>
          <w:sz w:val="20"/>
          <w:szCs w:val="20"/>
          <w:color w:val="auto"/>
        </w:rPr>
      </w:pPr>
    </w:p>
    <w:p>
      <w:pPr>
        <w:jc w:val="both"/>
        <w:ind w:left="1960" w:hanging="332"/>
        <w:spacing w:after="0" w:line="224" w:lineRule="auto"/>
        <w:tabs>
          <w:tab w:leader="none" w:pos="2151" w:val="left"/>
        </w:tabs>
        <w:numPr>
          <w:ilvl w:val="0"/>
          <w:numId w:val="81"/>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42"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43"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44"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41"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12</w:t>
      </w:r>
    </w:p>
    <w:p>
      <w:pPr>
        <w:sectPr>
          <w:pgSz w:w="11900" w:h="16838" w:orient="portrait"/>
          <w:cols w:equalWidth="0" w:num="1">
            <w:col w:w="11240"/>
          </w:cols>
          <w:pgMar w:left="320" w:top="85" w:right="339" w:bottom="1440" w:gutter="0" w:footer="0" w:header="0"/>
        </w:sectPr>
      </w:pPr>
    </w:p>
    <w:bookmarkStart w:id="132" w:name="page133"/>
    <w:bookmarkEnd w:id="132"/>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300"/>
        <w:spacing w:after="0" w:line="220" w:lineRule="auto"/>
        <w:rPr>
          <w:sz w:val="20"/>
          <w:szCs w:val="20"/>
          <w:color w:val="auto"/>
        </w:rPr>
      </w:pPr>
      <w:r>
        <w:rPr>
          <w:rFonts w:ascii="Arial" w:cs="Arial" w:eastAsia="Arial" w:hAnsi="Arial"/>
          <w:sz w:val="22"/>
          <w:szCs w:val="22"/>
          <w:color w:val="auto"/>
        </w:rPr>
        <w:t>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44"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48"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and any other Non-Compete Payment Agreement entered into between Grantee and Lilly, each of which remains in full force and effect, or that the Grantee agrees to in the future.</w:t>
      </w:r>
    </w:p>
    <w:p>
      <w:pPr>
        <w:spacing w:after="0" w:line="41"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44" w:lineRule="exact"/>
        <w:rPr>
          <w:sz w:val="20"/>
          <w:szCs w:val="20"/>
          <w:color w:val="auto"/>
        </w:rPr>
      </w:pPr>
    </w:p>
    <w:p>
      <w:pPr>
        <w:ind w:left="1300" w:hanging="644"/>
        <w:spacing w:after="0" w:line="214" w:lineRule="auto"/>
        <w:tabs>
          <w:tab w:leader="none" w:pos="118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41" w:lineRule="exact"/>
        <w:rPr>
          <w:rFonts w:ascii="Arial" w:cs="Arial" w:eastAsia="Arial" w:hAnsi="Arial"/>
          <w:sz w:val="22"/>
          <w:szCs w:val="22"/>
          <w:color w:val="auto"/>
        </w:rPr>
      </w:pPr>
    </w:p>
    <w:p>
      <w:pPr>
        <w:ind w:left="1300" w:hanging="644"/>
        <w:spacing w:after="0" w:line="210" w:lineRule="auto"/>
        <w:tabs>
          <w:tab w:leader="none" w:pos="114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Performance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13</w:t>
      </w:r>
    </w:p>
    <w:p>
      <w:pPr>
        <w:sectPr>
          <w:pgSz w:w="11900" w:h="16838" w:orient="portrait"/>
          <w:cols w:equalWidth="0" w:num="1">
            <w:col w:w="11240"/>
          </w:cols>
          <w:pgMar w:left="320" w:top="85" w:right="339" w:bottom="1440" w:gutter="0" w:footer="0" w:header="0"/>
        </w:sectPr>
      </w:pPr>
    </w:p>
    <w:bookmarkStart w:id="133" w:name="page134"/>
    <w:bookmarkEnd w:id="133"/>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300" w:hanging="320"/>
        <w:spacing w:after="0" w:line="212" w:lineRule="auto"/>
        <w:tabs>
          <w:tab w:leader="none" w:pos="145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13.</w:t>
      </w:r>
      <w:r>
        <w:rPr>
          <w:sz w:val="20"/>
          <w:szCs w:val="20"/>
          <w:color w:val="auto"/>
        </w:rPr>
        <w:tab/>
      </w:r>
      <w:r>
        <w:rPr>
          <w:rFonts w:ascii="Calibri" w:cs="Calibri" w:eastAsia="Calibri" w:hAnsi="Calibri"/>
          <w:sz w:val="22"/>
          <w:szCs w:val="22"/>
          <w:color w:val="auto"/>
        </w:rPr>
        <w:t>Governing Law and Choice of Venue</w:t>
      </w:r>
    </w:p>
    <w:p>
      <w:pPr>
        <w:spacing w:after="0" w:line="24" w:lineRule="exact"/>
        <w:rPr>
          <w:sz w:val="20"/>
          <w:szCs w:val="20"/>
          <w:color w:val="auto"/>
        </w:rPr>
      </w:pPr>
    </w:p>
    <w:p>
      <w:pPr>
        <w:jc w:val="both"/>
        <w:ind w:left="420"/>
        <w:spacing w:after="0" w:line="212"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14.</w:t>
        <w:tab/>
        <w:t>Miscellaneous Provisions</w:t>
      </w:r>
    </w:p>
    <w:p>
      <w:pPr>
        <w:spacing w:after="0" w:line="64" w:lineRule="exact"/>
        <w:rPr>
          <w:sz w:val="20"/>
          <w:szCs w:val="20"/>
          <w:color w:val="auto"/>
        </w:rPr>
      </w:pPr>
    </w:p>
    <w:p>
      <w:pPr>
        <w:ind w:left="1300" w:hanging="644"/>
        <w:spacing w:after="0" w:line="220" w:lineRule="auto"/>
        <w:tabs>
          <w:tab w:leader="none" w:pos="1167"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9" w:lineRule="exact"/>
        <w:rPr>
          <w:rFonts w:ascii="Arial" w:cs="Arial" w:eastAsia="Arial" w:hAnsi="Arial"/>
          <w:sz w:val="21"/>
          <w:szCs w:val="21"/>
          <w:color w:val="auto"/>
        </w:rPr>
      </w:pPr>
    </w:p>
    <w:p>
      <w:pPr>
        <w:jc w:val="both"/>
        <w:ind w:left="1300" w:hanging="644"/>
        <w:spacing w:after="0" w:line="215" w:lineRule="auto"/>
        <w:tabs>
          <w:tab w:leader="none" w:pos="1261"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57" w:lineRule="exact"/>
        <w:rPr>
          <w:rFonts w:ascii="Arial" w:cs="Arial" w:eastAsia="Arial" w:hAnsi="Arial"/>
          <w:sz w:val="22"/>
          <w:szCs w:val="22"/>
          <w:color w:val="auto"/>
        </w:rPr>
      </w:pPr>
    </w:p>
    <w:p>
      <w:pPr>
        <w:ind w:left="1300" w:hanging="644"/>
        <w:spacing w:after="0" w:line="222" w:lineRule="auto"/>
        <w:tabs>
          <w:tab w:leader="none" w:pos="1121" w:val="left"/>
        </w:tabs>
        <w:numPr>
          <w:ilvl w:val="0"/>
          <w:numId w:val="84"/>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6" w:lineRule="exact"/>
        <w:rPr>
          <w:rFonts w:ascii="Arial" w:cs="Arial" w:eastAsia="Arial" w:hAnsi="Arial"/>
          <w:sz w:val="23"/>
          <w:szCs w:val="23"/>
          <w:color w:val="auto"/>
        </w:rPr>
      </w:pPr>
    </w:p>
    <w:p>
      <w:pPr>
        <w:ind w:left="1300" w:hanging="644"/>
        <w:spacing w:after="0" w:line="232" w:lineRule="auto"/>
        <w:tabs>
          <w:tab w:leader="none" w:pos="1107" w:val="left"/>
        </w:tabs>
        <w:numPr>
          <w:ilvl w:val="0"/>
          <w:numId w:val="84"/>
        </w:numPr>
        <w:rPr>
          <w:rFonts w:ascii="Arial" w:cs="Arial" w:eastAsia="Arial" w:hAnsi="Arial"/>
          <w:sz w:val="22"/>
          <w:szCs w:val="22"/>
          <w:color w:val="auto"/>
        </w:rPr>
      </w:pPr>
      <w:r>
        <w:rPr>
          <w:rFonts w:ascii="Arial" w:cs="Arial" w:eastAsia="Arial" w:hAnsi="Arial"/>
          <w:sz w:val="21"/>
          <w:szCs w:val="21"/>
          <w:u w:val="single" w:color="auto"/>
          <w:color w:val="auto"/>
        </w:rPr>
        <w:t>Severability and Section Headings</w:t>
      </w:r>
      <w:r>
        <w:rPr>
          <w:rFonts w:ascii="Arial" w:cs="Arial" w:eastAsia="Arial" w:hAnsi="Arial"/>
          <w:sz w:val="21"/>
          <w:szCs w:val="21"/>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14</w:t>
      </w:r>
    </w:p>
    <w:p>
      <w:pPr>
        <w:sectPr>
          <w:pgSz w:w="11900" w:h="16838" w:orient="portrait"/>
          <w:cols w:equalWidth="0" w:num="1">
            <w:col w:w="11240"/>
          </w:cols>
          <w:pgMar w:left="320" w:top="87" w:right="339" w:bottom="1440" w:gutter="0" w:footer="0" w:header="0"/>
        </w:sectPr>
      </w:pPr>
    </w:p>
    <w:bookmarkStart w:id="134" w:name="page135"/>
    <w:bookmarkEnd w:id="134"/>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provisions which could be deemed null and void shall first be construed, interpreted or revised retroactively to permit this Award Agreement to be construed so as to foster the intent of this Award Agreement and the Plan.</w:t>
      </w:r>
    </w:p>
    <w:p>
      <w:pPr>
        <w:spacing w:after="0" w:line="41"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56" w:lineRule="exact"/>
        <w:rPr>
          <w:sz w:val="20"/>
          <w:szCs w:val="20"/>
          <w:color w:val="auto"/>
        </w:rPr>
      </w:pPr>
    </w:p>
    <w:p>
      <w:pPr>
        <w:ind w:left="1300" w:hanging="644"/>
        <w:spacing w:after="0" w:line="218" w:lineRule="auto"/>
        <w:tabs>
          <w:tab w:leader="none" w:pos="1120" w:val="left"/>
        </w:tabs>
        <w:numPr>
          <w:ilvl w:val="0"/>
          <w:numId w:val="85"/>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43"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15.</w:t>
        <w:tab/>
        <w:t>Compensaton Recovery</w:t>
      </w:r>
    </w:p>
    <w:p>
      <w:pPr>
        <w:spacing w:after="0" w:line="64" w:lineRule="exact"/>
        <w:rPr>
          <w:sz w:val="20"/>
          <w:szCs w:val="20"/>
          <w:color w:val="auto"/>
        </w:rPr>
      </w:pPr>
    </w:p>
    <w:p>
      <w:pPr>
        <w:jc w:val="both"/>
        <w:ind w:left="400"/>
        <w:spacing w:after="0" w:line="220" w:lineRule="auto"/>
        <w:rPr>
          <w:sz w:val="20"/>
          <w:szCs w:val="20"/>
          <w:color w:val="auto"/>
        </w:rPr>
      </w:pPr>
      <w:r>
        <w:rPr>
          <w:rFonts w:ascii="Arial" w:cs="Arial" w:eastAsia="Arial" w:hAnsi="Arial"/>
          <w:sz w:val="22"/>
          <w:szCs w:val="22"/>
          <w:color w:val="auto"/>
        </w:rPr>
        <w:t>At any time during the three years following the date on which the number of Performance Units subject to the Award has been determined under Section 2 above, the Company reserves the right to and, in appropriate cases, will seek restitution of all or part of any Shares that have been issued or cash that has been paid pursuant to this Award if:</w:t>
      </w:r>
    </w:p>
    <w:p>
      <w:pPr>
        <w:spacing w:after="0" w:line="44" w:lineRule="exact"/>
        <w:rPr>
          <w:sz w:val="20"/>
          <w:szCs w:val="20"/>
          <w:color w:val="auto"/>
        </w:rPr>
      </w:pPr>
    </w:p>
    <w:p>
      <w:pPr>
        <w:ind w:left="1300" w:hanging="644"/>
        <w:spacing w:after="0" w:line="226" w:lineRule="auto"/>
        <w:tabs>
          <w:tab w:leader="none" w:pos="1129" w:val="left"/>
        </w:tabs>
        <w:numPr>
          <w:ilvl w:val="0"/>
          <w:numId w:val="86"/>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 of a restatement of all or a portion of the Company’s financial statements; and</w:t>
      </w:r>
    </w:p>
    <w:p>
      <w:pPr>
        <w:spacing w:after="0" w:line="41" w:lineRule="exact"/>
        <w:rPr>
          <w:rFonts w:ascii="Arial" w:cs="Arial" w:eastAsia="Arial" w:hAnsi="Arial"/>
          <w:sz w:val="22"/>
          <w:szCs w:val="22"/>
          <w:color w:val="auto"/>
        </w:rPr>
      </w:pPr>
    </w:p>
    <w:p>
      <w:pPr>
        <w:ind w:left="1300" w:firstLine="4"/>
        <w:spacing w:after="0" w:line="236" w:lineRule="auto"/>
        <w:tabs>
          <w:tab w:leader="none" w:pos="1617"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42" w:lineRule="exact"/>
        <w:rPr>
          <w:rFonts w:ascii="Arial" w:cs="Arial" w:eastAsia="Arial" w:hAnsi="Arial"/>
          <w:sz w:val="22"/>
          <w:szCs w:val="22"/>
          <w:color w:val="auto"/>
        </w:rPr>
      </w:pPr>
    </w:p>
    <w:p>
      <w:pPr>
        <w:jc w:val="both"/>
        <w:ind w:left="1300" w:firstLine="4"/>
        <w:spacing w:after="0" w:line="226" w:lineRule="auto"/>
        <w:tabs>
          <w:tab w:leader="none" w:pos="1666"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41" w:lineRule="exact"/>
        <w:rPr>
          <w:rFonts w:ascii="Arial" w:cs="Arial" w:eastAsia="Arial" w:hAnsi="Arial"/>
          <w:sz w:val="22"/>
          <w:szCs w:val="22"/>
          <w:color w:val="auto"/>
        </w:rPr>
      </w:pPr>
    </w:p>
    <w:p>
      <w:pPr>
        <w:ind w:left="1300" w:right="20" w:hanging="644"/>
        <w:spacing w:after="0" w:line="220" w:lineRule="auto"/>
        <w:tabs>
          <w:tab w:leader="none" w:pos="112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44" w:lineRule="exact"/>
        <w:rPr>
          <w:sz w:val="20"/>
          <w:szCs w:val="20"/>
          <w:color w:val="auto"/>
        </w:rPr>
      </w:pPr>
    </w:p>
    <w:p>
      <w:pPr>
        <w:ind w:left="420" w:right="20"/>
        <w:spacing w:after="0" w:line="212"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48" w:lineRule="exact"/>
        <w:rPr>
          <w:sz w:val="20"/>
          <w:szCs w:val="20"/>
          <w:color w:val="auto"/>
        </w:rPr>
      </w:pPr>
    </w:p>
    <w:p>
      <w:pPr>
        <w:ind w:left="420" w:right="740"/>
        <w:spacing w:after="0" w:line="226"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15</w:t>
      </w:r>
    </w:p>
    <w:p>
      <w:pPr>
        <w:sectPr>
          <w:pgSz w:w="11900" w:h="16838" w:orient="portrait"/>
          <w:cols w:equalWidth="0" w:num="1">
            <w:col w:w="11240"/>
          </w:cols>
          <w:pgMar w:left="320" w:top="87" w:right="339" w:bottom="1440" w:gutter="0" w:footer="0" w:header="0"/>
        </w:sectPr>
      </w:pPr>
    </w:p>
    <w:bookmarkStart w:id="135" w:name="page136"/>
    <w:bookmarkEnd w:id="135"/>
    <w:p>
      <w:pPr>
        <w:spacing w:after="0"/>
        <w:rPr>
          <w:sz w:val="20"/>
          <w:szCs w:val="20"/>
          <w:color w:val="auto"/>
        </w:rPr>
      </w:pPr>
      <w:r>
        <w:rPr>
          <w:rFonts w:ascii="Calibri" w:cs="Calibri" w:eastAsia="Calibri" w:hAnsi="Calibri"/>
          <w:sz w:val="22"/>
          <w:szCs w:val="22"/>
          <w:u w:val="single" w:color="auto"/>
          <w:color w:val="auto"/>
        </w:rPr>
        <w:t>Eli Lilly and Company Performance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16.</w:t>
      </w:r>
      <w:r>
        <w:rPr>
          <w:sz w:val="20"/>
          <w:szCs w:val="20"/>
          <w:color w:val="auto"/>
        </w:rPr>
        <w:tab/>
      </w:r>
      <w:r>
        <w:rPr>
          <w:rFonts w:ascii="Calibri" w:cs="Calibri" w:eastAsia="Calibri" w:hAnsi="Calibri"/>
          <w:sz w:val="22"/>
          <w:szCs w:val="22"/>
          <w:color w:val="auto"/>
        </w:rPr>
        <w:t>Award Subject to Acknowledgement of Acceptance</w:t>
      </w:r>
    </w:p>
    <w:p>
      <w:pPr>
        <w:spacing w:after="0" w:line="78" w:lineRule="exact"/>
        <w:rPr>
          <w:sz w:val="20"/>
          <w:szCs w:val="20"/>
          <w:color w:val="auto"/>
        </w:rPr>
      </w:pPr>
    </w:p>
    <w:p>
      <w:pPr>
        <w:jc w:val="both"/>
        <w:ind w:left="400"/>
        <w:spacing w:after="0" w:line="220"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2" w:lineRule="exact"/>
        <w:rPr>
          <w:sz w:val="20"/>
          <w:szCs w:val="20"/>
          <w:color w:val="auto"/>
        </w:rPr>
      </w:pPr>
    </w:p>
    <w:p>
      <w:pPr>
        <w:ind w:left="340"/>
        <w:spacing w:after="0" w:line="236"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Page 16</w:t>
      </w:r>
    </w:p>
    <w:p>
      <w:pPr>
        <w:sectPr>
          <w:pgSz w:w="11900" w:h="16838" w:orient="portrait"/>
          <w:cols w:equalWidth="0" w:num="1">
            <w:col w:w="11240"/>
          </w:cols>
          <w:pgMar w:left="320" w:top="87" w:right="3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10.3 Form of Shareholder Value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line="210" w:lineRule="auto"/>
        <w:rPr>
          <w:sz w:val="20"/>
          <w:szCs w:val="20"/>
          <w:color w:val="auto"/>
        </w:rPr>
      </w:pPr>
      <w:r>
        <w:rPr>
          <w:rFonts w:ascii="Calibri" w:cs="Calibri" w:eastAsia="Calibri" w:hAnsi="Calibri"/>
          <w:sz w:val="43"/>
          <w:szCs w:val="43"/>
          <w:color w:val="auto"/>
        </w:rPr>
        <w:t>Eli Lilly and Company Shareholder Value Award Agreement (for Executve Ofcers)</w:t>
      </w:r>
    </w:p>
    <w:p>
      <w:pPr>
        <w:spacing w:after="0" w:line="207"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149" w:lineRule="exact"/>
        <w:rPr>
          <w:sz w:val="20"/>
          <w:szCs w:val="20"/>
          <w:color w:val="auto"/>
        </w:rPr>
      </w:pPr>
    </w:p>
    <w:p>
      <w:pPr>
        <w:spacing w:after="0"/>
        <w:rPr>
          <w:sz w:val="20"/>
          <w:szCs w:val="20"/>
          <w:color w:val="auto"/>
        </w:rPr>
      </w:pPr>
      <w:r>
        <w:rPr>
          <w:rFonts w:ascii="Calibri" w:cs="Calibri" w:eastAsia="Calibri" w:hAnsi="Calibri"/>
          <w:sz w:val="25"/>
          <w:szCs w:val="25"/>
          <w:color w:val="auto"/>
        </w:rPr>
        <w:t xml:space="preserve">Lilly Stock Price Performance Levels: </w:t>
      </w:r>
      <w:r>
        <w:rPr>
          <w:rFonts w:ascii="Calibri" w:cs="Calibri" w:eastAsia="Calibri" w:hAnsi="Calibri"/>
          <w:sz w:val="23"/>
          <w:szCs w:val="23"/>
          <w:color w:val="auto"/>
        </w:rPr>
        <w:t>[•]</w:t>
      </w:r>
    </w:p>
    <w:p>
      <w:pPr>
        <w:spacing w:after="0" w:line="200" w:lineRule="exact"/>
        <w:rPr>
          <w:sz w:val="20"/>
          <w:szCs w:val="20"/>
          <w:color w:val="auto"/>
        </w:rPr>
      </w:pPr>
    </w:p>
    <w:p>
      <w:pPr>
        <w:spacing w:after="0" w:line="211" w:lineRule="exact"/>
        <w:rPr>
          <w:sz w:val="20"/>
          <w:szCs w:val="20"/>
          <w:color w:val="auto"/>
        </w:rPr>
      </w:pPr>
    </w:p>
    <w:p>
      <w:pPr>
        <w:spacing w:after="0"/>
        <w:tabs>
          <w:tab w:leader="none" w:pos="2420" w:val="left"/>
        </w:tabs>
        <w:rPr>
          <w:sz w:val="20"/>
          <w:szCs w:val="20"/>
          <w:color w:val="auto"/>
        </w:rPr>
      </w:pPr>
      <w:r>
        <w:rPr>
          <w:rFonts w:ascii="Calibri" w:cs="Calibri" w:eastAsia="Calibri" w:hAnsi="Calibri"/>
          <w:sz w:val="25"/>
          <w:szCs w:val="25"/>
          <w:color w:val="auto"/>
        </w:rPr>
        <w:t>Performance Period:</w:t>
      </w:r>
      <w:r>
        <w:rPr>
          <w:sz w:val="20"/>
          <w:szCs w:val="20"/>
          <w:color w:val="auto"/>
        </w:rPr>
        <w:tab/>
      </w:r>
      <w:r>
        <w:rPr>
          <w:rFonts w:ascii="Arial" w:cs="Arial" w:eastAsia="Arial" w:hAnsi="Arial"/>
          <w:sz w:val="25"/>
          <w:szCs w:val="25"/>
          <w:color w:val="auto"/>
        </w:rPr>
        <w:t>[•] – [•]</w:t>
      </w:r>
    </w:p>
    <w:p>
      <w:pPr>
        <w:sectPr>
          <w:pgSz w:w="11900" w:h="16838" w:orient="portrait"/>
          <w:cols w:equalWidth="0" w:num="1">
            <w:col w:w="11240"/>
          </w:cols>
          <w:pgMar w:left="320" w:top="1440" w:right="339" w:bottom="1440" w:gutter="0" w:footer="0" w:header="0"/>
        </w:sectPr>
      </w:pPr>
    </w:p>
    <w:bookmarkStart w:id="137" w:name="page138"/>
    <w:bookmarkEnd w:id="137"/>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alibri" w:cs="Calibri" w:eastAsia="Calibri" w:hAnsi="Calibri"/>
          <w:sz w:val="25"/>
          <w:szCs w:val="25"/>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308"/>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1.  Grant of Shareholder Value Award</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2.</w:t>
            </w:r>
          </w:p>
        </w:tc>
        <w:tc>
          <w:tcPr>
            <w:tcW w:w="60" w:type="dxa"/>
            <w:vAlign w:val="bottom"/>
          </w:tcPr>
          <w:p>
            <w:pPr>
              <w:spacing w:after="0"/>
              <w:rPr>
                <w:sz w:val="24"/>
                <w:szCs w:val="24"/>
                <w:color w:val="auto"/>
              </w:rPr>
            </w:pPr>
          </w:p>
        </w:tc>
        <w:tc>
          <w:tcPr>
            <w:tcW w:w="7980" w:type="dxa"/>
            <w:vAlign w:val="bottom"/>
          </w:tcPr>
          <w:p>
            <w:pPr>
              <w:ind w:left="40"/>
              <w:spacing w:after="0"/>
              <w:rPr>
                <w:sz w:val="20"/>
                <w:szCs w:val="20"/>
                <w:color w:val="auto"/>
              </w:rPr>
            </w:pPr>
            <w:r>
              <w:rPr>
                <w:rFonts w:ascii="Calibri" w:cs="Calibri" w:eastAsia="Calibri" w:hAnsi="Calibri"/>
                <w:sz w:val="22"/>
                <w:szCs w:val="22"/>
                <w:color w:val="auto"/>
              </w:rPr>
              <w:t>Vestng</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3.  Impact of Certain Employment Status Changes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2</w:t>
            </w:r>
          </w:p>
        </w:tc>
      </w:tr>
      <w:tr>
        <w:trPr>
          <w:trHeight w:val="310"/>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4.  Change in Control</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5.</w:t>
            </w:r>
          </w:p>
        </w:tc>
        <w:tc>
          <w:tcPr>
            <w:tcW w:w="60" w:type="dxa"/>
            <w:vAlign w:val="bottom"/>
          </w:tcPr>
          <w:p>
            <w:pPr>
              <w:spacing w:after="0"/>
              <w:rPr>
                <w:sz w:val="24"/>
                <w:szCs w:val="24"/>
                <w:color w:val="auto"/>
              </w:rPr>
            </w:pPr>
          </w:p>
        </w:tc>
        <w:tc>
          <w:tcPr>
            <w:tcW w:w="7980" w:type="dxa"/>
            <w:vAlign w:val="bottom"/>
          </w:tcPr>
          <w:p>
            <w:pPr>
              <w:ind w:left="40"/>
              <w:spacing w:after="0"/>
              <w:rPr>
                <w:sz w:val="20"/>
                <w:szCs w:val="20"/>
                <w:color w:val="auto"/>
              </w:rPr>
            </w:pPr>
            <w:r>
              <w:rPr>
                <w:rFonts w:ascii="Calibri" w:cs="Calibri" w:eastAsia="Calibri" w:hAnsi="Calibri"/>
                <w:sz w:val="22"/>
                <w:szCs w:val="22"/>
                <w:color w:val="auto"/>
              </w:rPr>
              <w:t>Setlement</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6.  Rights of the Grantee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7.  Prohibiton Against Transfer</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8.</w:t>
            </w:r>
          </w:p>
        </w:tc>
        <w:tc>
          <w:tcPr>
            <w:tcW w:w="8040" w:type="dxa"/>
            <w:vAlign w:val="bottom"/>
            <w:gridSpan w:val="2"/>
          </w:tcPr>
          <w:p>
            <w:pPr>
              <w:ind w:left="100"/>
              <w:spacing w:after="0"/>
              <w:rPr>
                <w:sz w:val="20"/>
                <w:szCs w:val="20"/>
                <w:color w:val="auto"/>
              </w:rPr>
            </w:pPr>
            <w:r>
              <w:rPr>
                <w:rFonts w:ascii="Calibri" w:cs="Calibri" w:eastAsia="Calibri" w:hAnsi="Calibri"/>
                <w:sz w:val="22"/>
                <w:szCs w:val="22"/>
                <w:color w:val="auto"/>
              </w:rPr>
              <w:t>Responsibility for Taxes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9.</w:t>
            </w:r>
          </w:p>
        </w:tc>
        <w:tc>
          <w:tcPr>
            <w:tcW w:w="8040" w:type="dxa"/>
            <w:vAlign w:val="bottom"/>
            <w:gridSpan w:val="2"/>
          </w:tcPr>
          <w:p>
            <w:pPr>
              <w:ind w:left="100"/>
              <w:spacing w:after="0"/>
              <w:rPr>
                <w:sz w:val="20"/>
                <w:szCs w:val="20"/>
                <w:color w:val="auto"/>
              </w:rPr>
            </w:pPr>
            <w:r>
              <w:rPr>
                <w:rFonts w:ascii="Calibri" w:cs="Calibri" w:eastAsia="Calibri" w:hAnsi="Calibri"/>
                <w:sz w:val="22"/>
                <w:szCs w:val="22"/>
                <w:color w:val="auto"/>
              </w:rPr>
              <w:t>Secton 409A Compliance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10.</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Grantee’s Acknowledgment</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11.</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Data Privacy</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12.  Restrictve Covenants, Remedies, and Additonal Terms and Conditons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9</w:t>
            </w:r>
          </w:p>
        </w:tc>
      </w:tr>
      <w:tr>
        <w:trPr>
          <w:trHeight w:val="311"/>
        </w:trPr>
        <w:tc>
          <w:tcPr>
            <w:tcW w:w="8980" w:type="dxa"/>
            <w:vAlign w:val="bottom"/>
            <w:gridSpan w:val="3"/>
          </w:tcPr>
          <w:p>
            <w:pPr>
              <w:spacing w:after="0"/>
              <w:rPr>
                <w:sz w:val="20"/>
                <w:szCs w:val="20"/>
                <w:color w:val="auto"/>
              </w:rPr>
            </w:pPr>
            <w:r>
              <w:rPr>
                <w:rFonts w:ascii="Calibri" w:cs="Calibri" w:eastAsia="Calibri" w:hAnsi="Calibri"/>
                <w:sz w:val="22"/>
                <w:szCs w:val="22"/>
                <w:color w:val="auto"/>
              </w:rPr>
              <w:t>Secton 13.  Governing Law and Choice of Venue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12</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14.</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Miscellaneous Provisions</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12</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15.</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Compensaton Recovery</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13</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16.</w:t>
            </w:r>
          </w:p>
        </w:tc>
        <w:tc>
          <w:tcPr>
            <w:tcW w:w="7980" w:type="dxa"/>
            <w:vAlign w:val="bottom"/>
          </w:tcPr>
          <w:p>
            <w:pPr>
              <w:ind w:left="140"/>
              <w:spacing w:after="0"/>
              <w:rPr>
                <w:sz w:val="20"/>
                <w:szCs w:val="20"/>
                <w:color w:val="auto"/>
              </w:rPr>
            </w:pPr>
            <w:r>
              <w:rPr>
                <w:rFonts w:ascii="Calibri" w:cs="Calibri" w:eastAsia="Calibri" w:hAnsi="Calibri"/>
                <w:sz w:val="22"/>
                <w:szCs w:val="22"/>
                <w:color w:val="auto"/>
              </w:rPr>
              <w:t>Award Subject to Acknowledgement of Acceptance</w:t>
            </w:r>
          </w:p>
        </w:tc>
        <w:tc>
          <w:tcPr>
            <w:tcW w:w="1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0"/>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99"/>
        <w:spacing w:after="0"/>
        <w:rPr>
          <w:sz w:val="20"/>
          <w:szCs w:val="20"/>
          <w:color w:val="auto"/>
        </w:rPr>
      </w:pPr>
      <w:r>
        <w:rPr>
          <w:rFonts w:ascii="Calibri" w:cs="Calibri" w:eastAsia="Calibri" w:hAnsi="Calibri"/>
          <w:sz w:val="16"/>
          <w:szCs w:val="16"/>
          <w:color w:val="auto"/>
        </w:rPr>
        <w:t>Page 2</w:t>
      </w:r>
    </w:p>
    <w:p>
      <w:pPr>
        <w:sectPr>
          <w:pgSz w:w="11900" w:h="16838" w:orient="portrait"/>
          <w:cols w:equalWidth="0" w:num="1">
            <w:col w:w="10940"/>
          </w:cols>
          <w:pgMar w:left="320" w:top="330" w:right="639" w:bottom="1440" w:gutter="0" w:footer="0" w:header="0"/>
        </w:sectPr>
      </w:pPr>
    </w:p>
    <w:bookmarkStart w:id="138" w:name="page139"/>
    <w:bookmarkEnd w:id="138"/>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1.</w:t>
      </w:r>
      <w:r>
        <w:rPr>
          <w:sz w:val="20"/>
          <w:szCs w:val="20"/>
          <w:color w:val="auto"/>
        </w:rPr>
        <w:tab/>
      </w:r>
      <w:r>
        <w:rPr>
          <w:rFonts w:ascii="Calibri" w:cs="Calibri" w:eastAsia="Calibri" w:hAnsi="Calibri"/>
          <w:sz w:val="22"/>
          <w:szCs w:val="22"/>
          <w:color w:val="auto"/>
        </w:rPr>
        <w:t>Grant of Shareholder Value Award</w:t>
      </w:r>
    </w:p>
    <w:p>
      <w:pPr>
        <w:spacing w:after="0" w:line="64"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 xml:space="preserve"> (the "Target Number of Shares").</w:t>
      </w:r>
    </w:p>
    <w:p>
      <w:pPr>
        <w:spacing w:after="0" w:line="44"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179" w:lineRule="exact"/>
        <w:rPr>
          <w:sz w:val="20"/>
          <w:szCs w:val="20"/>
          <w:color w:val="auto"/>
        </w:rPr>
      </w:pPr>
    </w:p>
    <w:p>
      <w:pPr>
        <w:jc w:val="both"/>
        <w:ind w:left="420"/>
        <w:spacing w:after="0" w:line="236"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2.</w:t>
        <w:tab/>
        <w:t>Vestng</w:t>
      </w:r>
    </w:p>
    <w:p>
      <w:pPr>
        <w:spacing w:after="0" w:line="24" w:lineRule="exact"/>
        <w:rPr>
          <w:sz w:val="20"/>
          <w:szCs w:val="20"/>
          <w:color w:val="auto"/>
        </w:rPr>
      </w:pPr>
    </w:p>
    <w:p>
      <w:pPr>
        <w:jc w:val="both"/>
        <w:ind w:left="420"/>
        <w:spacing w:after="0" w:line="226"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41" w:lineRule="exact"/>
        <w:rPr>
          <w:sz w:val="20"/>
          <w:szCs w:val="20"/>
          <w:color w:val="auto"/>
        </w:rPr>
      </w:pPr>
    </w:p>
    <w:p>
      <w:pPr>
        <w:ind w:left="1300" w:hanging="644"/>
        <w:spacing w:after="0" w:line="226" w:lineRule="auto"/>
        <w:tabs>
          <w:tab w:leader="none" w:pos="1113"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41" w:lineRule="exact"/>
        <w:rPr>
          <w:rFonts w:ascii="Arial" w:cs="Arial" w:eastAsia="Arial" w:hAnsi="Arial"/>
          <w:sz w:val="22"/>
          <w:szCs w:val="22"/>
          <w:color w:val="auto"/>
        </w:rPr>
      </w:pPr>
    </w:p>
    <w:p>
      <w:pPr>
        <w:ind w:left="1300" w:hanging="644"/>
        <w:spacing w:after="0" w:line="226" w:lineRule="auto"/>
        <w:tabs>
          <w:tab w:leader="none" w:pos="1113"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41" w:lineRule="exact"/>
        <w:rPr>
          <w:sz w:val="20"/>
          <w:szCs w:val="20"/>
          <w:color w:val="auto"/>
        </w:rPr>
      </w:pPr>
    </w:p>
    <w:p>
      <w:pPr>
        <w:jc w:val="both"/>
        <w:ind w:left="420" w:right="20"/>
        <w:spacing w:after="0" w:line="236"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3.</w:t>
      </w:r>
      <w:r>
        <w:rPr>
          <w:sz w:val="20"/>
          <w:szCs w:val="20"/>
          <w:color w:val="auto"/>
        </w:rPr>
        <w:tab/>
      </w:r>
      <w:r>
        <w:rPr>
          <w:rFonts w:ascii="Calibri" w:cs="Calibri" w:eastAsia="Calibri" w:hAnsi="Calibri"/>
          <w:sz w:val="22"/>
          <w:szCs w:val="22"/>
          <w:color w:val="auto"/>
        </w:rPr>
        <w:t>Impact of Certain Employment Status Changes</w:t>
      </w:r>
    </w:p>
    <w:p>
      <w:pPr>
        <w:spacing w:after="0" w:line="64" w:lineRule="exact"/>
        <w:rPr>
          <w:sz w:val="20"/>
          <w:szCs w:val="20"/>
          <w:color w:val="auto"/>
        </w:rPr>
      </w:pPr>
    </w:p>
    <w:p>
      <w:pPr>
        <w:jc w:val="both"/>
        <w:ind w:left="420" w:right="20"/>
        <w:spacing w:after="0" w:line="226"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41" w:lineRule="exact"/>
        <w:rPr>
          <w:sz w:val="20"/>
          <w:szCs w:val="20"/>
          <w:color w:val="auto"/>
        </w:rPr>
      </w:pPr>
    </w:p>
    <w:p>
      <w:pPr>
        <w:ind w:left="1300" w:hanging="644"/>
        <w:spacing w:after="0" w:line="226" w:lineRule="auto"/>
        <w:tabs>
          <w:tab w:leader="none" w:pos="108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41" w:lineRule="exact"/>
        <w:rPr>
          <w:rFonts w:ascii="Arial" w:cs="Arial" w:eastAsia="Arial" w:hAnsi="Arial"/>
          <w:sz w:val="22"/>
          <w:szCs w:val="22"/>
          <w:color w:val="auto"/>
        </w:rPr>
      </w:pPr>
    </w:p>
    <w:p>
      <w:pPr>
        <w:ind w:left="1300" w:hanging="644"/>
        <w:spacing w:after="0" w:line="214" w:lineRule="auto"/>
        <w:tabs>
          <w:tab w:leader="none" w:pos="108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2</w:t>
      </w:r>
    </w:p>
    <w:p>
      <w:pPr>
        <w:sectPr>
          <w:pgSz w:w="11900" w:h="16838" w:orient="portrait"/>
          <w:cols w:equalWidth="0" w:num="1">
            <w:col w:w="11240"/>
          </w:cols>
          <w:pgMar w:left="320" w:top="330" w:right="339"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19"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3" w:lineRule="exact"/>
        <w:rPr>
          <w:sz w:val="20"/>
          <w:szCs w:val="20"/>
          <w:color w:val="auto"/>
        </w:rPr>
      </w:pPr>
    </w:p>
    <w:p>
      <w:pPr>
        <w:jc w:val="both"/>
        <w:ind w:left="1300" w:firstLine="4"/>
        <w:spacing w:after="0" w:line="211" w:lineRule="auto"/>
        <w:tabs>
          <w:tab w:leader="none" w:pos="1674" w:val="left"/>
        </w:tabs>
        <w:numPr>
          <w:ilvl w:val="0"/>
          <w:numId w:val="89"/>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43"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43" w:lineRule="exact"/>
        <w:rPr>
          <w:sz w:val="20"/>
          <w:szCs w:val="20"/>
          <w:color w:val="auto"/>
        </w:rPr>
      </w:pPr>
    </w:p>
    <w:p>
      <w:pPr>
        <w:jc w:val="both"/>
        <w:ind w:left="1300" w:hanging="644"/>
        <w:spacing w:after="0" w:line="231" w:lineRule="auto"/>
        <w:tabs>
          <w:tab w:leader="none" w:pos="131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Qualifying Termination</w:t>
      </w:r>
      <w:r>
        <w:rPr>
          <w:rFonts w:ascii="Arial" w:cs="Arial" w:eastAsia="Arial" w:hAnsi="Arial"/>
          <w:sz w:val="21"/>
          <w:szCs w:val="21"/>
          <w:color w:val="auto"/>
        </w:rPr>
        <w:t>. Except as otherwise provided in section 3(b),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42" w:lineRule="exact"/>
        <w:rPr>
          <w:rFonts w:ascii="Arial" w:cs="Arial" w:eastAsia="Arial" w:hAnsi="Arial"/>
          <w:sz w:val="21"/>
          <w:szCs w:val="21"/>
          <w:color w:val="auto"/>
        </w:rPr>
      </w:pPr>
    </w:p>
    <w:p>
      <w:pPr>
        <w:ind w:left="1300" w:right="20"/>
        <w:spacing w:after="0" w:line="236" w:lineRule="auto"/>
        <w:rPr>
          <w:rFonts w:ascii="Arial" w:cs="Arial" w:eastAsia="Arial" w:hAnsi="Arial"/>
          <w:sz w:val="21"/>
          <w:szCs w:val="21"/>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42" w:lineRule="exact"/>
        <w:rPr>
          <w:rFonts w:ascii="Arial" w:cs="Arial" w:eastAsia="Arial" w:hAnsi="Arial"/>
          <w:sz w:val="21"/>
          <w:szCs w:val="21"/>
          <w:color w:val="auto"/>
        </w:rPr>
      </w:pPr>
    </w:p>
    <w:p>
      <w:pPr>
        <w:ind w:left="1980" w:hanging="352"/>
        <w:spacing w:after="0"/>
        <w:tabs>
          <w:tab w:leader="none" w:pos="19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20" w:lineRule="auto"/>
        <w:tabs>
          <w:tab w:leader="none" w:pos="2199" w:val="left"/>
        </w:tabs>
        <w:numPr>
          <w:ilvl w:val="1"/>
          <w:numId w:val="90"/>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44" w:lineRule="exact"/>
        <w:rPr>
          <w:sz w:val="20"/>
          <w:szCs w:val="20"/>
          <w:color w:val="auto"/>
        </w:rPr>
      </w:pPr>
    </w:p>
    <w:p>
      <w:pPr>
        <w:ind w:left="1300" w:right="760"/>
        <w:spacing w:after="0" w:line="236"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43" w:lineRule="exact"/>
        <w:rPr>
          <w:sz w:val="20"/>
          <w:szCs w:val="20"/>
          <w:color w:val="auto"/>
        </w:rPr>
      </w:pPr>
    </w:p>
    <w:p>
      <w:pPr>
        <w:ind w:left="1300"/>
        <w:spacing w:after="0" w:line="25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25" w:lineRule="exact"/>
        <w:rPr>
          <w:sz w:val="20"/>
          <w:szCs w:val="20"/>
          <w:color w:val="auto"/>
        </w:rPr>
      </w:pPr>
    </w:p>
    <w:p>
      <w:pPr>
        <w:ind w:left="1300" w:hanging="644"/>
        <w:spacing w:after="0" w:line="212" w:lineRule="auto"/>
        <w:tabs>
          <w:tab w:leader="none" w:pos="1153"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48"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as a result of the failure to locate a position within the Company or an Affiliate following reallocation or medical reassignment shall be final and binding on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3</w:t>
      </w:r>
    </w:p>
    <w:p>
      <w:pPr>
        <w:sectPr>
          <w:pgSz w:w="11900" w:h="16838" w:orient="portrait"/>
          <w:cols w:equalWidth="0" w:num="1">
            <w:col w:w="11240"/>
          </w:cols>
          <w:pgMar w:left="320" w:top="328" w:right="339" w:bottom="1440" w:gutter="0" w:footer="0" w:header="0"/>
        </w:sectPr>
      </w:pPr>
    </w:p>
    <w:bookmarkStart w:id="140" w:name="page141"/>
    <w:bookmarkEnd w:id="140"/>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4.</w:t>
      </w:r>
      <w:r>
        <w:rPr>
          <w:sz w:val="20"/>
          <w:szCs w:val="20"/>
          <w:color w:val="auto"/>
        </w:rPr>
        <w:tab/>
      </w:r>
      <w:r>
        <w:rPr>
          <w:rFonts w:ascii="Calibri" w:cs="Calibri" w:eastAsia="Calibri" w:hAnsi="Calibri"/>
          <w:sz w:val="22"/>
          <w:szCs w:val="22"/>
          <w:color w:val="auto"/>
        </w:rPr>
        <w:t>Change in Control</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06" w:lineRule="exact"/>
        <w:rPr>
          <w:sz w:val="20"/>
          <w:szCs w:val="20"/>
          <w:color w:val="auto"/>
        </w:rPr>
      </w:pPr>
    </w:p>
    <w:p>
      <w:pPr>
        <w:jc w:val="both"/>
        <w:ind w:left="1300" w:hanging="644"/>
        <w:spacing w:after="0" w:line="226" w:lineRule="auto"/>
        <w:tabs>
          <w:tab w:leader="none" w:pos="1282"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41" w:lineRule="exact"/>
        <w:rPr>
          <w:rFonts w:ascii="Arial" w:cs="Arial" w:eastAsia="Arial" w:hAnsi="Arial"/>
          <w:sz w:val="22"/>
          <w:szCs w:val="22"/>
          <w:color w:val="auto"/>
        </w:rPr>
      </w:pPr>
    </w:p>
    <w:p>
      <w:pPr>
        <w:ind w:left="1300" w:hanging="644"/>
        <w:spacing w:after="0" w:line="214" w:lineRule="auto"/>
        <w:tabs>
          <w:tab w:leader="none" w:pos="1124"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41" w:lineRule="exact"/>
        <w:rPr>
          <w:rFonts w:ascii="Arial" w:cs="Arial" w:eastAsia="Arial" w:hAnsi="Arial"/>
          <w:sz w:val="22"/>
          <w:szCs w:val="22"/>
          <w:color w:val="auto"/>
        </w:rPr>
      </w:pPr>
    </w:p>
    <w:p>
      <w:pPr>
        <w:jc w:val="both"/>
        <w:ind w:left="1960" w:hanging="332"/>
        <w:spacing w:after="0" w:line="220" w:lineRule="auto"/>
        <w:tabs>
          <w:tab w:leader="none" w:pos="2035" w:val="left"/>
        </w:tabs>
        <w:numPr>
          <w:ilvl w:val="1"/>
          <w:numId w:val="92"/>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44" w:lineRule="exact"/>
        <w:rPr>
          <w:rFonts w:ascii="Arial" w:cs="Arial" w:eastAsia="Arial" w:hAnsi="Arial"/>
          <w:sz w:val="22"/>
          <w:szCs w:val="22"/>
          <w:color w:val="auto"/>
        </w:rPr>
      </w:pPr>
    </w:p>
    <w:p>
      <w:pPr>
        <w:jc w:val="both"/>
        <w:ind w:left="1960" w:hanging="332"/>
        <w:spacing w:after="0" w:line="217" w:lineRule="auto"/>
        <w:tabs>
          <w:tab w:leader="none" w:pos="2159" w:val="left"/>
        </w:tabs>
        <w:numPr>
          <w:ilvl w:val="1"/>
          <w:numId w:val="92"/>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44" w:lineRule="exact"/>
        <w:rPr>
          <w:sz w:val="20"/>
          <w:szCs w:val="20"/>
          <w:color w:val="auto"/>
        </w:rPr>
      </w:pPr>
    </w:p>
    <w:p>
      <w:pPr>
        <w:jc w:val="both"/>
        <w:ind w:left="1300"/>
        <w:spacing w:after="0" w:line="217"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44" w:lineRule="exact"/>
        <w:rPr>
          <w:sz w:val="20"/>
          <w:szCs w:val="20"/>
          <w:color w:val="auto"/>
        </w:rPr>
      </w:pPr>
    </w:p>
    <w:p>
      <w:pPr>
        <w:ind w:left="1300" w:hanging="644"/>
        <w:spacing w:after="0" w:line="220" w:lineRule="auto"/>
        <w:tabs>
          <w:tab w:leader="none" w:pos="1067"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5.</w:t>
        <w:tab/>
        <w:t>Setlement</w:t>
      </w:r>
    </w:p>
    <w:p>
      <w:pPr>
        <w:spacing w:after="0" w:line="64" w:lineRule="exact"/>
        <w:rPr>
          <w:sz w:val="20"/>
          <w:szCs w:val="20"/>
          <w:color w:val="auto"/>
        </w:rPr>
      </w:pPr>
    </w:p>
    <w:p>
      <w:pPr>
        <w:ind w:left="1300" w:hanging="644"/>
        <w:spacing w:after="0" w:line="236" w:lineRule="auto"/>
        <w:tabs>
          <w:tab w:leader="none" w:pos="11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42" w:lineRule="exact"/>
        <w:rPr>
          <w:rFonts w:ascii="Arial" w:cs="Arial" w:eastAsia="Arial" w:hAnsi="Arial"/>
          <w:sz w:val="22"/>
          <w:szCs w:val="22"/>
          <w:color w:val="auto"/>
        </w:rPr>
      </w:pPr>
    </w:p>
    <w:p>
      <w:pPr>
        <w:ind w:left="1300" w:hanging="644"/>
        <w:spacing w:after="0" w:line="212" w:lineRule="auto"/>
        <w:tabs>
          <w:tab w:leader="none" w:pos="1097"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4</w:t>
      </w:r>
    </w:p>
    <w:p>
      <w:pPr>
        <w:sectPr>
          <w:pgSz w:w="11900" w:h="16838" w:orient="portrait"/>
          <w:cols w:equalWidth="0" w:num="1">
            <w:col w:w="11240"/>
          </w:cols>
          <w:pgMar w:left="320" w:top="328" w:right="339"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date, the Award shall instead be paid on the first day following the six (6) month anniversary of the Grantee’s Section 409A Separation, (ii) the date of the Grantee’s death and (iii) the date set forth in Section 5(a) above.</w:t>
      </w:r>
    </w:p>
    <w:p>
      <w:pPr>
        <w:spacing w:after="0" w:line="41" w:lineRule="exact"/>
        <w:rPr>
          <w:sz w:val="20"/>
          <w:szCs w:val="20"/>
          <w:color w:val="auto"/>
        </w:rPr>
      </w:pPr>
    </w:p>
    <w:p>
      <w:pPr>
        <w:jc w:val="both"/>
        <w:ind w:left="1300" w:hanging="644"/>
        <w:spacing w:after="0" w:line="212" w:lineRule="auto"/>
        <w:tabs>
          <w:tab w:leader="none" w:pos="1232"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(and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first day following the six (6) month anniversary of the Grantee’s Section 409A Separation, and (2) the date of the Grantee’s death.</w:t>
      </w:r>
    </w:p>
    <w:p>
      <w:pPr>
        <w:spacing w:after="0" w:line="48" w:lineRule="exact"/>
        <w:rPr>
          <w:rFonts w:ascii="Arial" w:cs="Arial" w:eastAsia="Arial" w:hAnsi="Arial"/>
          <w:sz w:val="22"/>
          <w:szCs w:val="22"/>
          <w:color w:val="auto"/>
        </w:rPr>
      </w:pPr>
    </w:p>
    <w:p>
      <w:pPr>
        <w:jc w:val="both"/>
        <w:ind w:left="1300" w:hanging="644"/>
        <w:spacing w:after="0" w:line="237" w:lineRule="auto"/>
        <w:tabs>
          <w:tab w:leader="none" w:pos="1222" w:val="left"/>
        </w:tabs>
        <w:numPr>
          <w:ilvl w:val="0"/>
          <w:numId w:val="95"/>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40" w:lineRule="exact"/>
        <w:rPr>
          <w:rFonts w:ascii="Arial" w:cs="Arial" w:eastAsia="Arial" w:hAnsi="Arial"/>
          <w:sz w:val="21"/>
          <w:szCs w:val="21"/>
          <w:color w:val="auto"/>
        </w:rPr>
      </w:pPr>
    </w:p>
    <w:p>
      <w:pPr>
        <w:ind w:left="1300" w:hanging="644"/>
        <w:spacing w:after="0" w:line="217" w:lineRule="auto"/>
        <w:tabs>
          <w:tab w:leader="none" w:pos="1114" w:val="left"/>
        </w:tabs>
        <w:numPr>
          <w:ilvl w:val="0"/>
          <w:numId w:val="95"/>
        </w:numPr>
        <w:rPr>
          <w:rFonts w:ascii="Arial" w:cs="Arial" w:eastAsia="Arial" w:hAnsi="Arial"/>
          <w:sz w:val="22"/>
          <w:szCs w:val="22"/>
          <w:color w:val="auto"/>
        </w:rPr>
      </w:pPr>
      <w:r>
        <w:rPr>
          <w:rFonts w:ascii="Arial" w:cs="Arial" w:eastAsia="Arial" w:hAnsi="Arial"/>
          <w:sz w:val="22"/>
          <w:szCs w:val="22"/>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44" w:lineRule="exact"/>
        <w:rPr>
          <w:rFonts w:ascii="Arial" w:cs="Arial" w:eastAsia="Arial" w:hAnsi="Arial"/>
          <w:sz w:val="22"/>
          <w:szCs w:val="22"/>
          <w:color w:val="auto"/>
        </w:rPr>
      </w:pPr>
    </w:p>
    <w:p>
      <w:pPr>
        <w:ind w:left="1300" w:hanging="644"/>
        <w:spacing w:after="0" w:line="236" w:lineRule="auto"/>
        <w:tabs>
          <w:tab w:leader="none" w:pos="1031"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6.</w:t>
      </w:r>
      <w:r>
        <w:rPr>
          <w:sz w:val="20"/>
          <w:szCs w:val="20"/>
          <w:color w:val="auto"/>
        </w:rPr>
        <w:tab/>
      </w:r>
      <w:r>
        <w:rPr>
          <w:rFonts w:ascii="Calibri" w:cs="Calibri" w:eastAsia="Calibri" w:hAnsi="Calibri"/>
          <w:sz w:val="22"/>
          <w:szCs w:val="22"/>
          <w:color w:val="auto"/>
        </w:rPr>
        <w:t>Rights of the Grantee</w:t>
      </w:r>
    </w:p>
    <w:p>
      <w:pPr>
        <w:spacing w:after="0" w:line="64" w:lineRule="exact"/>
        <w:rPr>
          <w:sz w:val="20"/>
          <w:szCs w:val="20"/>
          <w:color w:val="auto"/>
        </w:rPr>
      </w:pPr>
    </w:p>
    <w:p>
      <w:pPr>
        <w:ind w:left="1300" w:hanging="644"/>
        <w:spacing w:after="0" w:line="226" w:lineRule="auto"/>
        <w:tabs>
          <w:tab w:leader="none" w:pos="118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Shareholder Value Award does not entitle the Grantee to any rights of a shareholder of Lilly until such time as the Shareholder Value Award is settled and Shares are issued or transferred to the Grantee.</w:t>
      </w:r>
    </w:p>
    <w:p>
      <w:pPr>
        <w:spacing w:after="0" w:line="41" w:lineRule="exact"/>
        <w:rPr>
          <w:rFonts w:ascii="Arial" w:cs="Arial" w:eastAsia="Arial" w:hAnsi="Arial"/>
          <w:sz w:val="22"/>
          <w:szCs w:val="22"/>
          <w:color w:val="auto"/>
        </w:rPr>
      </w:pPr>
    </w:p>
    <w:p>
      <w:pPr>
        <w:ind w:left="1300" w:hanging="644"/>
        <w:spacing w:after="0" w:line="220" w:lineRule="auto"/>
        <w:tabs>
          <w:tab w:leader="none" w:pos="112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7.</w:t>
      </w:r>
      <w:r>
        <w:rPr>
          <w:sz w:val="20"/>
          <w:szCs w:val="20"/>
          <w:color w:val="auto"/>
        </w:rPr>
        <w:tab/>
      </w:r>
      <w:r>
        <w:rPr>
          <w:rFonts w:ascii="Calibri" w:cs="Calibri" w:eastAsia="Calibri" w:hAnsi="Calibri"/>
          <w:sz w:val="22"/>
          <w:szCs w:val="22"/>
          <w:color w:val="auto"/>
        </w:rPr>
        <w:t>Prohibiton Against Transfer</w:t>
      </w:r>
    </w:p>
    <w:p>
      <w:pPr>
        <w:spacing w:after="0" w:line="78"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8.</w:t>
      </w:r>
      <w:r>
        <w:rPr>
          <w:sz w:val="20"/>
          <w:szCs w:val="20"/>
          <w:color w:val="auto"/>
        </w:rPr>
        <w:tab/>
      </w:r>
      <w:r>
        <w:rPr>
          <w:rFonts w:ascii="Calibri" w:cs="Calibri" w:eastAsia="Calibri" w:hAnsi="Calibri"/>
          <w:sz w:val="22"/>
          <w:szCs w:val="22"/>
          <w:color w:val="auto"/>
        </w:rPr>
        <w:t>Responsibility for Taxes</w:t>
      </w:r>
    </w:p>
    <w:p>
      <w:pPr>
        <w:spacing w:after="0" w:line="64" w:lineRule="exact"/>
        <w:rPr>
          <w:sz w:val="20"/>
          <w:szCs w:val="20"/>
          <w:color w:val="auto"/>
        </w:rPr>
      </w:pPr>
    </w:p>
    <w:p>
      <w:pPr>
        <w:ind w:left="1300" w:hanging="644"/>
        <w:spacing w:after="0" w:line="217" w:lineRule="auto"/>
        <w:tabs>
          <w:tab w:leader="none" w:pos="1126" w:val="left"/>
        </w:tabs>
        <w:numPr>
          <w:ilvl w:val="0"/>
          <w:numId w:val="97"/>
        </w:numPr>
        <w:rPr>
          <w:rFonts w:ascii="Arial" w:cs="Arial" w:eastAsia="Arial" w:hAnsi="Arial"/>
          <w:sz w:val="22"/>
          <w:szCs w:val="22"/>
          <w:color w:val="auto"/>
        </w:rPr>
      </w:pPr>
      <w:r>
        <w:rPr>
          <w:rFonts w:ascii="Arial" w:cs="Arial" w:eastAsia="Arial" w:hAnsi="Arial"/>
          <w:sz w:val="22"/>
          <w:szCs w:val="22"/>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5</w:t>
      </w:r>
    </w:p>
    <w:p>
      <w:pPr>
        <w:sectPr>
          <w:pgSz w:w="11900" w:h="16838" w:orient="portrait"/>
          <w:cols w:equalWidth="0" w:num="1">
            <w:col w:w="11240"/>
          </w:cols>
          <w:pgMar w:left="320" w:top="328" w:right="339"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20" w:lineRule="auto"/>
        <w:rPr>
          <w:sz w:val="20"/>
          <w:szCs w:val="20"/>
          <w:color w:val="auto"/>
        </w:rPr>
      </w:pPr>
      <w:r>
        <w:rPr>
          <w:rFonts w:ascii="Arial" w:cs="Arial" w:eastAsia="Arial" w:hAnsi="Arial"/>
          <w:sz w:val="21"/>
          <w:szCs w:val="21"/>
          <w:color w:val="auto"/>
        </w:rPr>
        <w:t>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49" w:lineRule="exact"/>
        <w:rPr>
          <w:sz w:val="20"/>
          <w:szCs w:val="20"/>
          <w:color w:val="auto"/>
        </w:rPr>
      </w:pPr>
    </w:p>
    <w:p>
      <w:pPr>
        <w:ind w:left="1300" w:hanging="644"/>
        <w:spacing w:after="0" w:line="236" w:lineRule="auto"/>
        <w:tabs>
          <w:tab w:leader="none" w:pos="1191" w:val="left"/>
        </w:tabs>
        <w:numPr>
          <w:ilvl w:val="0"/>
          <w:numId w:val="98"/>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42" w:lineRule="exact"/>
        <w:rPr>
          <w:rFonts w:ascii="Arial" w:cs="Arial" w:eastAsia="Arial" w:hAnsi="Arial"/>
          <w:sz w:val="22"/>
          <w:szCs w:val="22"/>
          <w:color w:val="auto"/>
        </w:rPr>
      </w:pPr>
    </w:p>
    <w:p>
      <w:pPr>
        <w:jc w:val="both"/>
        <w:ind w:left="1960" w:hanging="332"/>
        <w:spacing w:after="0" w:line="217" w:lineRule="auto"/>
        <w:tabs>
          <w:tab w:leader="none" w:pos="2087" w:val="left"/>
        </w:tabs>
        <w:numPr>
          <w:ilvl w:val="1"/>
          <w:numId w:val="98"/>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44" w:lineRule="exact"/>
        <w:rPr>
          <w:rFonts w:ascii="Arial" w:cs="Arial" w:eastAsia="Arial" w:hAnsi="Arial"/>
          <w:sz w:val="22"/>
          <w:szCs w:val="22"/>
          <w:color w:val="auto"/>
        </w:rPr>
      </w:pPr>
    </w:p>
    <w:p>
      <w:pPr>
        <w:jc w:val="both"/>
        <w:ind w:left="1960" w:hanging="332"/>
        <w:spacing w:after="0" w:line="210" w:lineRule="auto"/>
        <w:tabs>
          <w:tab w:leader="none" w:pos="2068" w:val="left"/>
        </w:tabs>
        <w:numPr>
          <w:ilvl w:val="1"/>
          <w:numId w:val="98"/>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49" w:lineRule="exact"/>
        <w:rPr>
          <w:rFonts w:ascii="Arial" w:cs="Arial" w:eastAsia="Arial" w:hAnsi="Arial"/>
          <w:sz w:val="22"/>
          <w:szCs w:val="22"/>
          <w:color w:val="auto"/>
        </w:rPr>
      </w:pPr>
    </w:p>
    <w:p>
      <w:pPr>
        <w:jc w:val="both"/>
        <w:ind w:left="1960" w:hanging="332"/>
        <w:spacing w:after="0" w:line="212" w:lineRule="auto"/>
        <w:tabs>
          <w:tab w:leader="none" w:pos="2129" w:val="left"/>
        </w:tabs>
        <w:numPr>
          <w:ilvl w:val="1"/>
          <w:numId w:val="98"/>
        </w:numPr>
        <w:rPr>
          <w:rFonts w:ascii="Arial" w:cs="Arial" w:eastAsia="Arial" w:hAnsi="Arial"/>
          <w:sz w:val="22"/>
          <w:szCs w:val="22"/>
          <w:color w:val="auto"/>
        </w:rPr>
      </w:pPr>
      <w:r>
        <w:rPr>
          <w:rFonts w:ascii="Arial" w:cs="Arial" w:eastAsia="Arial" w:hAnsi="Arial"/>
          <w:sz w:val="22"/>
          <w:szCs w:val="22"/>
          <w:color w:val="auto"/>
        </w:rPr>
        <w:t xml:space="preserve">If the Shareholder Value Award is paid to the Grantee in Shares and the Grantee is subject to the short-swing profit rules of Section 16(b) of the Exchange Act, </w:t>
      </w:r>
      <w:r>
        <w:rPr>
          <w:rFonts w:ascii="Times New Roman" w:cs="Times New Roman" w:eastAsia="Times New Roman" w:hAnsi="Times New Roman"/>
          <w:sz w:val="22"/>
          <w:szCs w:val="22"/>
          <w:color w:val="auto"/>
        </w:rPr>
        <w:t>for Tax-Related Items other than</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 xml:space="preserve">U.S. Federal Insurance Contribution Act taxes or other Tax-Related Items that become payable in a year prior to the year in which Shares are issued upon settlement of the </w:t>
      </w:r>
      <w:r>
        <w:rPr>
          <w:rFonts w:ascii="Arial" w:cs="Arial" w:eastAsia="Arial" w:hAnsi="Arial"/>
          <w:sz w:val="22"/>
          <w:szCs w:val="22"/>
          <w:color w:val="auto"/>
        </w:rPr>
        <w:t>Shareholder Value Award</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Lilly will</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44" w:lineRule="exact"/>
        <w:rPr>
          <w:rFonts w:ascii="Arial" w:cs="Arial" w:eastAsia="Arial" w:hAnsi="Arial"/>
          <w:sz w:val="22"/>
          <w:szCs w:val="22"/>
          <w:color w:val="auto"/>
        </w:rPr>
      </w:pPr>
    </w:p>
    <w:p>
      <w:pPr>
        <w:ind w:left="1300" w:hanging="644"/>
        <w:spacing w:after="0" w:line="228" w:lineRule="auto"/>
        <w:tabs>
          <w:tab w:leader="none" w:pos="1091" w:val="left"/>
        </w:tabs>
        <w:numPr>
          <w:ilvl w:val="0"/>
          <w:numId w:val="98"/>
        </w:numPr>
        <w:rPr>
          <w:rFonts w:ascii="Arial" w:cs="Arial" w:eastAsia="Arial" w:hAnsi="Arial"/>
          <w:sz w:val="21"/>
          <w:szCs w:val="21"/>
          <w:color w:val="auto"/>
        </w:rPr>
      </w:pPr>
      <w:r>
        <w:rPr>
          <w:rFonts w:ascii="Arial" w:cs="Arial" w:eastAsia="Arial" w:hAnsi="Arial"/>
          <w:sz w:val="21"/>
          <w:szCs w:val="21"/>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6</w:t>
      </w:r>
    </w:p>
    <w:p>
      <w:pPr>
        <w:sectPr>
          <w:pgSz w:w="11900" w:h="16838" w:orient="portrait"/>
          <w:cols w:equalWidth="0" w:num="1">
            <w:col w:w="11240"/>
          </w:cols>
          <w:pgMar w:left="320" w:top="328" w:right="339" w:bottom="1440" w:gutter="0" w:footer="0" w:header="0"/>
        </w:sectPr>
      </w:pPr>
    </w:p>
    <w:bookmarkStart w:id="143" w:name="page144"/>
    <w:bookmarkEnd w:id="143"/>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41" w:lineRule="exact"/>
        <w:rPr>
          <w:sz w:val="20"/>
          <w:szCs w:val="20"/>
          <w:color w:val="auto"/>
        </w:rPr>
      </w:pPr>
    </w:p>
    <w:p>
      <w:pPr>
        <w:ind w:left="1300" w:hanging="644"/>
        <w:spacing w:after="0" w:line="236" w:lineRule="auto"/>
        <w:tabs>
          <w:tab w:leader="none" w:pos="1112"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23" w:lineRule="exact"/>
        <w:rPr>
          <w:sz w:val="20"/>
          <w:szCs w:val="20"/>
          <w:color w:val="auto"/>
        </w:rPr>
      </w:pPr>
    </w:p>
    <w:p>
      <w:pPr>
        <w:ind w:left="340"/>
        <w:spacing w:after="0"/>
        <w:tabs>
          <w:tab w:leader="none" w:pos="1560" w:val="left"/>
        </w:tabs>
        <w:rPr>
          <w:sz w:val="20"/>
          <w:szCs w:val="20"/>
          <w:color w:val="auto"/>
        </w:rPr>
      </w:pPr>
      <w:r>
        <w:rPr>
          <w:rFonts w:ascii="Calibri" w:cs="Calibri" w:eastAsia="Calibri" w:hAnsi="Calibri"/>
          <w:sz w:val="25"/>
          <w:szCs w:val="25"/>
          <w:color w:val="auto"/>
        </w:rPr>
        <w:t>Secton 9.</w:t>
      </w:r>
      <w:r>
        <w:rPr>
          <w:sz w:val="20"/>
          <w:szCs w:val="20"/>
          <w:color w:val="auto"/>
        </w:rPr>
        <w:tab/>
      </w:r>
      <w:r>
        <w:rPr>
          <w:rFonts w:ascii="Calibri" w:cs="Calibri" w:eastAsia="Calibri" w:hAnsi="Calibri"/>
          <w:sz w:val="23"/>
          <w:szCs w:val="23"/>
          <w:color w:val="auto"/>
        </w:rPr>
        <w:t>Secton 409A Compliance</w:t>
      </w:r>
    </w:p>
    <w:p>
      <w:pPr>
        <w:spacing w:after="0" w:line="33" w:lineRule="exact"/>
        <w:rPr>
          <w:sz w:val="20"/>
          <w:szCs w:val="20"/>
          <w:color w:val="auto"/>
        </w:rPr>
      </w:pPr>
    </w:p>
    <w:p>
      <w:pPr>
        <w:jc w:val="both"/>
        <w:ind w:left="420"/>
        <w:spacing w:after="0" w:line="220"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10.</w:t>
      </w:r>
      <w:r>
        <w:rPr>
          <w:sz w:val="20"/>
          <w:szCs w:val="20"/>
          <w:color w:val="auto"/>
        </w:rPr>
        <w:tab/>
      </w:r>
      <w:r>
        <w:rPr>
          <w:rFonts w:ascii="Calibri" w:cs="Calibri" w:eastAsia="Calibri" w:hAnsi="Calibri"/>
          <w:sz w:val="22"/>
          <w:szCs w:val="22"/>
          <w:color w:val="auto"/>
        </w:rPr>
        <w:t>Grantee’s Acknowledgment</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right="20" w:hanging="644"/>
        <w:spacing w:after="0" w:line="236" w:lineRule="auto"/>
        <w:tabs>
          <w:tab w:leader="none" w:pos="113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2" w:lineRule="exact"/>
        <w:rPr>
          <w:rFonts w:ascii="Arial" w:cs="Arial" w:eastAsia="Arial" w:hAnsi="Arial"/>
          <w:sz w:val="22"/>
          <w:szCs w:val="22"/>
          <w:color w:val="auto"/>
        </w:rPr>
      </w:pPr>
    </w:p>
    <w:p>
      <w:pPr>
        <w:ind w:left="1300" w:hanging="644"/>
        <w:spacing w:after="0" w:line="226" w:lineRule="auto"/>
        <w:tabs>
          <w:tab w:leader="none" w:pos="11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41" w:lineRule="exact"/>
        <w:rPr>
          <w:rFonts w:ascii="Arial" w:cs="Arial" w:eastAsia="Arial" w:hAnsi="Arial"/>
          <w:sz w:val="22"/>
          <w:szCs w:val="22"/>
          <w:color w:val="auto"/>
        </w:rPr>
      </w:pPr>
    </w:p>
    <w:p>
      <w:pPr>
        <w:ind w:left="1300" w:hanging="644"/>
        <w:spacing w:after="0" w:line="236" w:lineRule="auto"/>
        <w:tabs>
          <w:tab w:leader="none" w:pos="110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2" w:lineRule="exact"/>
        <w:rPr>
          <w:rFonts w:ascii="Arial" w:cs="Arial" w:eastAsia="Arial" w:hAnsi="Arial"/>
          <w:sz w:val="22"/>
          <w:szCs w:val="22"/>
          <w:color w:val="auto"/>
        </w:rPr>
      </w:pPr>
    </w:p>
    <w:p>
      <w:pPr>
        <w:ind w:left="1080" w:hanging="424"/>
        <w:spacing w:after="0"/>
        <w:tabs>
          <w:tab w:leader="none" w:pos="10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36" w:lineRule="auto"/>
        <w:tabs>
          <w:tab w:leader="none" w:pos="12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42" w:lineRule="exact"/>
        <w:rPr>
          <w:rFonts w:ascii="Arial" w:cs="Arial" w:eastAsia="Arial" w:hAnsi="Arial"/>
          <w:sz w:val="22"/>
          <w:szCs w:val="22"/>
          <w:color w:val="auto"/>
        </w:rPr>
      </w:pPr>
    </w:p>
    <w:p>
      <w:pPr>
        <w:ind w:left="1300" w:hanging="644"/>
        <w:spacing w:after="0" w:line="217" w:lineRule="auto"/>
        <w:tabs>
          <w:tab w:leader="none" w:pos="102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44" w:lineRule="exact"/>
        <w:rPr>
          <w:rFonts w:ascii="Arial" w:cs="Arial" w:eastAsia="Arial" w:hAnsi="Arial"/>
          <w:sz w:val="22"/>
          <w:szCs w:val="22"/>
          <w:color w:val="auto"/>
        </w:rPr>
      </w:pPr>
    </w:p>
    <w:p>
      <w:pPr>
        <w:ind w:left="1300" w:hanging="644"/>
        <w:spacing w:after="0" w:line="231" w:lineRule="auto"/>
        <w:tabs>
          <w:tab w:leader="none" w:pos="108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42" w:lineRule="exact"/>
        <w:rPr>
          <w:rFonts w:ascii="Arial" w:cs="Arial" w:eastAsia="Arial" w:hAnsi="Arial"/>
          <w:sz w:val="21"/>
          <w:szCs w:val="21"/>
          <w:color w:val="auto"/>
        </w:rPr>
      </w:pPr>
    </w:p>
    <w:p>
      <w:pPr>
        <w:ind w:left="1300" w:hanging="644"/>
        <w:spacing w:after="0" w:line="236" w:lineRule="auto"/>
        <w:tabs>
          <w:tab w:leader="none" w:pos="124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42" w:lineRule="exact"/>
        <w:rPr>
          <w:rFonts w:ascii="Arial" w:cs="Arial" w:eastAsia="Arial" w:hAnsi="Arial"/>
          <w:sz w:val="22"/>
          <w:szCs w:val="22"/>
          <w:color w:val="auto"/>
        </w:rPr>
      </w:pPr>
    </w:p>
    <w:p>
      <w:pPr>
        <w:ind w:left="1300" w:hanging="644"/>
        <w:spacing w:after="0" w:line="220" w:lineRule="auto"/>
        <w:tabs>
          <w:tab w:leader="none" w:pos="102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44" w:lineRule="exact"/>
        <w:rPr>
          <w:rFonts w:ascii="Arial" w:cs="Arial" w:eastAsia="Arial" w:hAnsi="Arial"/>
          <w:sz w:val="22"/>
          <w:szCs w:val="22"/>
          <w:color w:val="auto"/>
        </w:rPr>
      </w:pPr>
    </w:p>
    <w:p>
      <w:pPr>
        <w:ind w:left="1300" w:hanging="644"/>
        <w:spacing w:after="0" w:line="226" w:lineRule="auto"/>
        <w:tabs>
          <w:tab w:leader="none" w:pos="106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7</w:t>
      </w:r>
    </w:p>
    <w:p>
      <w:pPr>
        <w:sectPr>
          <w:pgSz w:w="11900" w:h="16838" w:orient="portrait"/>
          <w:cols w:equalWidth="0" w:num="1">
            <w:col w:w="11240"/>
          </w:cols>
          <w:pgMar w:left="320" w:top="328" w:right="339"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44" w:lineRule="exact"/>
        <w:rPr>
          <w:sz w:val="20"/>
          <w:szCs w:val="20"/>
          <w:color w:val="auto"/>
        </w:rPr>
      </w:pPr>
    </w:p>
    <w:p>
      <w:pPr>
        <w:ind w:left="1300" w:hanging="644"/>
        <w:spacing w:after="0" w:line="220" w:lineRule="auto"/>
        <w:tabs>
          <w:tab w:leader="none" w:pos="11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44" w:lineRule="exact"/>
        <w:rPr>
          <w:rFonts w:ascii="Arial" w:cs="Arial" w:eastAsia="Arial" w:hAnsi="Arial"/>
          <w:sz w:val="22"/>
          <w:szCs w:val="22"/>
          <w:color w:val="auto"/>
        </w:rPr>
      </w:pPr>
    </w:p>
    <w:p>
      <w:pPr>
        <w:ind w:left="1300" w:hanging="644"/>
        <w:spacing w:after="0" w:line="236" w:lineRule="auto"/>
        <w:tabs>
          <w:tab w:leader="none" w:pos="103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42" w:lineRule="exact"/>
        <w:rPr>
          <w:rFonts w:ascii="Arial" w:cs="Arial" w:eastAsia="Arial" w:hAnsi="Arial"/>
          <w:sz w:val="22"/>
          <w:szCs w:val="22"/>
          <w:color w:val="auto"/>
        </w:rPr>
      </w:pPr>
    </w:p>
    <w:p>
      <w:pPr>
        <w:ind w:left="1300" w:hanging="644"/>
        <w:spacing w:after="0" w:line="226" w:lineRule="auto"/>
        <w:tabs>
          <w:tab w:leader="none" w:pos="116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122" w:lineRule="exact"/>
        <w:rPr>
          <w:sz w:val="20"/>
          <w:szCs w:val="20"/>
          <w:color w:val="auto"/>
        </w:rPr>
      </w:pPr>
    </w:p>
    <w:p>
      <w:pPr>
        <w:ind w:left="340"/>
        <w:spacing w:after="0"/>
        <w:tabs>
          <w:tab w:leader="none" w:pos="1700" w:val="left"/>
        </w:tabs>
        <w:rPr>
          <w:sz w:val="20"/>
          <w:szCs w:val="20"/>
          <w:color w:val="auto"/>
        </w:rPr>
      </w:pPr>
      <w:r>
        <w:rPr>
          <w:rFonts w:ascii="Calibri" w:cs="Calibri" w:eastAsia="Calibri" w:hAnsi="Calibri"/>
          <w:sz w:val="25"/>
          <w:szCs w:val="25"/>
          <w:color w:val="auto"/>
        </w:rPr>
        <w:t>Secton 11.</w:t>
      </w:r>
      <w:r>
        <w:rPr>
          <w:sz w:val="20"/>
          <w:szCs w:val="20"/>
          <w:color w:val="auto"/>
        </w:rPr>
        <w:tab/>
      </w:r>
      <w:r>
        <w:rPr>
          <w:rFonts w:ascii="Calibri" w:cs="Calibri" w:eastAsia="Calibri" w:hAnsi="Calibri"/>
          <w:sz w:val="22"/>
          <w:szCs w:val="22"/>
          <w:color w:val="auto"/>
        </w:rPr>
        <w:t>Data Privacy</w:t>
      </w:r>
    </w:p>
    <w:p>
      <w:pPr>
        <w:spacing w:after="0" w:line="87" w:lineRule="exact"/>
        <w:rPr>
          <w:sz w:val="20"/>
          <w:szCs w:val="20"/>
          <w:color w:val="auto"/>
        </w:rPr>
      </w:pPr>
    </w:p>
    <w:p>
      <w:pPr>
        <w:jc w:val="both"/>
        <w:ind w:left="1300" w:hanging="644"/>
        <w:spacing w:after="0" w:line="210" w:lineRule="auto"/>
        <w:tabs>
          <w:tab w:leader="none" w:pos="1248" w:val="left"/>
        </w:tabs>
        <w:numPr>
          <w:ilvl w:val="0"/>
          <w:numId w:val="10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ind w:left="1300" w:hanging="644"/>
        <w:spacing w:after="0" w:line="211" w:lineRule="auto"/>
        <w:tabs>
          <w:tab w:leader="none" w:pos="1194" w:val="left"/>
        </w:tabs>
        <w:numPr>
          <w:ilvl w:val="0"/>
          <w:numId w:val="10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8</w:t>
      </w:r>
    </w:p>
    <w:p>
      <w:pPr>
        <w:sectPr>
          <w:pgSz w:w="11900" w:h="16838" w:orient="portrait"/>
          <w:cols w:equalWidth="0" w:num="1">
            <w:col w:w="11240"/>
          </w:cols>
          <w:pgMar w:left="320" w:top="328" w:right="339" w:bottom="1440" w:gutter="0" w:footer="0" w:header="0"/>
        </w:sectPr>
      </w:pPr>
    </w:p>
    <w:bookmarkStart w:id="145" w:name="page146"/>
    <w:bookmarkEnd w:id="145"/>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hanging="644"/>
        <w:spacing w:after="0" w:line="237" w:lineRule="auto"/>
        <w:tabs>
          <w:tab w:leader="none" w:pos="1087" w:val="left"/>
        </w:tabs>
        <w:numPr>
          <w:ilvl w:val="0"/>
          <w:numId w:val="103"/>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0" w:lineRule="exact"/>
        <w:rPr>
          <w:rFonts w:ascii="Arial" w:cs="Arial" w:eastAsia="Arial" w:hAnsi="Arial"/>
          <w:sz w:val="21"/>
          <w:szCs w:val="21"/>
          <w:i w:val="1"/>
          <w:iCs w:val="1"/>
          <w:color w:val="auto"/>
        </w:rPr>
      </w:pPr>
    </w:p>
    <w:p>
      <w:pPr>
        <w:ind w:left="1300" w:hanging="644"/>
        <w:spacing w:after="0" w:line="226" w:lineRule="auto"/>
        <w:tabs>
          <w:tab w:leader="none" w:pos="1180"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1" w:lineRule="exact"/>
        <w:rPr>
          <w:rFonts w:ascii="Arial" w:cs="Arial" w:eastAsia="Arial" w:hAnsi="Arial"/>
          <w:sz w:val="22"/>
          <w:szCs w:val="22"/>
          <w:i w:val="1"/>
          <w:iCs w:val="1"/>
          <w:color w:val="auto"/>
        </w:rPr>
      </w:pPr>
    </w:p>
    <w:p>
      <w:pPr>
        <w:ind w:left="1300" w:hanging="644"/>
        <w:spacing w:after="0" w:line="215" w:lineRule="auto"/>
        <w:tabs>
          <w:tab w:leader="none" w:pos="1126"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ind w:left="1300" w:hanging="644"/>
        <w:spacing w:after="0" w:line="208" w:lineRule="auto"/>
        <w:tabs>
          <w:tab w:leader="none" w:pos="1080"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75"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12.</w:t>
        <w:tab/>
        <w:t>Restrictve Covenants, Remedies, and Additonal Terms and Conditons</w:t>
      </w:r>
    </w:p>
    <w:p>
      <w:pPr>
        <w:spacing w:after="0" w:line="64" w:lineRule="exact"/>
        <w:rPr>
          <w:sz w:val="20"/>
          <w:szCs w:val="20"/>
          <w:color w:val="auto"/>
        </w:rPr>
      </w:pPr>
    </w:p>
    <w:p>
      <w:pPr>
        <w:ind w:left="1300" w:hanging="644"/>
        <w:spacing w:after="0" w:line="217" w:lineRule="auto"/>
        <w:tabs>
          <w:tab w:leader="none" w:pos="1221"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44" w:lineRule="exact"/>
        <w:rPr>
          <w:rFonts w:ascii="Arial" w:cs="Arial" w:eastAsia="Arial" w:hAnsi="Arial"/>
          <w:sz w:val="22"/>
          <w:szCs w:val="22"/>
          <w:color w:val="auto"/>
        </w:rPr>
      </w:pPr>
    </w:p>
    <w:p>
      <w:pPr>
        <w:ind w:left="1960" w:hanging="332"/>
        <w:spacing w:after="0" w:line="236" w:lineRule="auto"/>
        <w:tabs>
          <w:tab w:leader="none" w:pos="200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9</w:t>
      </w:r>
    </w:p>
    <w:p>
      <w:pPr>
        <w:sectPr>
          <w:pgSz w:w="11900" w:h="16838" w:orient="portrait"/>
          <w:cols w:equalWidth="0" w:num="1">
            <w:col w:w="11240"/>
          </w:cols>
          <w:pgMar w:left="320" w:top="330" w:right="339" w:bottom="1440" w:gutter="0" w:footer="0" w:header="0"/>
        </w:sectPr>
      </w:pPr>
    </w:p>
    <w:bookmarkStart w:id="146" w:name="page147"/>
    <w:bookmarkEnd w:id="146"/>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960"/>
        <w:spacing w:after="0" w:line="231" w:lineRule="auto"/>
        <w:rPr>
          <w:sz w:val="20"/>
          <w:szCs w:val="20"/>
          <w:color w:val="auto"/>
        </w:rPr>
      </w:pPr>
      <w:r>
        <w:rPr>
          <w:rFonts w:ascii="Arial" w:cs="Arial" w:eastAsia="Arial" w:hAnsi="Arial"/>
          <w:sz w:val="21"/>
          <w:szCs w:val="21"/>
          <w:color w:val="auto"/>
        </w:rPr>
        <w:t>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42" w:lineRule="exact"/>
        <w:rPr>
          <w:sz w:val="20"/>
          <w:szCs w:val="20"/>
          <w:color w:val="auto"/>
        </w:rPr>
      </w:pPr>
    </w:p>
    <w:p>
      <w:pPr>
        <w:jc w:val="both"/>
        <w:ind w:left="1960" w:hanging="332"/>
        <w:spacing w:after="0" w:line="224" w:lineRule="auto"/>
        <w:tabs>
          <w:tab w:leader="none" w:pos="215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42"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43"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44"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41"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Grantee acknowledges and agrees that during the course of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10</w:t>
      </w:r>
    </w:p>
    <w:p>
      <w:pPr>
        <w:sectPr>
          <w:pgSz w:w="11900" w:h="16838" w:orient="portrait"/>
          <w:cols w:equalWidth="0" w:num="1">
            <w:col w:w="11240"/>
          </w:cols>
          <w:pgMar w:left="320" w:top="330" w:right="339" w:bottom="1440" w:gutter="0" w:footer="0" w:header="0"/>
        </w:sectPr>
      </w:pPr>
    </w:p>
    <w:bookmarkStart w:id="147" w:name="page148"/>
    <w:bookmarkEnd w:id="147"/>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48"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48"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and any other Non-Compete Payment Agreement entered into between Grantee and Lilly, each of which remains in full force and effect, or that the Grantee agrees to in the future.</w:t>
      </w:r>
    </w:p>
    <w:p>
      <w:pPr>
        <w:spacing w:after="0" w:line="41"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44" w:lineRule="exact"/>
        <w:rPr>
          <w:sz w:val="20"/>
          <w:szCs w:val="20"/>
          <w:color w:val="auto"/>
        </w:rPr>
      </w:pPr>
    </w:p>
    <w:p>
      <w:pPr>
        <w:ind w:left="1300" w:hanging="644"/>
        <w:spacing w:after="0" w:line="214" w:lineRule="auto"/>
        <w:tabs>
          <w:tab w:leader="none" w:pos="118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149" w:lineRule="exact"/>
        <w:rPr>
          <w:rFonts w:ascii="Arial" w:cs="Arial" w:eastAsia="Arial" w:hAnsi="Arial"/>
          <w:sz w:val="22"/>
          <w:szCs w:val="22"/>
          <w:color w:val="auto"/>
        </w:rPr>
      </w:pPr>
    </w:p>
    <w:p>
      <w:pPr>
        <w:ind w:left="1300" w:hanging="644"/>
        <w:spacing w:after="0" w:line="214" w:lineRule="auto"/>
        <w:tabs>
          <w:tab w:leader="none" w:pos="1141"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Shareholder Value Award) under the Plan during such times as the Grantee is considered to have “inside information” regarding the Company (as determined under the laws or regulations in the applicable jurisdictions). Any restrictions under these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11</w:t>
      </w:r>
    </w:p>
    <w:p>
      <w:pPr>
        <w:sectPr>
          <w:pgSz w:w="11900" w:h="16838" w:orient="portrait"/>
          <w:cols w:equalWidth="0" w:num="1">
            <w:col w:w="11240"/>
          </w:cols>
          <w:pgMar w:left="320" w:top="330" w:right="339" w:bottom="1440" w:gutter="0" w:footer="0" w:header="0"/>
        </w:sectPr>
      </w:pPr>
    </w:p>
    <w:bookmarkStart w:id="148" w:name="page149"/>
    <w:bookmarkEnd w:id="148"/>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300"/>
        <w:spacing w:after="0" w:line="220" w:lineRule="auto"/>
        <w:rPr>
          <w:sz w:val="20"/>
          <w:szCs w:val="20"/>
          <w:color w:val="auto"/>
        </w:rPr>
      </w:pPr>
      <w:r>
        <w:rPr>
          <w:rFonts w:ascii="Arial" w:cs="Arial" w:eastAsia="Arial" w:hAnsi="Arial"/>
          <w:sz w:val="22"/>
          <w:szCs w:val="22"/>
          <w:color w:val="auto"/>
        </w:rPr>
        <w:t>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152" w:lineRule="exact"/>
        <w:rPr>
          <w:sz w:val="20"/>
          <w:szCs w:val="20"/>
          <w:color w:val="auto"/>
        </w:rPr>
      </w:pPr>
    </w:p>
    <w:p>
      <w:pPr>
        <w:ind w:left="1300" w:hanging="644"/>
        <w:spacing w:after="0" w:line="212" w:lineRule="auto"/>
        <w:tabs>
          <w:tab w:leader="none" w:pos="111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13.</w:t>
      </w:r>
      <w:r>
        <w:rPr>
          <w:sz w:val="20"/>
          <w:szCs w:val="20"/>
          <w:color w:val="auto"/>
        </w:rPr>
        <w:tab/>
      </w:r>
      <w:r>
        <w:rPr>
          <w:rFonts w:ascii="Calibri" w:cs="Calibri" w:eastAsia="Calibri" w:hAnsi="Calibri"/>
          <w:sz w:val="22"/>
          <w:szCs w:val="22"/>
          <w:color w:val="auto"/>
        </w:rPr>
        <w:t>Governing Law and Choice of Venue</w:t>
      </w:r>
    </w:p>
    <w:p>
      <w:pPr>
        <w:spacing w:after="0" w:line="64" w:lineRule="exact"/>
        <w:rPr>
          <w:sz w:val="20"/>
          <w:szCs w:val="20"/>
          <w:color w:val="auto"/>
        </w:rPr>
      </w:pPr>
    </w:p>
    <w:p>
      <w:pPr>
        <w:jc w:val="both"/>
        <w:ind w:left="400"/>
        <w:spacing w:after="0" w:line="212"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14.</w:t>
        <w:tab/>
        <w:t>Miscellaneous Provisions</w:t>
      </w:r>
    </w:p>
    <w:p>
      <w:pPr>
        <w:spacing w:after="0" w:line="78" w:lineRule="exact"/>
        <w:rPr>
          <w:sz w:val="20"/>
          <w:szCs w:val="20"/>
          <w:color w:val="auto"/>
        </w:rPr>
      </w:pPr>
    </w:p>
    <w:p>
      <w:pPr>
        <w:ind w:left="1300" w:hanging="644"/>
        <w:spacing w:after="0" w:line="220" w:lineRule="auto"/>
        <w:tabs>
          <w:tab w:leader="none" w:pos="1167"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9" w:lineRule="exact"/>
        <w:rPr>
          <w:rFonts w:ascii="Arial" w:cs="Arial" w:eastAsia="Arial" w:hAnsi="Arial"/>
          <w:sz w:val="21"/>
          <w:szCs w:val="21"/>
          <w:color w:val="auto"/>
        </w:rPr>
      </w:pPr>
    </w:p>
    <w:p>
      <w:pPr>
        <w:jc w:val="both"/>
        <w:ind w:left="1300" w:hanging="644"/>
        <w:spacing w:after="0" w:line="215" w:lineRule="auto"/>
        <w:tabs>
          <w:tab w:leader="none" w:pos="1248"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57" w:lineRule="exact"/>
        <w:rPr>
          <w:rFonts w:ascii="Arial" w:cs="Arial" w:eastAsia="Arial" w:hAnsi="Arial"/>
          <w:sz w:val="22"/>
          <w:szCs w:val="22"/>
          <w:color w:val="auto"/>
        </w:rPr>
      </w:pPr>
    </w:p>
    <w:p>
      <w:pPr>
        <w:ind w:left="1300" w:hanging="644"/>
        <w:spacing w:after="0" w:line="222" w:lineRule="auto"/>
        <w:tabs>
          <w:tab w:leader="none" w:pos="1121" w:val="left"/>
        </w:tabs>
        <w:numPr>
          <w:ilvl w:val="0"/>
          <w:numId w:val="108"/>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12</w:t>
      </w:r>
    </w:p>
    <w:p>
      <w:pPr>
        <w:sectPr>
          <w:pgSz w:w="11900" w:h="16838" w:orient="portrait"/>
          <w:cols w:equalWidth="0" w:num="1">
            <w:col w:w="11240"/>
          </w:cols>
          <w:pgMar w:left="320" w:top="330" w:right="339" w:bottom="1440" w:gutter="0" w:footer="0" w:header="0"/>
        </w:sectPr>
      </w:pPr>
    </w:p>
    <w:bookmarkStart w:id="149" w:name="page150"/>
    <w:bookmarkEnd w:id="149"/>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300" w:hanging="644"/>
        <w:spacing w:after="0" w:line="212" w:lineRule="auto"/>
        <w:tabs>
          <w:tab w:leader="none" w:pos="1107" w:val="left"/>
        </w:tabs>
        <w:numPr>
          <w:ilvl w:val="0"/>
          <w:numId w:val="109"/>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46"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56" w:lineRule="exact"/>
        <w:rPr>
          <w:sz w:val="20"/>
          <w:szCs w:val="20"/>
          <w:color w:val="auto"/>
        </w:rPr>
      </w:pPr>
    </w:p>
    <w:p>
      <w:pPr>
        <w:ind w:left="1300" w:hanging="644"/>
        <w:spacing w:after="0" w:line="218" w:lineRule="auto"/>
        <w:tabs>
          <w:tab w:leader="none" w:pos="1120" w:val="left"/>
        </w:tabs>
        <w:numPr>
          <w:ilvl w:val="0"/>
          <w:numId w:val="110"/>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43"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15.</w:t>
        <w:tab/>
        <w:t>Compensaton Recovery</w:t>
      </w:r>
    </w:p>
    <w:p>
      <w:pPr>
        <w:spacing w:after="0" w:line="64" w:lineRule="exact"/>
        <w:rPr>
          <w:sz w:val="20"/>
          <w:szCs w:val="20"/>
          <w:color w:val="auto"/>
        </w:rPr>
      </w:pPr>
    </w:p>
    <w:p>
      <w:pPr>
        <w:jc w:val="both"/>
        <w:ind w:left="420"/>
        <w:spacing w:after="0" w:line="220" w:lineRule="auto"/>
        <w:rPr>
          <w:sz w:val="20"/>
          <w:szCs w:val="20"/>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44" w:lineRule="exact"/>
        <w:rPr>
          <w:sz w:val="20"/>
          <w:szCs w:val="20"/>
          <w:color w:val="auto"/>
        </w:rPr>
      </w:pPr>
    </w:p>
    <w:p>
      <w:pPr>
        <w:ind w:left="1300" w:hanging="644"/>
        <w:spacing w:after="0" w:line="214" w:lineRule="auto"/>
        <w:tabs>
          <w:tab w:leader="none" w:pos="112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41" w:lineRule="exact"/>
        <w:rPr>
          <w:rFonts w:ascii="Arial" w:cs="Arial" w:eastAsia="Arial" w:hAnsi="Arial"/>
          <w:sz w:val="22"/>
          <w:szCs w:val="22"/>
          <w:color w:val="auto"/>
        </w:rPr>
      </w:pPr>
    </w:p>
    <w:p>
      <w:pPr>
        <w:ind w:left="1300" w:right="20" w:hanging="644"/>
        <w:spacing w:after="0" w:line="220" w:lineRule="auto"/>
        <w:tabs>
          <w:tab w:leader="none" w:pos="112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44" w:lineRule="exact"/>
        <w:rPr>
          <w:sz w:val="20"/>
          <w:szCs w:val="20"/>
          <w:color w:val="auto"/>
        </w:rPr>
      </w:pPr>
    </w:p>
    <w:p>
      <w:pPr>
        <w:jc w:val="both"/>
        <w:ind w:left="420"/>
        <w:spacing w:after="0" w:line="212"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48" w:lineRule="exact"/>
        <w:rPr>
          <w:sz w:val="20"/>
          <w:szCs w:val="20"/>
          <w:color w:val="auto"/>
        </w:rPr>
      </w:pPr>
    </w:p>
    <w:p>
      <w:pPr>
        <w:jc w:val="both"/>
        <w:ind w:left="420"/>
        <w:spacing w:after="0" w:line="226"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13</w:t>
      </w:r>
    </w:p>
    <w:p>
      <w:pPr>
        <w:sectPr>
          <w:pgSz w:w="11900" w:h="16838" w:orient="portrait"/>
          <w:cols w:equalWidth="0" w:num="1">
            <w:col w:w="11240"/>
          </w:cols>
          <w:pgMar w:left="320" w:top="330" w:right="339" w:bottom="1440" w:gutter="0" w:footer="0" w:header="0"/>
        </w:sectPr>
      </w:pPr>
    </w:p>
    <w:bookmarkStart w:id="150" w:name="page151"/>
    <w:bookmarkEnd w:id="150"/>
    <w:p>
      <w:pPr>
        <w:spacing w:after="0"/>
        <w:rPr>
          <w:sz w:val="20"/>
          <w:szCs w:val="20"/>
          <w:color w:val="auto"/>
        </w:rPr>
      </w:pPr>
      <w:r>
        <w:rPr>
          <w:rFonts w:ascii="Calibri" w:cs="Calibri" w:eastAsia="Calibri" w:hAnsi="Calibri"/>
          <w:sz w:val="22"/>
          <w:szCs w:val="22"/>
          <w:u w:val="single" w:color="auto"/>
          <w:color w:val="auto"/>
        </w:rPr>
        <w:t>Eli Lilly and Company Shareholder Value Award Agreement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16.</w:t>
      </w:r>
      <w:r>
        <w:rPr>
          <w:sz w:val="20"/>
          <w:szCs w:val="20"/>
          <w:color w:val="auto"/>
        </w:rPr>
        <w:tab/>
      </w:r>
      <w:r>
        <w:rPr>
          <w:rFonts w:ascii="Calibri" w:cs="Calibri" w:eastAsia="Calibri" w:hAnsi="Calibri"/>
          <w:sz w:val="22"/>
          <w:szCs w:val="22"/>
          <w:color w:val="auto"/>
        </w:rPr>
        <w:t>Award Subject to Acknowledgement of Acceptance</w:t>
      </w:r>
    </w:p>
    <w:p>
      <w:pPr>
        <w:spacing w:after="0" w:line="64" w:lineRule="exact"/>
        <w:rPr>
          <w:sz w:val="20"/>
          <w:szCs w:val="20"/>
          <w:color w:val="auto"/>
        </w:rPr>
      </w:pPr>
    </w:p>
    <w:p>
      <w:pPr>
        <w:jc w:val="both"/>
        <w:ind w:left="400"/>
        <w:spacing w:after="0" w:line="220"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2" w:lineRule="exact"/>
        <w:rPr>
          <w:sz w:val="20"/>
          <w:szCs w:val="20"/>
          <w:color w:val="auto"/>
        </w:rPr>
      </w:pPr>
    </w:p>
    <w:p>
      <w:pPr>
        <w:ind w:left="340"/>
        <w:spacing w:after="0" w:line="236"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Page 14</w:t>
      </w:r>
    </w:p>
    <w:p>
      <w:pPr>
        <w:sectPr>
          <w:pgSz w:w="11900" w:h="16838" w:orient="portrait"/>
          <w:cols w:equalWidth="0" w:num="1">
            <w:col w:w="11240"/>
          </w:cols>
          <w:pgMar w:left="320" w:top="33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10.4 Form of Relative Value Award under the 2002 Lilly Stock Plan</w:t>
      </w:r>
    </w:p>
    <w:p>
      <w:pPr>
        <w:spacing w:after="0" w:line="200" w:lineRule="exact"/>
        <w:rPr>
          <w:sz w:val="20"/>
          <w:szCs w:val="20"/>
          <w:color w:val="auto"/>
        </w:rPr>
      </w:pPr>
    </w:p>
    <w:p>
      <w:pPr>
        <w:spacing w:after="0" w:line="205" w:lineRule="exact"/>
        <w:rPr>
          <w:sz w:val="20"/>
          <w:szCs w:val="20"/>
          <w:color w:val="auto"/>
        </w:rPr>
      </w:pPr>
    </w:p>
    <w:p>
      <w:pPr>
        <w:jc w:val="center"/>
        <w:ind w:left="500" w:right="2580"/>
        <w:spacing w:after="0" w:line="210" w:lineRule="auto"/>
        <w:rPr>
          <w:sz w:val="20"/>
          <w:szCs w:val="20"/>
          <w:color w:val="auto"/>
        </w:rPr>
      </w:pPr>
      <w:r>
        <w:rPr>
          <w:rFonts w:ascii="Calibri" w:cs="Calibri" w:eastAsia="Calibri" w:hAnsi="Calibri"/>
          <w:sz w:val="43"/>
          <w:szCs w:val="43"/>
          <w:color w:val="auto"/>
        </w:rPr>
        <w:t>Eli Lilly and Company Relatve Value Award Agreement (for Executve Ofcers)</w:t>
      </w:r>
    </w:p>
    <w:p>
      <w:pPr>
        <w:spacing w:after="0" w:line="207" w:lineRule="exact"/>
        <w:rPr>
          <w:sz w:val="20"/>
          <w:szCs w:val="20"/>
          <w:color w:val="auto"/>
        </w:rPr>
      </w:pPr>
    </w:p>
    <w:p>
      <w:pPr>
        <w:jc w:val="both"/>
        <w:ind w:left="340"/>
        <w:spacing w:after="0" w:line="226" w:lineRule="auto"/>
        <w:rPr>
          <w:sz w:val="20"/>
          <w:szCs w:val="20"/>
          <w:color w:val="auto"/>
        </w:rPr>
      </w:pPr>
      <w:r>
        <w:rPr>
          <w:rFonts w:ascii="Arial" w:cs="Arial" w:eastAsia="Arial" w:hAnsi="Arial"/>
          <w:sz w:val="22"/>
          <w:szCs w:val="22"/>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pacing w:after="0" w:line="392" w:lineRule="exact"/>
        <w:rPr>
          <w:sz w:val="20"/>
          <w:szCs w:val="20"/>
          <w:color w:val="auto"/>
        </w:rPr>
      </w:pPr>
    </w:p>
    <w:p>
      <w:pPr>
        <w:ind w:left="340"/>
        <w:spacing w:after="0"/>
        <w:rPr>
          <w:sz w:val="20"/>
          <w:szCs w:val="20"/>
          <w:color w:val="auto"/>
        </w:rPr>
      </w:pPr>
      <w:r>
        <w:rPr>
          <w:rFonts w:ascii="Calibri" w:cs="Calibri" w:eastAsia="Calibri" w:hAnsi="Calibri"/>
          <w:sz w:val="25"/>
          <w:szCs w:val="25"/>
          <w:color w:val="auto"/>
        </w:rPr>
        <w:t>Lilly Relatve Total Shareholder Return Performance Levels: [•]</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tabs>
          <w:tab w:leader="none" w:pos="2740" w:val="left"/>
        </w:tabs>
        <w:rPr>
          <w:sz w:val="20"/>
          <w:szCs w:val="20"/>
          <w:color w:val="auto"/>
        </w:rPr>
      </w:pPr>
      <w:r>
        <w:rPr>
          <w:rFonts w:ascii="Calibri" w:cs="Calibri" w:eastAsia="Calibri" w:hAnsi="Calibri"/>
          <w:sz w:val="25"/>
          <w:szCs w:val="25"/>
          <w:color w:val="auto"/>
        </w:rPr>
        <w:t>Performance Period:</w:t>
      </w:r>
      <w:r>
        <w:rPr>
          <w:sz w:val="20"/>
          <w:szCs w:val="20"/>
          <w:color w:val="auto"/>
        </w:rPr>
        <w:tab/>
      </w:r>
      <w:r>
        <w:rPr>
          <w:rFonts w:ascii="Arial" w:cs="Arial" w:eastAsia="Arial" w:hAnsi="Arial"/>
          <w:sz w:val="25"/>
          <w:szCs w:val="25"/>
          <w:color w:val="auto"/>
        </w:rPr>
        <w:t>[•] – [•]</w:t>
      </w:r>
    </w:p>
    <w:p>
      <w:pPr>
        <w:sectPr>
          <w:pgSz w:w="11900" w:h="16838" w:orient="portrait"/>
          <w:cols w:equalWidth="0" w:num="1">
            <w:col w:w="11080"/>
          </w:cols>
          <w:pgMar w:left="320" w:top="1440" w:right="499" w:bottom="1440" w:gutter="0" w:footer="0" w:header="0"/>
        </w:sectPr>
      </w:pPr>
    </w:p>
    <w:bookmarkStart w:id="152" w:name="page153"/>
    <w:bookmarkEnd w:id="152"/>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Calibri" w:cs="Calibri" w:eastAsia="Calibri" w:hAnsi="Calibri"/>
          <w:sz w:val="25"/>
          <w:szCs w:val="25"/>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308"/>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1.  Grant of Relatve Value Award</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2.</w:t>
            </w:r>
          </w:p>
        </w:tc>
        <w:tc>
          <w:tcPr>
            <w:tcW w:w="60" w:type="dxa"/>
            <w:vAlign w:val="bottom"/>
          </w:tcPr>
          <w:p>
            <w:pPr>
              <w:spacing w:after="0"/>
              <w:rPr>
                <w:sz w:val="24"/>
                <w:szCs w:val="24"/>
                <w:color w:val="auto"/>
              </w:rPr>
            </w:pPr>
          </w:p>
        </w:tc>
        <w:tc>
          <w:tcPr>
            <w:tcW w:w="8000" w:type="dxa"/>
            <w:vAlign w:val="bottom"/>
          </w:tcPr>
          <w:p>
            <w:pPr>
              <w:ind w:left="40"/>
              <w:spacing w:after="0"/>
              <w:rPr>
                <w:sz w:val="20"/>
                <w:szCs w:val="20"/>
                <w:color w:val="auto"/>
              </w:rPr>
            </w:pPr>
            <w:r>
              <w:rPr>
                <w:rFonts w:ascii="Calibri" w:cs="Calibri" w:eastAsia="Calibri" w:hAnsi="Calibri"/>
                <w:sz w:val="22"/>
                <w:szCs w:val="22"/>
                <w:color w:val="auto"/>
              </w:rPr>
              <w:t>Vestng</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3.  Impact of Certain Employment Status Changes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4.  Change in Control</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5.</w:t>
            </w:r>
          </w:p>
        </w:tc>
        <w:tc>
          <w:tcPr>
            <w:tcW w:w="60" w:type="dxa"/>
            <w:vAlign w:val="bottom"/>
          </w:tcPr>
          <w:p>
            <w:pPr>
              <w:spacing w:after="0"/>
              <w:rPr>
                <w:sz w:val="24"/>
                <w:szCs w:val="24"/>
                <w:color w:val="auto"/>
              </w:rPr>
            </w:pPr>
          </w:p>
        </w:tc>
        <w:tc>
          <w:tcPr>
            <w:tcW w:w="8000" w:type="dxa"/>
            <w:vAlign w:val="bottom"/>
          </w:tcPr>
          <w:p>
            <w:pPr>
              <w:ind w:left="40"/>
              <w:spacing w:after="0"/>
              <w:rPr>
                <w:sz w:val="20"/>
                <w:szCs w:val="20"/>
                <w:color w:val="auto"/>
              </w:rPr>
            </w:pPr>
            <w:r>
              <w:rPr>
                <w:rFonts w:ascii="Calibri" w:cs="Calibri" w:eastAsia="Calibri" w:hAnsi="Calibri"/>
                <w:sz w:val="22"/>
                <w:szCs w:val="22"/>
                <w:color w:val="auto"/>
              </w:rPr>
              <w:t>Setlement</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6.  Rights of the Grantee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7.  Prohibiton Against Transfer</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940" w:type="dxa"/>
            <w:vAlign w:val="bottom"/>
          </w:tcPr>
          <w:p>
            <w:pPr>
              <w:spacing w:after="0"/>
              <w:rPr>
                <w:sz w:val="20"/>
                <w:szCs w:val="20"/>
                <w:color w:val="auto"/>
              </w:rPr>
            </w:pPr>
            <w:r>
              <w:rPr>
                <w:rFonts w:ascii="Calibri" w:cs="Calibri" w:eastAsia="Calibri" w:hAnsi="Calibri"/>
                <w:sz w:val="22"/>
                <w:szCs w:val="22"/>
                <w:color w:val="auto"/>
              </w:rPr>
              <w:t>Secton 8.</w:t>
            </w:r>
          </w:p>
        </w:tc>
        <w:tc>
          <w:tcPr>
            <w:tcW w:w="8060" w:type="dxa"/>
            <w:vAlign w:val="bottom"/>
            <w:gridSpan w:val="2"/>
          </w:tcPr>
          <w:p>
            <w:pPr>
              <w:ind w:left="100"/>
              <w:spacing w:after="0"/>
              <w:rPr>
                <w:sz w:val="20"/>
                <w:szCs w:val="20"/>
                <w:color w:val="auto"/>
              </w:rPr>
            </w:pPr>
            <w:r>
              <w:rPr>
                <w:rFonts w:ascii="Calibri" w:cs="Calibri" w:eastAsia="Calibri" w:hAnsi="Calibri"/>
                <w:sz w:val="22"/>
                <w:szCs w:val="22"/>
                <w:color w:val="auto"/>
              </w:rPr>
              <w:t>Responsibility for Taxes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940" w:type="dxa"/>
            <w:vAlign w:val="bottom"/>
          </w:tcPr>
          <w:p>
            <w:pPr>
              <w:spacing w:after="0"/>
              <w:rPr>
                <w:sz w:val="20"/>
                <w:szCs w:val="20"/>
                <w:color w:val="auto"/>
              </w:rPr>
            </w:pPr>
            <w:r>
              <w:rPr>
                <w:rFonts w:ascii="Calibri" w:cs="Calibri" w:eastAsia="Calibri" w:hAnsi="Calibri"/>
                <w:sz w:val="22"/>
                <w:szCs w:val="22"/>
                <w:color w:val="auto"/>
              </w:rPr>
              <w:t>Secton 9.</w:t>
            </w:r>
          </w:p>
        </w:tc>
        <w:tc>
          <w:tcPr>
            <w:tcW w:w="8060" w:type="dxa"/>
            <w:vAlign w:val="bottom"/>
            <w:gridSpan w:val="2"/>
          </w:tcPr>
          <w:p>
            <w:pPr>
              <w:ind w:left="100"/>
              <w:spacing w:after="0"/>
              <w:rPr>
                <w:sz w:val="20"/>
                <w:szCs w:val="20"/>
                <w:color w:val="auto"/>
              </w:rPr>
            </w:pPr>
            <w:r>
              <w:rPr>
                <w:rFonts w:ascii="Calibri" w:cs="Calibri" w:eastAsia="Calibri" w:hAnsi="Calibri"/>
                <w:sz w:val="22"/>
                <w:szCs w:val="22"/>
                <w:color w:val="auto"/>
              </w:rPr>
              <w:t>Secton 409A Compliance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8</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10.</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Grantee’s Acknowledgment</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8</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11.</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Data Privacy</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10</w:t>
            </w:r>
          </w:p>
        </w:tc>
      </w:tr>
      <w:tr>
        <w:trPr>
          <w:trHeight w:val="310"/>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12.  Restrictve Covenants, Remedies, and Additonal Terms and Conditons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11</w:t>
            </w:r>
          </w:p>
        </w:tc>
      </w:tr>
      <w:tr>
        <w:trPr>
          <w:trHeight w:val="310"/>
        </w:trPr>
        <w:tc>
          <w:tcPr>
            <w:tcW w:w="9000" w:type="dxa"/>
            <w:vAlign w:val="bottom"/>
            <w:gridSpan w:val="3"/>
          </w:tcPr>
          <w:p>
            <w:pPr>
              <w:spacing w:after="0"/>
              <w:rPr>
                <w:sz w:val="20"/>
                <w:szCs w:val="20"/>
                <w:color w:val="auto"/>
              </w:rPr>
            </w:pPr>
            <w:r>
              <w:rPr>
                <w:rFonts w:ascii="Calibri" w:cs="Calibri" w:eastAsia="Calibri" w:hAnsi="Calibri"/>
                <w:sz w:val="22"/>
                <w:szCs w:val="22"/>
                <w:color w:val="auto"/>
              </w:rPr>
              <w:t>Secton 13.  Governing Law and Choice of Venue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13</w:t>
            </w:r>
          </w:p>
        </w:tc>
      </w:tr>
      <w:tr>
        <w:trPr>
          <w:trHeight w:val="311"/>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14.</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Miscellaneous Provisions</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14</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15.</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Compensaton Recovery</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14</w:t>
            </w:r>
          </w:p>
        </w:tc>
      </w:tr>
      <w:tr>
        <w:trPr>
          <w:trHeight w:val="310"/>
        </w:trPr>
        <w:tc>
          <w:tcPr>
            <w:tcW w:w="1000" w:type="dxa"/>
            <w:vAlign w:val="bottom"/>
            <w:gridSpan w:val="2"/>
          </w:tcPr>
          <w:p>
            <w:pPr>
              <w:spacing w:after="0"/>
              <w:rPr>
                <w:sz w:val="20"/>
                <w:szCs w:val="20"/>
                <w:color w:val="auto"/>
              </w:rPr>
            </w:pPr>
            <w:r>
              <w:rPr>
                <w:rFonts w:ascii="Calibri" w:cs="Calibri" w:eastAsia="Calibri" w:hAnsi="Calibri"/>
                <w:sz w:val="22"/>
                <w:szCs w:val="22"/>
                <w:color w:val="auto"/>
              </w:rPr>
              <w:t>Secton 16.</w:t>
            </w:r>
          </w:p>
        </w:tc>
        <w:tc>
          <w:tcPr>
            <w:tcW w:w="8000" w:type="dxa"/>
            <w:vAlign w:val="bottom"/>
          </w:tcPr>
          <w:p>
            <w:pPr>
              <w:ind w:left="140"/>
              <w:spacing w:after="0"/>
              <w:rPr>
                <w:sz w:val="20"/>
                <w:szCs w:val="20"/>
                <w:color w:val="auto"/>
              </w:rPr>
            </w:pPr>
            <w:r>
              <w:rPr>
                <w:rFonts w:ascii="Calibri" w:cs="Calibri" w:eastAsia="Calibri" w:hAnsi="Calibri"/>
                <w:sz w:val="22"/>
                <w:szCs w:val="22"/>
                <w:color w:val="auto"/>
              </w:rPr>
              <w:t>Award Subject to Acknowledgement of Acceptance</w:t>
            </w:r>
          </w:p>
        </w:tc>
        <w:tc>
          <w:tcPr>
            <w:tcW w:w="18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81"/>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Calibri" w:cs="Calibri" w:eastAsia="Calibri" w:hAnsi="Calibri"/>
          <w:sz w:val="16"/>
          <w:szCs w:val="16"/>
          <w:color w:val="auto"/>
        </w:rPr>
        <w:t>Page 2</w:t>
      </w:r>
    </w:p>
    <w:p>
      <w:pPr>
        <w:sectPr>
          <w:pgSz w:w="11900" w:h="16838" w:orient="portrait"/>
          <w:cols w:equalWidth="0" w:num="1">
            <w:col w:w="10960"/>
          </w:cols>
          <w:pgMar w:left="320" w:top="330" w:right="619" w:bottom="1440" w:gutter="0" w:footer="0" w:header="0"/>
        </w:sectPr>
      </w:pPr>
    </w:p>
    <w:bookmarkStart w:id="153" w:name="page154"/>
    <w:bookmarkEnd w:id="153"/>
    <w:p>
      <w:pPr>
        <w:spacing w:after="0"/>
        <w:rPr>
          <w:sz w:val="20"/>
          <w:szCs w:val="20"/>
          <w:color w:val="auto"/>
        </w:rPr>
      </w:pPr>
      <w:r>
        <w:rPr>
          <w:rFonts w:ascii="Calibri" w:cs="Calibri" w:eastAsia="Calibri" w:hAnsi="Calibri"/>
          <w:sz w:val="22"/>
          <w:szCs w:val="22"/>
          <w:u w:val="single" w:color="auto"/>
          <w:color w:val="auto"/>
        </w:rPr>
        <w:t>Eli Lilly and Company Relatve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1.</w:t>
        <w:tab/>
        <w:t>Grant of Relatve Value Award</w:t>
      </w:r>
    </w:p>
    <w:p>
      <w:pPr>
        <w:spacing w:after="0" w:line="64"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 xml:space="preserve"> (the "Target Number of Shares").</w:t>
      </w:r>
    </w:p>
    <w:p>
      <w:pPr>
        <w:spacing w:after="0" w:line="44"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179" w:lineRule="exact"/>
        <w:rPr>
          <w:sz w:val="20"/>
          <w:szCs w:val="20"/>
          <w:color w:val="auto"/>
        </w:rPr>
      </w:pPr>
    </w:p>
    <w:p>
      <w:pPr>
        <w:jc w:val="both"/>
        <w:ind w:left="420"/>
        <w:spacing w:after="0" w:line="236"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2.</w:t>
        <w:tab/>
        <w:t>Vestng</w:t>
      </w:r>
    </w:p>
    <w:p>
      <w:pPr>
        <w:spacing w:after="0" w:line="24" w:lineRule="exact"/>
        <w:rPr>
          <w:sz w:val="20"/>
          <w:szCs w:val="20"/>
          <w:color w:val="auto"/>
        </w:rPr>
      </w:pPr>
    </w:p>
    <w:p>
      <w:pPr>
        <w:jc w:val="both"/>
        <w:ind w:left="420"/>
        <w:spacing w:after="0" w:line="226"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41" w:lineRule="exact"/>
        <w:rPr>
          <w:sz w:val="20"/>
          <w:szCs w:val="20"/>
          <w:color w:val="auto"/>
        </w:rPr>
      </w:pPr>
    </w:p>
    <w:p>
      <w:pPr>
        <w:ind w:left="1300" w:right="640" w:hanging="644"/>
        <w:spacing w:after="0" w:line="220" w:lineRule="auto"/>
        <w:tabs>
          <w:tab w:leader="none" w:pos="116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Multiple</w:t>
      </w:r>
      <w:r>
        <w:rPr>
          <w:rFonts w:ascii="Arial" w:cs="Arial" w:eastAsia="Arial" w:hAnsi="Arial"/>
          <w:sz w:val="22"/>
          <w:szCs w:val="22"/>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44" w:lineRule="exact"/>
        <w:rPr>
          <w:rFonts w:ascii="Arial" w:cs="Arial" w:eastAsia="Arial" w:hAnsi="Arial"/>
          <w:sz w:val="22"/>
          <w:szCs w:val="22"/>
          <w:color w:val="auto"/>
        </w:rPr>
      </w:pPr>
    </w:p>
    <w:p>
      <w:pPr>
        <w:ind w:left="1300" w:right="640" w:hanging="644"/>
        <w:spacing w:after="0" w:line="226" w:lineRule="auto"/>
        <w:tabs>
          <w:tab w:leader="none" w:pos="116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41" w:lineRule="exact"/>
        <w:rPr>
          <w:rFonts w:ascii="Arial" w:cs="Arial" w:eastAsia="Arial" w:hAnsi="Arial"/>
          <w:sz w:val="22"/>
          <w:szCs w:val="22"/>
          <w:color w:val="auto"/>
        </w:rPr>
      </w:pPr>
    </w:p>
    <w:p>
      <w:pPr>
        <w:ind w:left="1300" w:right="660" w:hanging="644"/>
        <w:spacing w:after="0" w:line="231" w:lineRule="auto"/>
        <w:tabs>
          <w:tab w:leader="none" w:pos="106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Shareholder Return</w:t>
      </w:r>
      <w:r>
        <w:rPr>
          <w:rFonts w:ascii="Arial" w:cs="Arial" w:eastAsia="Arial" w:hAnsi="Arial"/>
          <w:sz w:val="21"/>
          <w:szCs w:val="21"/>
          <w:color w:val="auto"/>
        </w:rPr>
        <w:t>” or “</w:t>
      </w:r>
      <w:r>
        <w:rPr>
          <w:rFonts w:ascii="Arial" w:cs="Arial" w:eastAsia="Arial" w:hAnsi="Arial"/>
          <w:sz w:val="21"/>
          <w:szCs w:val="21"/>
          <w:u w:val="single" w:color="auto"/>
          <w:color w:val="auto"/>
        </w:rPr>
        <w:t>TSR</w:t>
      </w:r>
      <w:r>
        <w:rPr>
          <w:rFonts w:ascii="Arial" w:cs="Arial" w:eastAsia="Arial" w:hAnsi="Arial"/>
          <w:sz w:val="21"/>
          <w:szCs w:val="21"/>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42" w:lineRule="exact"/>
        <w:rPr>
          <w:sz w:val="20"/>
          <w:szCs w:val="20"/>
          <w:color w:val="auto"/>
        </w:rPr>
      </w:pPr>
    </w:p>
    <w:p>
      <w:pPr>
        <w:jc w:val="both"/>
        <w:ind w:left="1300" w:right="1300"/>
        <w:spacing w:after="0" w:line="220" w:lineRule="auto"/>
        <w:rPr>
          <w:sz w:val="20"/>
          <w:szCs w:val="20"/>
          <w:color w:val="auto"/>
        </w:rPr>
      </w:pPr>
      <w:r>
        <w:rPr>
          <w:rFonts w:ascii="Arial" w:cs="Arial" w:eastAsia="Arial" w:hAnsi="Arial"/>
          <w:sz w:val="22"/>
          <w:szCs w:val="22"/>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44" w:lineRule="exact"/>
        <w:rPr>
          <w:sz w:val="20"/>
          <w:szCs w:val="20"/>
          <w:color w:val="auto"/>
        </w:rPr>
      </w:pPr>
    </w:p>
    <w:p>
      <w:pPr>
        <w:ind w:left="1300" w:right="1300" w:hanging="644"/>
        <w:spacing w:after="0" w:line="220" w:lineRule="auto"/>
        <w:tabs>
          <w:tab w:leader="none" w:pos="11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Relative 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rTSR</w:t>
      </w:r>
      <w:r>
        <w:rPr>
          <w:rFonts w:ascii="Arial" w:cs="Arial" w:eastAsia="Arial" w:hAnsi="Arial"/>
          <w:sz w:val="22"/>
          <w:szCs w:val="22"/>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44" w:lineRule="exact"/>
        <w:rPr>
          <w:rFonts w:ascii="Arial" w:cs="Arial" w:eastAsia="Arial" w:hAnsi="Arial"/>
          <w:sz w:val="22"/>
          <w:szCs w:val="22"/>
          <w:color w:val="auto"/>
        </w:rPr>
      </w:pPr>
    </w:p>
    <w:p>
      <w:pPr>
        <w:ind w:left="1300" w:right="1300" w:hanging="644"/>
        <w:spacing w:after="0" w:line="220" w:lineRule="auto"/>
        <w:tabs>
          <w:tab w:leader="none" w:pos="115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spacing w:after="0" w:line="44" w:lineRule="exact"/>
        <w:rPr>
          <w:rFonts w:ascii="Arial" w:cs="Arial" w:eastAsia="Arial" w:hAnsi="Arial"/>
          <w:sz w:val="22"/>
          <w:szCs w:val="22"/>
          <w:color w:val="auto"/>
        </w:rPr>
      </w:pPr>
    </w:p>
    <w:p>
      <w:pPr>
        <w:ind w:left="1300" w:right="1300" w:hanging="644"/>
        <w:spacing w:after="0" w:line="226" w:lineRule="auto"/>
        <w:tabs>
          <w:tab w:leader="none" w:pos="103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Peer Stock Price</w:t>
      </w:r>
      <w:r>
        <w:rPr>
          <w:rFonts w:ascii="Arial" w:cs="Arial" w:eastAsia="Arial" w:hAnsi="Arial"/>
          <w:sz w:val="22"/>
          <w:szCs w:val="22"/>
          <w:color w:val="auto"/>
        </w:rPr>
        <w:t>” shall mean the average of the closing price of a share of each Peer Group company’s stock, on Nasdaq, the New York Stock Exchange, or other market where an independent share price can be</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3</w:t>
      </w:r>
    </w:p>
    <w:p>
      <w:pPr>
        <w:sectPr>
          <w:pgSz w:w="11900" w:h="16838" w:orient="portrait"/>
          <w:cols w:equalWidth="0" w:num="1">
            <w:col w:w="11240"/>
          </w:cols>
          <w:pgMar w:left="320" w:top="330" w:right="339"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right="1300"/>
        <w:spacing w:after="0" w:line="236" w:lineRule="auto"/>
        <w:rPr>
          <w:sz w:val="20"/>
          <w:szCs w:val="20"/>
          <w:color w:val="auto"/>
        </w:rPr>
      </w:pPr>
      <w:r>
        <w:rPr>
          <w:rFonts w:ascii="Arial" w:cs="Arial" w:eastAsia="Arial" w:hAnsi="Arial"/>
          <w:sz w:val="22"/>
          <w:szCs w:val="22"/>
          <w:color w:val="auto"/>
        </w:rPr>
        <w:t>determined, for each trading day in the last two months of the Performance Period, rounded to the nearest cent.</w:t>
      </w:r>
    </w:p>
    <w:p>
      <w:pPr>
        <w:spacing w:after="0" w:line="43" w:lineRule="exact"/>
        <w:rPr>
          <w:sz w:val="20"/>
          <w:szCs w:val="20"/>
          <w:color w:val="auto"/>
        </w:rPr>
      </w:pPr>
    </w:p>
    <w:p>
      <w:pPr>
        <w:ind w:left="1300" w:right="1300" w:hanging="644"/>
        <w:spacing w:after="0" w:line="236" w:lineRule="auto"/>
        <w:tabs>
          <w:tab w:leader="none" w:pos="108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Performance Period.</w:t>
      </w:r>
    </w:p>
    <w:p>
      <w:pPr>
        <w:spacing w:after="0" w:line="42" w:lineRule="exact"/>
        <w:rPr>
          <w:rFonts w:ascii="Arial" w:cs="Arial" w:eastAsia="Arial" w:hAnsi="Arial"/>
          <w:sz w:val="22"/>
          <w:szCs w:val="22"/>
          <w:color w:val="auto"/>
        </w:rPr>
      </w:pPr>
    </w:p>
    <w:p>
      <w:pPr>
        <w:jc w:val="both"/>
        <w:ind w:left="1300" w:right="1300" w:hanging="644"/>
        <w:spacing w:after="0" w:line="217" w:lineRule="auto"/>
        <w:tabs>
          <w:tab w:leader="none" w:pos="127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44" w:lineRule="exact"/>
        <w:rPr>
          <w:sz w:val="20"/>
          <w:szCs w:val="20"/>
          <w:color w:val="auto"/>
        </w:rPr>
      </w:pPr>
    </w:p>
    <w:p>
      <w:pPr>
        <w:jc w:val="both"/>
        <w:ind w:left="420" w:right="20"/>
        <w:spacing w:after="0" w:line="236"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3.</w:t>
      </w:r>
      <w:r>
        <w:rPr>
          <w:sz w:val="20"/>
          <w:szCs w:val="20"/>
          <w:color w:val="auto"/>
        </w:rPr>
        <w:tab/>
      </w:r>
      <w:r>
        <w:rPr>
          <w:rFonts w:ascii="Calibri" w:cs="Calibri" w:eastAsia="Calibri" w:hAnsi="Calibri"/>
          <w:sz w:val="22"/>
          <w:szCs w:val="22"/>
          <w:color w:val="auto"/>
        </w:rPr>
        <w:t>Impact of Certain Employment Status Changes</w:t>
      </w:r>
    </w:p>
    <w:p>
      <w:pPr>
        <w:spacing w:after="0" w:line="64" w:lineRule="exact"/>
        <w:rPr>
          <w:sz w:val="20"/>
          <w:szCs w:val="20"/>
          <w:color w:val="auto"/>
        </w:rPr>
      </w:pPr>
    </w:p>
    <w:p>
      <w:pPr>
        <w:jc w:val="both"/>
        <w:ind w:left="420" w:right="20"/>
        <w:spacing w:after="0" w:line="226"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41" w:lineRule="exact"/>
        <w:rPr>
          <w:sz w:val="20"/>
          <w:szCs w:val="20"/>
          <w:color w:val="auto"/>
        </w:rPr>
      </w:pPr>
    </w:p>
    <w:p>
      <w:pPr>
        <w:ind w:left="1300" w:hanging="644"/>
        <w:spacing w:after="0" w:line="226" w:lineRule="auto"/>
        <w:tabs>
          <w:tab w:leader="none" w:pos="108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41" w:lineRule="exact"/>
        <w:rPr>
          <w:rFonts w:ascii="Arial" w:cs="Arial" w:eastAsia="Arial" w:hAnsi="Arial"/>
          <w:sz w:val="22"/>
          <w:szCs w:val="22"/>
          <w:color w:val="auto"/>
        </w:rPr>
      </w:pPr>
    </w:p>
    <w:p>
      <w:pPr>
        <w:ind w:left="1300" w:hanging="644"/>
        <w:spacing w:after="0" w:line="214" w:lineRule="auto"/>
        <w:tabs>
          <w:tab w:leader="none" w:pos="108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41" w:lineRule="exact"/>
        <w:rPr>
          <w:sz w:val="20"/>
          <w:szCs w:val="20"/>
          <w:color w:val="auto"/>
        </w:rPr>
      </w:pPr>
    </w:p>
    <w:p>
      <w:pPr>
        <w:jc w:val="both"/>
        <w:ind w:left="1300"/>
        <w:spacing w:after="0" w:line="219"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3" w:lineRule="exact"/>
        <w:rPr>
          <w:sz w:val="20"/>
          <w:szCs w:val="20"/>
          <w:color w:val="auto"/>
        </w:rPr>
      </w:pPr>
    </w:p>
    <w:p>
      <w:pPr>
        <w:jc w:val="both"/>
        <w:ind w:left="1300" w:firstLine="4"/>
        <w:spacing w:after="0" w:line="211" w:lineRule="auto"/>
        <w:tabs>
          <w:tab w:leader="none" w:pos="167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43"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43" w:lineRule="exact"/>
        <w:rPr>
          <w:sz w:val="20"/>
          <w:szCs w:val="20"/>
          <w:color w:val="auto"/>
        </w:rPr>
      </w:pPr>
    </w:p>
    <w:p>
      <w:pPr>
        <w:jc w:val="both"/>
        <w:ind w:left="1300" w:right="20" w:hanging="644"/>
        <w:spacing w:after="0" w:line="226" w:lineRule="auto"/>
        <w:tabs>
          <w:tab w:leader="none" w:pos="1316"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Except as otherwise provided in section 3(b), in the event the Grantee’s employment is subject to a Qualifying Termination (as defined below), the number of Shares eligible to vest shall be the number determined in accordance with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4</w:t>
      </w:r>
    </w:p>
    <w:p>
      <w:pPr>
        <w:sectPr>
          <w:pgSz w:w="11900" w:h="16838" w:orient="portrait"/>
          <w:cols w:equalWidth="0" w:num="1">
            <w:col w:w="11240"/>
          </w:cols>
          <w:pgMar w:left="320" w:top="330" w:right="339" w:bottom="1440" w:gutter="0" w:footer="0" w:header="0"/>
        </w:sectPr>
      </w:pPr>
    </w:p>
    <w:bookmarkStart w:id="155" w:name="page156"/>
    <w:bookmarkEnd w:id="155"/>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Section 2 above, reduced proportionally for the portion of the total days during the Performance Period in which the Grantee was not in active Service.</w:t>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this Award Agreement, a “Qualifying Termination” means the termination of the</w:t>
      </w:r>
    </w:p>
    <w:p>
      <w:pPr>
        <w:ind w:left="1300"/>
        <w:spacing w:after="0"/>
        <w:rPr>
          <w:sz w:val="20"/>
          <w:szCs w:val="20"/>
          <w:color w:val="auto"/>
        </w:rPr>
      </w:pPr>
      <w:r>
        <w:rPr>
          <w:rFonts w:ascii="Arial" w:cs="Arial" w:eastAsia="Arial" w:hAnsi="Arial"/>
          <w:sz w:val="22"/>
          <w:szCs w:val="22"/>
          <w:color w:val="auto"/>
        </w:rPr>
        <w:t>Grantee's Service under any one of the following circumstances:</w:t>
      </w:r>
    </w:p>
    <w:p>
      <w:pPr>
        <w:spacing w:after="0" w:line="51" w:lineRule="exact"/>
        <w:rPr>
          <w:sz w:val="20"/>
          <w:szCs w:val="20"/>
          <w:color w:val="auto"/>
        </w:rPr>
      </w:pPr>
    </w:p>
    <w:p>
      <w:pPr>
        <w:ind w:left="1980" w:hanging="352"/>
        <w:spacing w:after="0"/>
        <w:tabs>
          <w:tab w:leader="none" w:pos="19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20" w:lineRule="auto"/>
        <w:tabs>
          <w:tab w:leader="none" w:pos="219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44" w:lineRule="exact"/>
        <w:rPr>
          <w:sz w:val="20"/>
          <w:szCs w:val="20"/>
          <w:color w:val="auto"/>
        </w:rPr>
      </w:pPr>
    </w:p>
    <w:p>
      <w:pPr>
        <w:ind w:left="1300" w:right="760"/>
        <w:spacing w:after="0" w:line="236"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43" w:lineRule="exact"/>
        <w:rPr>
          <w:sz w:val="20"/>
          <w:szCs w:val="20"/>
          <w:color w:val="auto"/>
        </w:rPr>
      </w:pPr>
    </w:p>
    <w:p>
      <w:pPr>
        <w:ind w:left="1300" w:right="100"/>
        <w:spacing w:after="0" w:line="25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25" w:lineRule="exact"/>
        <w:rPr>
          <w:sz w:val="20"/>
          <w:szCs w:val="20"/>
          <w:color w:val="auto"/>
        </w:rPr>
      </w:pPr>
    </w:p>
    <w:p>
      <w:pPr>
        <w:ind w:left="1300" w:hanging="644"/>
        <w:spacing w:after="0" w:line="212" w:lineRule="auto"/>
        <w:tabs>
          <w:tab w:leader="none" w:pos="1153"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48"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of as a result of the failure to locate a position within the Company or an Affiliate following reallocation or medical reassignment shall be final and binding on the Grantee.</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4.</w:t>
      </w:r>
      <w:r>
        <w:rPr>
          <w:sz w:val="20"/>
          <w:szCs w:val="20"/>
          <w:color w:val="auto"/>
        </w:rPr>
        <w:tab/>
      </w:r>
      <w:r>
        <w:rPr>
          <w:rFonts w:ascii="Calibri" w:cs="Calibri" w:eastAsia="Calibri" w:hAnsi="Calibri"/>
          <w:sz w:val="22"/>
          <w:szCs w:val="22"/>
          <w:color w:val="auto"/>
        </w:rPr>
        <w:t>Change in Control</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06" w:lineRule="exact"/>
        <w:rPr>
          <w:sz w:val="20"/>
          <w:szCs w:val="20"/>
          <w:color w:val="auto"/>
        </w:rPr>
      </w:pPr>
    </w:p>
    <w:p>
      <w:pPr>
        <w:jc w:val="both"/>
        <w:ind w:left="1300" w:hanging="644"/>
        <w:spacing w:after="0" w:line="226" w:lineRule="auto"/>
        <w:tabs>
          <w:tab w:leader="none" w:pos="128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41" w:lineRule="exact"/>
        <w:rPr>
          <w:rFonts w:ascii="Arial" w:cs="Arial" w:eastAsia="Arial" w:hAnsi="Arial"/>
          <w:sz w:val="22"/>
          <w:szCs w:val="22"/>
          <w:color w:val="auto"/>
        </w:rPr>
      </w:pPr>
    </w:p>
    <w:p>
      <w:pPr>
        <w:ind w:left="1300" w:hanging="644"/>
        <w:spacing w:after="0" w:line="221" w:lineRule="auto"/>
        <w:tabs>
          <w:tab w:leader="none" w:pos="112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5</w:t>
      </w:r>
    </w:p>
    <w:p>
      <w:pPr>
        <w:sectPr>
          <w:pgSz w:w="11900" w:h="16838" w:orient="portrait"/>
          <w:cols w:equalWidth="0" w:num="1">
            <w:col w:w="11240"/>
          </w:cols>
          <w:pgMar w:left="320" w:top="330" w:right="339" w:bottom="1440" w:gutter="0" w:footer="0" w:header="0"/>
        </w:sectPr>
      </w:pPr>
    </w:p>
    <w:bookmarkStart w:id="156" w:name="page157"/>
    <w:bookmarkEnd w:id="156"/>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960" w:hanging="332"/>
        <w:spacing w:after="0" w:line="220" w:lineRule="auto"/>
        <w:tabs>
          <w:tab w:leader="none" w:pos="203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44" w:lineRule="exact"/>
        <w:rPr>
          <w:rFonts w:ascii="Arial" w:cs="Arial" w:eastAsia="Arial" w:hAnsi="Arial"/>
          <w:sz w:val="22"/>
          <w:szCs w:val="22"/>
          <w:color w:val="auto"/>
        </w:rPr>
      </w:pPr>
    </w:p>
    <w:p>
      <w:pPr>
        <w:jc w:val="both"/>
        <w:ind w:left="1960" w:hanging="332"/>
        <w:spacing w:after="0" w:line="217" w:lineRule="auto"/>
        <w:tabs>
          <w:tab w:leader="none" w:pos="215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44" w:lineRule="exact"/>
        <w:rPr>
          <w:sz w:val="20"/>
          <w:szCs w:val="20"/>
          <w:color w:val="auto"/>
        </w:rPr>
      </w:pPr>
    </w:p>
    <w:p>
      <w:pPr>
        <w:jc w:val="both"/>
        <w:ind w:left="1300"/>
        <w:spacing w:after="0" w:line="217"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58" w:lineRule="exact"/>
        <w:rPr>
          <w:sz w:val="20"/>
          <w:szCs w:val="20"/>
          <w:color w:val="auto"/>
        </w:rPr>
      </w:pPr>
    </w:p>
    <w:p>
      <w:pPr>
        <w:ind w:left="1300" w:hanging="644"/>
        <w:spacing w:after="0" w:line="218" w:lineRule="auto"/>
        <w:tabs>
          <w:tab w:leader="none" w:pos="1094" w:val="left"/>
        </w:tabs>
        <w:numPr>
          <w:ilvl w:val="0"/>
          <w:numId w:val="122"/>
        </w:numPr>
        <w:rPr>
          <w:rFonts w:ascii="Arial" w:cs="Arial" w:eastAsia="Arial" w:hAnsi="Arial"/>
          <w:sz w:val="23"/>
          <w:szCs w:val="23"/>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5.</w:t>
        <w:tab/>
        <w:t>Setlement</w:t>
      </w:r>
    </w:p>
    <w:p>
      <w:pPr>
        <w:spacing w:after="0" w:line="78" w:lineRule="exact"/>
        <w:rPr>
          <w:sz w:val="20"/>
          <w:szCs w:val="20"/>
          <w:color w:val="auto"/>
        </w:rPr>
      </w:pPr>
    </w:p>
    <w:p>
      <w:pPr>
        <w:ind w:left="1300" w:hanging="644"/>
        <w:spacing w:after="0" w:line="236" w:lineRule="auto"/>
        <w:tabs>
          <w:tab w:leader="none" w:pos="11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42" w:lineRule="exact"/>
        <w:rPr>
          <w:rFonts w:ascii="Arial" w:cs="Arial" w:eastAsia="Arial" w:hAnsi="Arial"/>
          <w:sz w:val="22"/>
          <w:szCs w:val="22"/>
          <w:color w:val="auto"/>
        </w:rPr>
      </w:pPr>
    </w:p>
    <w:p>
      <w:pPr>
        <w:ind w:left="1300" w:hanging="644"/>
        <w:spacing w:after="0" w:line="210" w:lineRule="auto"/>
        <w:tabs>
          <w:tab w:leader="none" w:pos="109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49" w:lineRule="exact"/>
        <w:rPr>
          <w:rFonts w:ascii="Arial" w:cs="Arial" w:eastAsia="Arial" w:hAnsi="Arial"/>
          <w:sz w:val="22"/>
          <w:szCs w:val="22"/>
          <w:color w:val="auto"/>
        </w:rPr>
      </w:pPr>
    </w:p>
    <w:p>
      <w:pPr>
        <w:jc w:val="both"/>
        <w:ind w:left="1300" w:hanging="644"/>
        <w:spacing w:after="0" w:line="212" w:lineRule="auto"/>
        <w:tabs>
          <w:tab w:leader="none" w:pos="123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(and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first day following the six (6) month anniversary of the Grantee’s Section 409A Separation and (2) the date of the Grantee’s death.</w:t>
      </w:r>
    </w:p>
    <w:p>
      <w:pPr>
        <w:spacing w:after="0" w:line="48" w:lineRule="exact"/>
        <w:rPr>
          <w:rFonts w:ascii="Arial" w:cs="Arial" w:eastAsia="Arial" w:hAnsi="Arial"/>
          <w:sz w:val="22"/>
          <w:szCs w:val="22"/>
          <w:color w:val="auto"/>
        </w:rPr>
      </w:pPr>
    </w:p>
    <w:p>
      <w:pPr>
        <w:jc w:val="both"/>
        <w:ind w:left="1300" w:hanging="644"/>
        <w:spacing w:after="0" w:line="237" w:lineRule="auto"/>
        <w:tabs>
          <w:tab w:leader="none" w:pos="122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6</w:t>
      </w:r>
    </w:p>
    <w:p>
      <w:pPr>
        <w:sectPr>
          <w:pgSz w:w="11900" w:h="16838" w:orient="portrait"/>
          <w:cols w:equalWidth="0" w:num="1">
            <w:col w:w="11240"/>
          </w:cols>
          <w:pgMar w:left="320" w:top="330" w:right="339" w:bottom="1440" w:gutter="0" w:footer="0" w:header="0"/>
        </w:sectPr>
      </w:pPr>
    </w:p>
    <w:bookmarkStart w:id="157" w:name="page158"/>
    <w:bookmarkEnd w:id="157"/>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hanging="644"/>
        <w:spacing w:after="0" w:line="217" w:lineRule="auto"/>
        <w:tabs>
          <w:tab w:leader="none" w:pos="111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44" w:lineRule="exact"/>
        <w:rPr>
          <w:rFonts w:ascii="Arial" w:cs="Arial" w:eastAsia="Arial" w:hAnsi="Arial"/>
          <w:sz w:val="22"/>
          <w:szCs w:val="22"/>
          <w:color w:val="auto"/>
        </w:rPr>
      </w:pPr>
    </w:p>
    <w:p>
      <w:pPr>
        <w:ind w:left="1300" w:hanging="644"/>
        <w:spacing w:after="0" w:line="236" w:lineRule="auto"/>
        <w:tabs>
          <w:tab w:leader="none" w:pos="103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43"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6.</w:t>
      </w:r>
      <w:r>
        <w:rPr>
          <w:sz w:val="20"/>
          <w:szCs w:val="20"/>
          <w:color w:val="auto"/>
        </w:rPr>
        <w:tab/>
      </w:r>
      <w:r>
        <w:rPr>
          <w:rFonts w:ascii="Calibri" w:cs="Calibri" w:eastAsia="Calibri" w:hAnsi="Calibri"/>
          <w:sz w:val="22"/>
          <w:szCs w:val="22"/>
          <w:color w:val="auto"/>
        </w:rPr>
        <w:t>Rights of the Grantee</w:t>
      </w:r>
    </w:p>
    <w:p>
      <w:pPr>
        <w:spacing w:after="0" w:line="64" w:lineRule="exact"/>
        <w:rPr>
          <w:sz w:val="20"/>
          <w:szCs w:val="20"/>
          <w:color w:val="auto"/>
        </w:rPr>
      </w:pPr>
    </w:p>
    <w:p>
      <w:pPr>
        <w:jc w:val="both"/>
        <w:ind w:left="1300" w:hanging="644"/>
        <w:spacing w:after="0" w:line="226" w:lineRule="auto"/>
        <w:tabs>
          <w:tab w:leader="none" w:pos="1261"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Relative Value Award does not entitle the Grantee to any rights of a shareholder of Lilly until such time as the Relative Value Award is settled and Shares are issued or transferred to the Grantee.</w:t>
      </w:r>
    </w:p>
    <w:p>
      <w:pPr>
        <w:spacing w:after="0" w:line="41" w:lineRule="exact"/>
        <w:rPr>
          <w:rFonts w:ascii="Arial" w:cs="Arial" w:eastAsia="Arial" w:hAnsi="Arial"/>
          <w:sz w:val="22"/>
          <w:szCs w:val="22"/>
          <w:color w:val="auto"/>
        </w:rPr>
      </w:pPr>
    </w:p>
    <w:p>
      <w:pPr>
        <w:ind w:left="1300" w:hanging="644"/>
        <w:spacing w:after="0" w:line="220" w:lineRule="auto"/>
        <w:tabs>
          <w:tab w:leader="none" w:pos="1126"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7.</w:t>
      </w:r>
      <w:r>
        <w:rPr>
          <w:sz w:val="20"/>
          <w:szCs w:val="20"/>
          <w:color w:val="auto"/>
        </w:rPr>
        <w:tab/>
      </w:r>
      <w:r>
        <w:rPr>
          <w:rFonts w:ascii="Calibri" w:cs="Calibri" w:eastAsia="Calibri" w:hAnsi="Calibri"/>
          <w:sz w:val="22"/>
          <w:szCs w:val="22"/>
          <w:color w:val="auto"/>
        </w:rPr>
        <w:t>Prohibiton Against Transfer</w:t>
      </w:r>
    </w:p>
    <w:p>
      <w:pPr>
        <w:spacing w:after="0" w:line="78"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45" w:lineRule="exact"/>
        <w:rPr>
          <w:sz w:val="20"/>
          <w:szCs w:val="20"/>
          <w:color w:val="auto"/>
        </w:rPr>
      </w:pPr>
    </w:p>
    <w:p>
      <w:pPr>
        <w:ind w:left="340"/>
        <w:spacing w:after="0"/>
        <w:tabs>
          <w:tab w:leader="none" w:pos="1440" w:val="left"/>
        </w:tabs>
        <w:rPr>
          <w:sz w:val="20"/>
          <w:szCs w:val="20"/>
          <w:color w:val="auto"/>
        </w:rPr>
      </w:pPr>
      <w:r>
        <w:rPr>
          <w:rFonts w:ascii="Calibri" w:cs="Calibri" w:eastAsia="Calibri" w:hAnsi="Calibri"/>
          <w:sz w:val="23"/>
          <w:szCs w:val="23"/>
          <w:color w:val="auto"/>
        </w:rPr>
        <w:t>Secton 8.</w:t>
      </w:r>
      <w:r>
        <w:rPr>
          <w:sz w:val="20"/>
          <w:szCs w:val="20"/>
          <w:color w:val="auto"/>
        </w:rPr>
        <w:tab/>
      </w:r>
      <w:r>
        <w:rPr>
          <w:rFonts w:ascii="Calibri" w:cs="Calibri" w:eastAsia="Calibri" w:hAnsi="Calibri"/>
          <w:sz w:val="22"/>
          <w:szCs w:val="22"/>
          <w:color w:val="auto"/>
        </w:rPr>
        <w:t>Responsibility for Taxes</w:t>
      </w:r>
    </w:p>
    <w:p>
      <w:pPr>
        <w:spacing w:after="0" w:line="64" w:lineRule="exact"/>
        <w:rPr>
          <w:sz w:val="20"/>
          <w:szCs w:val="20"/>
          <w:color w:val="auto"/>
        </w:rPr>
      </w:pPr>
    </w:p>
    <w:p>
      <w:pPr>
        <w:ind w:left="1300" w:hanging="644"/>
        <w:spacing w:after="0" w:line="208" w:lineRule="auto"/>
        <w:tabs>
          <w:tab w:leader="none" w:pos="112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Relative Value Award, the 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56" w:lineRule="exact"/>
        <w:rPr>
          <w:rFonts w:ascii="Arial" w:cs="Arial" w:eastAsia="Arial" w:hAnsi="Arial"/>
          <w:sz w:val="22"/>
          <w:szCs w:val="22"/>
          <w:color w:val="auto"/>
        </w:rPr>
      </w:pPr>
    </w:p>
    <w:p>
      <w:pPr>
        <w:ind w:left="1300" w:hanging="644"/>
        <w:spacing w:after="0" w:line="236" w:lineRule="auto"/>
        <w:tabs>
          <w:tab w:leader="none" w:pos="119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42" w:lineRule="exact"/>
        <w:rPr>
          <w:rFonts w:ascii="Arial" w:cs="Arial" w:eastAsia="Arial" w:hAnsi="Arial"/>
          <w:sz w:val="22"/>
          <w:szCs w:val="22"/>
          <w:color w:val="auto"/>
        </w:rPr>
      </w:pPr>
    </w:p>
    <w:p>
      <w:pPr>
        <w:ind w:left="1960" w:hanging="332"/>
        <w:spacing w:after="0" w:line="236" w:lineRule="auto"/>
        <w:tabs>
          <w:tab w:leader="none" w:pos="2161" w:val="left"/>
        </w:tabs>
        <w:numPr>
          <w:ilvl w:val="1"/>
          <w:numId w:val="126"/>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cash in lieu of Shares, the Grantee authorizes the Company and/or the Employer, or their respective agents, at</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7</w:t>
      </w:r>
    </w:p>
    <w:p>
      <w:pPr>
        <w:sectPr>
          <w:pgSz w:w="11900" w:h="16838" w:orient="portrait"/>
          <w:cols w:equalWidth="0" w:num="1">
            <w:col w:w="11240"/>
          </w:cols>
          <w:pgMar w:left="320" w:top="330" w:right="339"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960"/>
        <w:spacing w:after="0" w:line="226" w:lineRule="auto"/>
        <w:rPr>
          <w:sz w:val="20"/>
          <w:szCs w:val="20"/>
          <w:color w:val="auto"/>
        </w:rPr>
      </w:pPr>
      <w:r>
        <w:rPr>
          <w:rFonts w:ascii="Arial" w:cs="Arial" w:eastAsia="Arial" w:hAnsi="Arial"/>
          <w:sz w:val="22"/>
          <w:szCs w:val="22"/>
          <w:color w:val="auto"/>
        </w:rPr>
        <w:t>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41" w:lineRule="exact"/>
        <w:rPr>
          <w:sz w:val="20"/>
          <w:szCs w:val="20"/>
          <w:color w:val="auto"/>
        </w:rPr>
      </w:pPr>
    </w:p>
    <w:p>
      <w:pPr>
        <w:jc w:val="both"/>
        <w:ind w:left="1960" w:hanging="332"/>
        <w:spacing w:after="0" w:line="210" w:lineRule="auto"/>
        <w:tabs>
          <w:tab w:leader="none" w:pos="2093" w:val="left"/>
        </w:tabs>
        <w:numPr>
          <w:ilvl w:val="1"/>
          <w:numId w:val="127"/>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49" w:lineRule="exact"/>
        <w:rPr>
          <w:rFonts w:ascii="Arial" w:cs="Arial" w:eastAsia="Arial" w:hAnsi="Arial"/>
          <w:sz w:val="22"/>
          <w:szCs w:val="22"/>
          <w:color w:val="auto"/>
        </w:rPr>
      </w:pPr>
    </w:p>
    <w:p>
      <w:pPr>
        <w:jc w:val="both"/>
        <w:ind w:left="1960" w:hanging="332"/>
        <w:spacing w:after="0" w:line="212" w:lineRule="auto"/>
        <w:tabs>
          <w:tab w:leader="none" w:pos="213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If the Relative Value Award is paid to the Grantee in Shares and the Grantee is subject to the short-swing profit rules of Section 16(b) of the Exchange Act, </w:t>
      </w:r>
      <w:r>
        <w:rPr>
          <w:rFonts w:ascii="Times New Roman" w:cs="Times New Roman" w:eastAsia="Times New Roman" w:hAnsi="Times New Roman"/>
          <w:sz w:val="22"/>
          <w:szCs w:val="22"/>
          <w:color w:val="auto"/>
        </w:rPr>
        <w:t>for Tax-Related Items other than U.S.</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 xml:space="preserve">Federal Insurance Contribution Act taxes or other Tax-Related Items that become payable in a year prior to the year in which Shares are issued upon settlement of the </w:t>
      </w:r>
      <w:r>
        <w:rPr>
          <w:rFonts w:ascii="Arial" w:cs="Arial" w:eastAsia="Arial" w:hAnsi="Arial"/>
          <w:sz w:val="22"/>
          <w:szCs w:val="22"/>
          <w:color w:val="auto"/>
        </w:rPr>
        <w:t>Relative Value Award</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Lilly will withhold in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44" w:lineRule="exact"/>
        <w:rPr>
          <w:rFonts w:ascii="Arial" w:cs="Arial" w:eastAsia="Arial" w:hAnsi="Arial"/>
          <w:sz w:val="22"/>
          <w:szCs w:val="22"/>
          <w:color w:val="auto"/>
        </w:rPr>
      </w:pPr>
    </w:p>
    <w:p>
      <w:pPr>
        <w:ind w:left="1300" w:hanging="644"/>
        <w:spacing w:after="0" w:line="212" w:lineRule="auto"/>
        <w:tabs>
          <w:tab w:leader="none" w:pos="109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48" w:lineRule="exact"/>
        <w:rPr>
          <w:rFonts w:ascii="Arial" w:cs="Arial" w:eastAsia="Arial" w:hAnsi="Arial"/>
          <w:sz w:val="22"/>
          <w:szCs w:val="22"/>
          <w:color w:val="auto"/>
        </w:rPr>
      </w:pPr>
    </w:p>
    <w:p>
      <w:pPr>
        <w:ind w:left="1300" w:hanging="644"/>
        <w:spacing w:after="0" w:line="236" w:lineRule="auto"/>
        <w:tabs>
          <w:tab w:leader="none" w:pos="111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23" w:lineRule="exact"/>
        <w:rPr>
          <w:sz w:val="20"/>
          <w:szCs w:val="20"/>
          <w:color w:val="auto"/>
        </w:rPr>
      </w:pPr>
    </w:p>
    <w:p>
      <w:pPr>
        <w:ind w:left="340"/>
        <w:spacing w:after="0"/>
        <w:tabs>
          <w:tab w:leader="none" w:pos="1560" w:val="left"/>
        </w:tabs>
        <w:rPr>
          <w:sz w:val="20"/>
          <w:szCs w:val="20"/>
          <w:color w:val="auto"/>
        </w:rPr>
      </w:pPr>
      <w:r>
        <w:rPr>
          <w:rFonts w:ascii="Calibri" w:cs="Calibri" w:eastAsia="Calibri" w:hAnsi="Calibri"/>
          <w:sz w:val="25"/>
          <w:szCs w:val="25"/>
          <w:color w:val="auto"/>
        </w:rPr>
        <w:t>Secton 9.</w:t>
      </w:r>
      <w:r>
        <w:rPr>
          <w:sz w:val="20"/>
          <w:szCs w:val="20"/>
          <w:color w:val="auto"/>
        </w:rPr>
        <w:tab/>
      </w:r>
      <w:r>
        <w:rPr>
          <w:rFonts w:ascii="Calibri" w:cs="Calibri" w:eastAsia="Calibri" w:hAnsi="Calibri"/>
          <w:sz w:val="23"/>
          <w:szCs w:val="23"/>
          <w:color w:val="auto"/>
        </w:rPr>
        <w:t>Secton 409A Compliance</w:t>
      </w:r>
    </w:p>
    <w:p>
      <w:pPr>
        <w:spacing w:after="0" w:line="33" w:lineRule="exact"/>
        <w:rPr>
          <w:sz w:val="20"/>
          <w:szCs w:val="20"/>
          <w:color w:val="auto"/>
        </w:rPr>
      </w:pPr>
    </w:p>
    <w:p>
      <w:pPr>
        <w:jc w:val="both"/>
        <w:ind w:left="420"/>
        <w:spacing w:after="0" w:line="220"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10.</w:t>
      </w:r>
      <w:r>
        <w:rPr>
          <w:sz w:val="20"/>
          <w:szCs w:val="20"/>
          <w:color w:val="auto"/>
        </w:rPr>
        <w:tab/>
      </w:r>
      <w:r>
        <w:rPr>
          <w:rFonts w:ascii="Calibri" w:cs="Calibri" w:eastAsia="Calibri" w:hAnsi="Calibri"/>
          <w:sz w:val="22"/>
          <w:szCs w:val="22"/>
          <w:color w:val="auto"/>
        </w:rPr>
        <w:t>Grantee’s Acknowledgment</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right="20" w:hanging="644"/>
        <w:spacing w:after="0" w:line="236" w:lineRule="auto"/>
        <w:tabs>
          <w:tab w:leader="none" w:pos="113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8</w:t>
      </w:r>
    </w:p>
    <w:p>
      <w:pPr>
        <w:sectPr>
          <w:pgSz w:w="11900" w:h="16838" w:orient="portrait"/>
          <w:cols w:equalWidth="0" w:num="1">
            <w:col w:w="11240"/>
          </w:cols>
          <w:pgMar w:left="320" w:top="330" w:right="339" w:bottom="1440" w:gutter="0" w:footer="0" w:header="0"/>
        </w:sectPr>
      </w:pPr>
    </w:p>
    <w:bookmarkStart w:id="159" w:name="page160"/>
    <w:bookmarkEnd w:id="159"/>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hanging="644"/>
        <w:spacing w:after="0" w:line="226" w:lineRule="auto"/>
        <w:tabs>
          <w:tab w:leader="none" w:pos="11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41" w:lineRule="exact"/>
        <w:rPr>
          <w:rFonts w:ascii="Arial" w:cs="Arial" w:eastAsia="Arial" w:hAnsi="Arial"/>
          <w:sz w:val="22"/>
          <w:szCs w:val="22"/>
          <w:color w:val="auto"/>
        </w:rPr>
      </w:pPr>
    </w:p>
    <w:p>
      <w:pPr>
        <w:ind w:left="1300" w:hanging="644"/>
        <w:spacing w:after="0" w:line="236" w:lineRule="auto"/>
        <w:tabs>
          <w:tab w:leader="none" w:pos="110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2" w:lineRule="exact"/>
        <w:rPr>
          <w:rFonts w:ascii="Arial" w:cs="Arial" w:eastAsia="Arial" w:hAnsi="Arial"/>
          <w:sz w:val="22"/>
          <w:szCs w:val="22"/>
          <w:color w:val="auto"/>
        </w:rPr>
      </w:pPr>
    </w:p>
    <w:p>
      <w:pPr>
        <w:ind w:left="1080" w:hanging="424"/>
        <w:spacing w:after="0"/>
        <w:tabs>
          <w:tab w:leader="none" w:pos="10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36" w:lineRule="auto"/>
        <w:tabs>
          <w:tab w:leader="none" w:pos="124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42" w:lineRule="exact"/>
        <w:rPr>
          <w:rFonts w:ascii="Arial" w:cs="Arial" w:eastAsia="Arial" w:hAnsi="Arial"/>
          <w:sz w:val="22"/>
          <w:szCs w:val="22"/>
          <w:color w:val="auto"/>
        </w:rPr>
      </w:pPr>
    </w:p>
    <w:p>
      <w:pPr>
        <w:ind w:left="1300" w:hanging="644"/>
        <w:spacing w:after="0" w:line="217" w:lineRule="auto"/>
        <w:tabs>
          <w:tab w:leader="none" w:pos="102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44" w:lineRule="exact"/>
        <w:rPr>
          <w:rFonts w:ascii="Arial" w:cs="Arial" w:eastAsia="Arial" w:hAnsi="Arial"/>
          <w:sz w:val="22"/>
          <w:szCs w:val="22"/>
          <w:color w:val="auto"/>
        </w:rPr>
      </w:pPr>
    </w:p>
    <w:p>
      <w:pPr>
        <w:ind w:left="1300" w:hanging="644"/>
        <w:spacing w:after="0" w:line="226" w:lineRule="auto"/>
        <w:tabs>
          <w:tab w:leader="none" w:pos="112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41" w:lineRule="exact"/>
        <w:rPr>
          <w:rFonts w:ascii="Arial" w:cs="Arial" w:eastAsia="Arial" w:hAnsi="Arial"/>
          <w:sz w:val="22"/>
          <w:szCs w:val="22"/>
          <w:color w:val="auto"/>
        </w:rPr>
      </w:pPr>
    </w:p>
    <w:p>
      <w:pPr>
        <w:ind w:left="1300" w:hanging="644"/>
        <w:spacing w:after="0" w:line="231" w:lineRule="auto"/>
        <w:tabs>
          <w:tab w:leader="none" w:pos="1082" w:val="left"/>
        </w:tabs>
        <w:numPr>
          <w:ilvl w:val="0"/>
          <w:numId w:val="130"/>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42" w:lineRule="exact"/>
        <w:rPr>
          <w:rFonts w:ascii="Arial" w:cs="Arial" w:eastAsia="Arial" w:hAnsi="Arial"/>
          <w:sz w:val="21"/>
          <w:szCs w:val="21"/>
          <w:color w:val="auto"/>
        </w:rPr>
      </w:pPr>
    </w:p>
    <w:p>
      <w:pPr>
        <w:ind w:left="1300" w:hanging="644"/>
        <w:spacing w:after="0" w:line="236" w:lineRule="auto"/>
        <w:tabs>
          <w:tab w:leader="none" w:pos="118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42" w:lineRule="exact"/>
        <w:rPr>
          <w:rFonts w:ascii="Arial" w:cs="Arial" w:eastAsia="Arial" w:hAnsi="Arial"/>
          <w:sz w:val="22"/>
          <w:szCs w:val="22"/>
          <w:color w:val="auto"/>
        </w:rPr>
      </w:pPr>
    </w:p>
    <w:p>
      <w:pPr>
        <w:ind w:left="1300" w:hanging="644"/>
        <w:spacing w:after="0" w:line="220" w:lineRule="auto"/>
        <w:tabs>
          <w:tab w:leader="none" w:pos="102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44" w:lineRule="exact"/>
        <w:rPr>
          <w:rFonts w:ascii="Arial" w:cs="Arial" w:eastAsia="Arial" w:hAnsi="Arial"/>
          <w:sz w:val="22"/>
          <w:szCs w:val="22"/>
          <w:color w:val="auto"/>
        </w:rPr>
      </w:pPr>
    </w:p>
    <w:p>
      <w:pPr>
        <w:ind w:left="1300" w:hanging="644"/>
        <w:spacing w:after="0" w:line="209" w:lineRule="auto"/>
        <w:tabs>
          <w:tab w:leader="none" w:pos="111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52" w:lineRule="exact"/>
        <w:rPr>
          <w:rFonts w:ascii="Arial" w:cs="Arial" w:eastAsia="Arial" w:hAnsi="Arial"/>
          <w:sz w:val="22"/>
          <w:szCs w:val="22"/>
          <w:color w:val="auto"/>
        </w:rPr>
      </w:pPr>
    </w:p>
    <w:p>
      <w:pPr>
        <w:ind w:left="1300" w:hanging="644"/>
        <w:spacing w:after="0" w:line="220" w:lineRule="auto"/>
        <w:tabs>
          <w:tab w:leader="none" w:pos="109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9</w:t>
      </w:r>
    </w:p>
    <w:p>
      <w:pPr>
        <w:sectPr>
          <w:pgSz w:w="11900" w:h="16838" w:orient="portrait"/>
          <w:cols w:equalWidth="0" w:num="1">
            <w:col w:w="11240"/>
          </w:cols>
          <w:pgMar w:left="320" w:top="330" w:right="339" w:bottom="1440" w:gutter="0" w:footer="0" w:header="0"/>
        </w:sectPr>
      </w:pPr>
    </w:p>
    <w:bookmarkStart w:id="160" w:name="page161"/>
    <w:bookmarkEnd w:id="160"/>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right="20" w:hanging="644"/>
        <w:spacing w:after="0" w:line="236" w:lineRule="auto"/>
        <w:tabs>
          <w:tab w:leader="none" w:pos="114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42" w:lineRule="exact"/>
        <w:rPr>
          <w:rFonts w:ascii="Arial" w:cs="Arial" w:eastAsia="Arial" w:hAnsi="Arial"/>
          <w:sz w:val="22"/>
          <w:szCs w:val="22"/>
          <w:color w:val="auto"/>
        </w:rPr>
      </w:pPr>
    </w:p>
    <w:p>
      <w:pPr>
        <w:jc w:val="both"/>
        <w:ind w:left="1300" w:hanging="644"/>
        <w:spacing w:after="0" w:line="220" w:lineRule="auto"/>
        <w:tabs>
          <w:tab w:leader="none" w:pos="128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25" w:lineRule="exact"/>
        <w:rPr>
          <w:sz w:val="20"/>
          <w:szCs w:val="20"/>
          <w:color w:val="auto"/>
        </w:rPr>
      </w:pPr>
    </w:p>
    <w:p>
      <w:pPr>
        <w:ind w:left="340"/>
        <w:spacing w:after="0"/>
        <w:tabs>
          <w:tab w:leader="none" w:pos="1700" w:val="left"/>
        </w:tabs>
        <w:rPr>
          <w:sz w:val="20"/>
          <w:szCs w:val="20"/>
          <w:color w:val="auto"/>
        </w:rPr>
      </w:pPr>
      <w:r>
        <w:rPr>
          <w:rFonts w:ascii="Calibri" w:cs="Calibri" w:eastAsia="Calibri" w:hAnsi="Calibri"/>
          <w:sz w:val="25"/>
          <w:szCs w:val="25"/>
          <w:color w:val="auto"/>
        </w:rPr>
        <w:t>Secton 11.</w:t>
      </w:r>
      <w:r>
        <w:rPr>
          <w:sz w:val="20"/>
          <w:szCs w:val="20"/>
          <w:color w:val="auto"/>
        </w:rPr>
        <w:tab/>
      </w:r>
      <w:r>
        <w:rPr>
          <w:rFonts w:ascii="Calibri" w:cs="Calibri" w:eastAsia="Calibri" w:hAnsi="Calibri"/>
          <w:sz w:val="22"/>
          <w:szCs w:val="22"/>
          <w:color w:val="auto"/>
        </w:rPr>
        <w:t>Data Privacy</w:t>
      </w:r>
    </w:p>
    <w:p>
      <w:pPr>
        <w:spacing w:after="0" w:line="87" w:lineRule="exact"/>
        <w:rPr>
          <w:sz w:val="20"/>
          <w:szCs w:val="20"/>
          <w:color w:val="auto"/>
        </w:rPr>
      </w:pPr>
    </w:p>
    <w:p>
      <w:pPr>
        <w:jc w:val="both"/>
        <w:ind w:left="1300" w:hanging="644"/>
        <w:spacing w:after="0" w:line="210" w:lineRule="auto"/>
        <w:tabs>
          <w:tab w:leader="none" w:pos="1248" w:val="left"/>
        </w:tabs>
        <w:numPr>
          <w:ilvl w:val="0"/>
          <w:numId w:val="13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ind w:left="1300" w:hanging="644"/>
        <w:spacing w:after="0" w:line="211" w:lineRule="auto"/>
        <w:tabs>
          <w:tab w:leader="none" w:pos="1194" w:val="left"/>
        </w:tabs>
        <w:numPr>
          <w:ilvl w:val="0"/>
          <w:numId w:val="13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ind w:left="1300" w:hanging="644"/>
        <w:spacing w:after="0" w:line="237" w:lineRule="auto"/>
        <w:tabs>
          <w:tab w:leader="none" w:pos="1087" w:val="left"/>
        </w:tabs>
        <w:numPr>
          <w:ilvl w:val="0"/>
          <w:numId w:val="132"/>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0" w:lineRule="exact"/>
        <w:rPr>
          <w:rFonts w:ascii="Arial" w:cs="Arial" w:eastAsia="Arial" w:hAnsi="Arial"/>
          <w:sz w:val="21"/>
          <w:szCs w:val="21"/>
          <w:i w:val="1"/>
          <w:iCs w:val="1"/>
          <w:color w:val="auto"/>
        </w:rPr>
      </w:pPr>
    </w:p>
    <w:p>
      <w:pPr>
        <w:ind w:left="1300" w:hanging="644"/>
        <w:spacing w:after="0" w:line="226" w:lineRule="auto"/>
        <w:tabs>
          <w:tab w:leader="none" w:pos="1180" w:val="left"/>
        </w:tabs>
        <w:numPr>
          <w:ilvl w:val="0"/>
          <w:numId w:val="13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1" w:lineRule="exact"/>
        <w:rPr>
          <w:rFonts w:ascii="Arial" w:cs="Arial" w:eastAsia="Arial" w:hAnsi="Arial"/>
          <w:sz w:val="22"/>
          <w:szCs w:val="22"/>
          <w:i w:val="1"/>
          <w:iCs w:val="1"/>
          <w:color w:val="auto"/>
        </w:rPr>
      </w:pPr>
    </w:p>
    <w:p>
      <w:pPr>
        <w:ind w:left="1300" w:hanging="644"/>
        <w:spacing w:after="0" w:line="215" w:lineRule="auto"/>
        <w:tabs>
          <w:tab w:leader="none" w:pos="1126" w:val="left"/>
        </w:tabs>
        <w:numPr>
          <w:ilvl w:val="0"/>
          <w:numId w:val="13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ind w:left="1300" w:hanging="644"/>
        <w:spacing w:after="0" w:line="226" w:lineRule="auto"/>
        <w:tabs>
          <w:tab w:leader="none" w:pos="1080" w:val="left"/>
        </w:tabs>
        <w:numPr>
          <w:ilvl w:val="0"/>
          <w:numId w:val="13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10</w:t>
      </w:r>
    </w:p>
    <w:p>
      <w:pPr>
        <w:sectPr>
          <w:pgSz w:w="11900" w:h="16838" w:orient="portrait"/>
          <w:cols w:equalWidth="0" w:num="1">
            <w:col w:w="11240"/>
          </w:cols>
          <w:pgMar w:left="320" w:top="330" w:right="339" w:bottom="1440" w:gutter="0" w:footer="0" w:header="0"/>
        </w:sectPr>
      </w:pPr>
    </w:p>
    <w:bookmarkStart w:id="161" w:name="page162"/>
    <w:bookmarkEnd w:id="161"/>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i w:val="1"/>
          <w:iCs w:val="1"/>
          <w:color w:val="auto"/>
        </w:rPr>
        <w:t>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48" w:lineRule="exact"/>
        <w:rPr>
          <w:sz w:val="20"/>
          <w:szCs w:val="20"/>
          <w:color w:val="auto"/>
        </w:rPr>
      </w:pPr>
    </w:p>
    <w:p>
      <w:pPr>
        <w:jc w:val="both"/>
        <w:ind w:left="1300" w:hanging="644"/>
        <w:spacing w:after="0" w:line="215" w:lineRule="auto"/>
        <w:tabs>
          <w:tab w:leader="none" w:pos="1275" w:val="left"/>
        </w:tabs>
        <w:numPr>
          <w:ilvl w:val="0"/>
          <w:numId w:val="13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12.</w:t>
        <w:tab/>
        <w:t>Restrictve Covenants, Remedies, and Additonal Terms and Conditons</w:t>
      </w:r>
    </w:p>
    <w:p>
      <w:pPr>
        <w:spacing w:after="0" w:line="10" w:lineRule="exact"/>
        <w:rPr>
          <w:sz w:val="20"/>
          <w:szCs w:val="20"/>
          <w:color w:val="auto"/>
        </w:rPr>
      </w:pPr>
    </w:p>
    <w:p>
      <w:pPr>
        <w:ind w:left="1300" w:hanging="644"/>
        <w:spacing w:after="0" w:line="217" w:lineRule="auto"/>
        <w:tabs>
          <w:tab w:leader="none" w:pos="1221"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44" w:lineRule="exact"/>
        <w:rPr>
          <w:rFonts w:ascii="Arial" w:cs="Arial" w:eastAsia="Arial" w:hAnsi="Arial"/>
          <w:sz w:val="22"/>
          <w:szCs w:val="22"/>
          <w:color w:val="auto"/>
        </w:rPr>
      </w:pPr>
    </w:p>
    <w:p>
      <w:pPr>
        <w:jc w:val="both"/>
        <w:ind w:left="1960" w:hanging="332"/>
        <w:spacing w:after="0" w:line="215" w:lineRule="auto"/>
        <w:tabs>
          <w:tab w:leader="none" w:pos="2004" w:val="left"/>
        </w:tabs>
        <w:numPr>
          <w:ilvl w:val="1"/>
          <w:numId w:val="134"/>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44" w:lineRule="exact"/>
        <w:rPr>
          <w:rFonts w:ascii="Arial" w:cs="Arial" w:eastAsia="Arial" w:hAnsi="Arial"/>
          <w:sz w:val="22"/>
          <w:szCs w:val="22"/>
          <w:color w:val="auto"/>
        </w:rPr>
      </w:pPr>
    </w:p>
    <w:p>
      <w:pPr>
        <w:jc w:val="both"/>
        <w:ind w:left="1960" w:hanging="332"/>
        <w:spacing w:after="0" w:line="224" w:lineRule="auto"/>
        <w:tabs>
          <w:tab w:leader="none" w:pos="2151" w:val="left"/>
        </w:tabs>
        <w:numPr>
          <w:ilvl w:val="1"/>
          <w:numId w:val="134"/>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42"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43"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For purposes of this Award Agreement, “Competively-Sensitive Capacity” means: (A) the same or similar capacity or function in which the Grantee worked for Lilly or a Covered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11</w:t>
      </w:r>
    </w:p>
    <w:p>
      <w:pPr>
        <w:sectPr>
          <w:pgSz w:w="11900" w:h="16838" w:orient="portrait"/>
          <w:cols w:equalWidth="0" w:num="1">
            <w:col w:w="11240"/>
          </w:cols>
          <w:pgMar w:left="320" w:top="330" w:right="339" w:bottom="1440" w:gutter="0" w:footer="0" w:header="0"/>
        </w:sectPr>
      </w:pPr>
    </w:p>
    <w:bookmarkStart w:id="162" w:name="page163"/>
    <w:bookmarkEnd w:id="162"/>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300"/>
        <w:spacing w:after="0" w:line="219" w:lineRule="auto"/>
        <w:rPr>
          <w:sz w:val="20"/>
          <w:szCs w:val="20"/>
          <w:color w:val="auto"/>
        </w:rPr>
      </w:pPr>
      <w:r>
        <w:rPr>
          <w:rFonts w:ascii="Arial" w:cs="Arial" w:eastAsia="Arial" w:hAnsi="Arial"/>
          <w:sz w:val="21"/>
          <w:szCs w:val="21"/>
          <w:color w:val="auto"/>
        </w:rPr>
        <w:t>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51"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41"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48" w:lineRule="exact"/>
        <w:rPr>
          <w:sz w:val="20"/>
          <w:szCs w:val="20"/>
          <w:color w:val="auto"/>
        </w:rPr>
      </w:pPr>
    </w:p>
    <w:p>
      <w:pPr>
        <w:jc w:val="both"/>
        <w:ind w:left="1300"/>
        <w:spacing w:after="0" w:line="212"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48"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12</w:t>
      </w:r>
    </w:p>
    <w:p>
      <w:pPr>
        <w:sectPr>
          <w:pgSz w:w="11900" w:h="16838" w:orient="portrait"/>
          <w:cols w:equalWidth="0" w:num="1">
            <w:col w:w="11240"/>
          </w:cols>
          <w:pgMar w:left="320" w:top="330" w:right="339" w:bottom="1440" w:gutter="0" w:footer="0" w:header="0"/>
        </w:sectPr>
      </w:pPr>
    </w:p>
    <w:bookmarkStart w:id="163" w:name="page164"/>
    <w:bookmarkEnd w:id="163"/>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300"/>
        <w:spacing w:after="0" w:line="220" w:lineRule="auto"/>
        <w:rPr>
          <w:sz w:val="20"/>
          <w:szCs w:val="20"/>
          <w:color w:val="auto"/>
        </w:rPr>
      </w:pPr>
      <w:r>
        <w:rPr>
          <w:rFonts w:ascii="Arial" w:cs="Arial" w:eastAsia="Arial" w:hAnsi="Arial"/>
          <w:sz w:val="22"/>
          <w:szCs w:val="22"/>
          <w:color w:val="auto"/>
        </w:rPr>
        <w:t>competition, non-solicitation, or confidentiality provisions that the Grantee agreed to in the past, including those in the Grantee’s Employee Confidentiality and Invention Agreement and any other Non-Compete Payment Agreement entered into between Grantee and Lilly, each of which remains in full force and effect, or that the Grantee agrees to in the future.</w:t>
      </w:r>
    </w:p>
    <w:p>
      <w:pPr>
        <w:spacing w:after="0" w:line="44"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44" w:lineRule="exact"/>
        <w:rPr>
          <w:sz w:val="20"/>
          <w:szCs w:val="20"/>
          <w:color w:val="auto"/>
        </w:rPr>
      </w:pPr>
    </w:p>
    <w:p>
      <w:pPr>
        <w:ind w:left="1300" w:hanging="644"/>
        <w:spacing w:after="0" w:line="214" w:lineRule="auto"/>
        <w:tabs>
          <w:tab w:leader="none" w:pos="118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41" w:lineRule="exact"/>
        <w:rPr>
          <w:rFonts w:ascii="Arial" w:cs="Arial" w:eastAsia="Arial" w:hAnsi="Arial"/>
          <w:sz w:val="22"/>
          <w:szCs w:val="22"/>
          <w:color w:val="auto"/>
        </w:rPr>
      </w:pPr>
    </w:p>
    <w:p>
      <w:pPr>
        <w:ind w:left="1300" w:hanging="644"/>
        <w:spacing w:after="0" w:line="210" w:lineRule="auto"/>
        <w:tabs>
          <w:tab w:leader="none" w:pos="114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49" w:lineRule="exact"/>
        <w:rPr>
          <w:rFonts w:ascii="Arial" w:cs="Arial" w:eastAsia="Arial" w:hAnsi="Arial"/>
          <w:sz w:val="22"/>
          <w:szCs w:val="22"/>
          <w:color w:val="auto"/>
        </w:rPr>
      </w:pPr>
    </w:p>
    <w:p>
      <w:pPr>
        <w:ind w:left="1300" w:hanging="644"/>
        <w:spacing w:after="0" w:line="212" w:lineRule="auto"/>
        <w:tabs>
          <w:tab w:leader="none" w:pos="111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49"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13.</w:t>
      </w:r>
      <w:r>
        <w:rPr>
          <w:sz w:val="20"/>
          <w:szCs w:val="20"/>
          <w:color w:val="auto"/>
        </w:rPr>
        <w:tab/>
      </w:r>
      <w:r>
        <w:rPr>
          <w:rFonts w:ascii="Calibri" w:cs="Calibri" w:eastAsia="Calibri" w:hAnsi="Calibri"/>
          <w:sz w:val="22"/>
          <w:szCs w:val="22"/>
          <w:color w:val="auto"/>
        </w:rPr>
        <w:t>Governing Law and Choice of Venue</w:t>
      </w:r>
    </w:p>
    <w:p>
      <w:pPr>
        <w:spacing w:after="0" w:line="64" w:lineRule="exact"/>
        <w:rPr>
          <w:sz w:val="20"/>
          <w:szCs w:val="20"/>
          <w:color w:val="auto"/>
        </w:rPr>
      </w:pPr>
    </w:p>
    <w:p>
      <w:pPr>
        <w:jc w:val="both"/>
        <w:ind w:left="400"/>
        <w:spacing w:after="0" w:line="225" w:lineRule="auto"/>
        <w:rPr>
          <w:sz w:val="20"/>
          <w:szCs w:val="20"/>
          <w:color w:val="auto"/>
        </w:rPr>
      </w:pPr>
      <w:r>
        <w:rPr>
          <w:rFonts w:ascii="Arial" w:cs="Arial" w:eastAsia="Arial" w:hAnsi="Arial"/>
          <w:sz w:val="21"/>
          <w:szCs w:val="21"/>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13</w:t>
      </w:r>
    </w:p>
    <w:p>
      <w:pPr>
        <w:sectPr>
          <w:pgSz w:w="11900" w:h="16838" w:orient="portrait"/>
          <w:cols w:equalWidth="0" w:num="1">
            <w:col w:w="11240"/>
          </w:cols>
          <w:pgMar w:left="320" w:top="330" w:right="339" w:bottom="1440" w:gutter="0" w:footer="0" w:header="0"/>
        </w:sectPr>
      </w:pPr>
    </w:p>
    <w:bookmarkStart w:id="164" w:name="page165"/>
    <w:bookmarkEnd w:id="164"/>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0"/>
        <w:spacing w:after="0" w:line="236" w:lineRule="auto"/>
        <w:rPr>
          <w:sz w:val="20"/>
          <w:szCs w:val="20"/>
          <w:color w:val="auto"/>
        </w:rPr>
      </w:pPr>
      <w:r>
        <w:rPr>
          <w:rFonts w:ascii="Arial" w:cs="Arial" w:eastAsia="Arial" w:hAnsi="Arial"/>
          <w:sz w:val="22"/>
          <w:szCs w:val="22"/>
          <w:color w:val="auto"/>
        </w:rPr>
        <w:t>United States for the Southern District of Indiana, and no other courts, where this Award is granted and/or to be performed.</w:t>
      </w:r>
    </w:p>
    <w:p>
      <w:pPr>
        <w:spacing w:after="0" w:line="143"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14.</w:t>
        <w:tab/>
        <w:t>Miscellaneous Provisions</w:t>
      </w:r>
    </w:p>
    <w:p>
      <w:pPr>
        <w:spacing w:after="0" w:line="64" w:lineRule="exact"/>
        <w:rPr>
          <w:sz w:val="20"/>
          <w:szCs w:val="20"/>
          <w:color w:val="auto"/>
        </w:rPr>
      </w:pPr>
    </w:p>
    <w:p>
      <w:pPr>
        <w:ind w:left="1300" w:hanging="644"/>
        <w:spacing w:after="0" w:line="220" w:lineRule="auto"/>
        <w:tabs>
          <w:tab w:leader="none" w:pos="1167"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9" w:lineRule="exact"/>
        <w:rPr>
          <w:rFonts w:ascii="Arial" w:cs="Arial" w:eastAsia="Arial" w:hAnsi="Arial"/>
          <w:sz w:val="21"/>
          <w:szCs w:val="21"/>
          <w:color w:val="auto"/>
        </w:rPr>
      </w:pPr>
    </w:p>
    <w:p>
      <w:pPr>
        <w:jc w:val="both"/>
        <w:ind w:left="1300" w:hanging="644"/>
        <w:spacing w:after="0" w:line="215" w:lineRule="auto"/>
        <w:tabs>
          <w:tab w:leader="none" w:pos="1248"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57" w:lineRule="exact"/>
        <w:rPr>
          <w:rFonts w:ascii="Arial" w:cs="Arial" w:eastAsia="Arial" w:hAnsi="Arial"/>
          <w:sz w:val="22"/>
          <w:szCs w:val="22"/>
          <w:color w:val="auto"/>
        </w:rPr>
      </w:pPr>
    </w:p>
    <w:p>
      <w:pPr>
        <w:ind w:left="1300" w:hanging="644"/>
        <w:spacing w:after="0" w:line="227" w:lineRule="auto"/>
        <w:tabs>
          <w:tab w:leader="none" w:pos="1121" w:val="left"/>
        </w:tabs>
        <w:numPr>
          <w:ilvl w:val="0"/>
          <w:numId w:val="136"/>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54" w:lineRule="exact"/>
        <w:rPr>
          <w:rFonts w:ascii="Arial" w:cs="Arial" w:eastAsia="Arial" w:hAnsi="Arial"/>
          <w:sz w:val="23"/>
          <w:szCs w:val="23"/>
          <w:color w:val="auto"/>
        </w:rPr>
      </w:pPr>
    </w:p>
    <w:p>
      <w:pPr>
        <w:ind w:left="1300" w:hanging="644"/>
        <w:spacing w:after="0" w:line="212" w:lineRule="auto"/>
        <w:tabs>
          <w:tab w:leader="none" w:pos="1107" w:val="left"/>
        </w:tabs>
        <w:numPr>
          <w:ilvl w:val="0"/>
          <w:numId w:val="136"/>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46"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56" w:lineRule="exact"/>
        <w:rPr>
          <w:sz w:val="20"/>
          <w:szCs w:val="20"/>
          <w:color w:val="auto"/>
        </w:rPr>
      </w:pPr>
    </w:p>
    <w:p>
      <w:pPr>
        <w:ind w:left="1300" w:hanging="644"/>
        <w:spacing w:after="0" w:line="215" w:lineRule="auto"/>
        <w:tabs>
          <w:tab w:leader="none" w:pos="1120" w:val="left"/>
        </w:tabs>
        <w:numPr>
          <w:ilvl w:val="0"/>
          <w:numId w:val="137"/>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45"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15.</w:t>
        <w:tab/>
        <w:t>Compensaton Recovery</w:t>
      </w:r>
    </w:p>
    <w:p>
      <w:pPr>
        <w:spacing w:after="0" w:line="78" w:lineRule="exact"/>
        <w:rPr>
          <w:sz w:val="20"/>
          <w:szCs w:val="20"/>
          <w:color w:val="auto"/>
        </w:rPr>
      </w:pPr>
    </w:p>
    <w:p>
      <w:pPr>
        <w:jc w:val="both"/>
        <w:ind w:left="420"/>
        <w:spacing w:after="0" w:line="220" w:lineRule="auto"/>
        <w:rPr>
          <w:sz w:val="20"/>
          <w:szCs w:val="20"/>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44" w:lineRule="exact"/>
        <w:rPr>
          <w:sz w:val="20"/>
          <w:szCs w:val="20"/>
          <w:color w:val="auto"/>
        </w:rPr>
      </w:pPr>
    </w:p>
    <w:p>
      <w:pPr>
        <w:ind w:left="1300" w:hanging="644"/>
        <w:spacing w:after="0" w:line="236" w:lineRule="auto"/>
        <w:tabs>
          <w:tab w:leader="none" w:pos="112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14</w:t>
      </w:r>
    </w:p>
    <w:p>
      <w:pPr>
        <w:sectPr>
          <w:pgSz w:w="11900" w:h="16838" w:orient="portrait"/>
          <w:cols w:equalWidth="0" w:num="1">
            <w:col w:w="11240"/>
          </w:cols>
          <w:pgMar w:left="320" w:top="330" w:right="339"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22"/>
          <w:szCs w:val="22"/>
          <w:u w:val="single" w:color="auto"/>
          <w:color w:val="auto"/>
        </w:rPr>
        <w:t>Eli Lilly and Company Relatve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spacing w:after="0" w:line="217" w:lineRule="auto"/>
        <w:rPr>
          <w:sz w:val="20"/>
          <w:szCs w:val="20"/>
          <w:color w:val="auto"/>
        </w:rPr>
      </w:pPr>
      <w:r>
        <w:rPr>
          <w:rFonts w:ascii="Arial" w:cs="Arial" w:eastAsia="Arial" w:hAnsi="Arial"/>
          <w:sz w:val="22"/>
          <w:szCs w:val="22"/>
          <w:color w:val="auto"/>
        </w:rPr>
        <w:t>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44" w:lineRule="exact"/>
        <w:rPr>
          <w:sz w:val="20"/>
          <w:szCs w:val="20"/>
          <w:color w:val="auto"/>
        </w:rPr>
      </w:pPr>
    </w:p>
    <w:p>
      <w:pPr>
        <w:ind w:left="1300" w:right="20" w:hanging="644"/>
        <w:spacing w:after="0" w:line="220" w:lineRule="auto"/>
        <w:tabs>
          <w:tab w:leader="none" w:pos="112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44" w:lineRule="exact"/>
        <w:rPr>
          <w:sz w:val="20"/>
          <w:szCs w:val="20"/>
          <w:color w:val="auto"/>
        </w:rPr>
      </w:pPr>
    </w:p>
    <w:p>
      <w:pPr>
        <w:jc w:val="both"/>
        <w:ind w:left="420"/>
        <w:spacing w:after="0" w:line="212"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48" w:lineRule="exact"/>
        <w:rPr>
          <w:sz w:val="20"/>
          <w:szCs w:val="20"/>
          <w:color w:val="auto"/>
        </w:rPr>
      </w:pPr>
    </w:p>
    <w:p>
      <w:pPr>
        <w:jc w:val="both"/>
        <w:ind w:left="420"/>
        <w:spacing w:after="0" w:line="226"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42" w:lineRule="exact"/>
        <w:rPr>
          <w:sz w:val="20"/>
          <w:szCs w:val="20"/>
          <w:color w:val="auto"/>
        </w:rPr>
      </w:pPr>
    </w:p>
    <w:p>
      <w:pPr>
        <w:ind w:left="340"/>
        <w:spacing w:after="0"/>
        <w:tabs>
          <w:tab w:leader="none" w:pos="1540" w:val="left"/>
        </w:tabs>
        <w:rPr>
          <w:sz w:val="20"/>
          <w:szCs w:val="20"/>
          <w:color w:val="auto"/>
        </w:rPr>
      </w:pPr>
      <w:r>
        <w:rPr>
          <w:rFonts w:ascii="Calibri" w:cs="Calibri" w:eastAsia="Calibri" w:hAnsi="Calibri"/>
          <w:sz w:val="23"/>
          <w:szCs w:val="23"/>
          <w:color w:val="auto"/>
        </w:rPr>
        <w:t>Secton 16.</w:t>
      </w:r>
      <w:r>
        <w:rPr>
          <w:sz w:val="20"/>
          <w:szCs w:val="20"/>
          <w:color w:val="auto"/>
        </w:rPr>
        <w:tab/>
      </w:r>
      <w:r>
        <w:rPr>
          <w:rFonts w:ascii="Calibri" w:cs="Calibri" w:eastAsia="Calibri" w:hAnsi="Calibri"/>
          <w:sz w:val="22"/>
          <w:szCs w:val="22"/>
          <w:color w:val="auto"/>
        </w:rPr>
        <w:t>Award Subject to Acknowledgement of Acceptance</w:t>
      </w:r>
    </w:p>
    <w:p>
      <w:pPr>
        <w:spacing w:after="0" w:line="64" w:lineRule="exact"/>
        <w:rPr>
          <w:sz w:val="20"/>
          <w:szCs w:val="20"/>
          <w:color w:val="auto"/>
        </w:rPr>
      </w:pPr>
    </w:p>
    <w:p>
      <w:pPr>
        <w:jc w:val="both"/>
        <w:ind w:left="400"/>
        <w:spacing w:after="0" w:line="220"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22" w:lineRule="exact"/>
        <w:rPr>
          <w:sz w:val="20"/>
          <w:szCs w:val="20"/>
          <w:color w:val="auto"/>
        </w:rPr>
      </w:pPr>
    </w:p>
    <w:p>
      <w:pPr>
        <w:ind w:left="340"/>
        <w:spacing w:after="0" w:line="236"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Page 15</w:t>
      </w:r>
    </w:p>
    <w:p>
      <w:pPr>
        <w:sectPr>
          <w:pgSz w:w="11900" w:h="16838" w:orient="portrait"/>
          <w:cols w:equalWidth="0" w:num="1">
            <w:col w:w="11240"/>
          </w:cols>
          <w:pgMar w:left="320" w:top="330" w:right="339" w:bottom="1440" w:gutter="0" w:footer="0" w:header="0"/>
        </w:sectPr>
      </w:pPr>
    </w:p>
    <w:bookmarkStart w:id="166" w:name="page167"/>
    <w:bookmarkEnd w:id="16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10.5 Form of Non-Compete Payment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Eli Lilly and Company Lilly</w:t>
      </w:r>
    </w:p>
    <w:p>
      <w:pPr>
        <w:ind w:left="20"/>
        <w:spacing w:after="0" w:line="203" w:lineRule="auto"/>
        <w:rPr>
          <w:sz w:val="20"/>
          <w:szCs w:val="20"/>
          <w:color w:val="auto"/>
        </w:rPr>
      </w:pPr>
      <w:r>
        <w:rPr>
          <w:rFonts w:ascii="Times New Roman" w:cs="Times New Roman" w:eastAsia="Times New Roman" w:hAnsi="Times New Roman"/>
          <w:sz w:val="18"/>
          <w:szCs w:val="18"/>
          <w:color w:val="auto"/>
        </w:rPr>
        <w:t>Corporate Center Indianapolis,</w:t>
      </w:r>
    </w:p>
    <w:p>
      <w:pPr>
        <w:ind w:left="20"/>
        <w:spacing w:after="0" w:line="219" w:lineRule="auto"/>
        <w:rPr>
          <w:sz w:val="20"/>
          <w:szCs w:val="20"/>
          <w:color w:val="auto"/>
        </w:rPr>
      </w:pPr>
      <w:r>
        <w:rPr>
          <w:rFonts w:ascii="Times New Roman" w:cs="Times New Roman" w:eastAsia="Times New Roman" w:hAnsi="Times New Roman"/>
          <w:sz w:val="18"/>
          <w:szCs w:val="18"/>
          <w:color w:val="auto"/>
        </w:rPr>
        <w:t>Indiana 46285 U.S.A.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+1.317.276.2000 www.lilly.com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97" w:lineRule="auto"/>
        <w:rPr>
          <w:sz w:val="20"/>
          <w:szCs w:val="20"/>
          <w:color w:val="auto"/>
        </w:rPr>
      </w:pPr>
      <w:r>
        <w:rPr>
          <w:rFonts w:ascii="Times New Roman" w:cs="Times New Roman" w:eastAsia="Times New Roman" w:hAnsi="Times New Roman"/>
          <w:sz w:val="20"/>
          <w:szCs w:val="20"/>
          <w:color w:val="auto"/>
        </w:rPr>
        <w:t>[Address]</w:t>
      </w: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19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Re:</w:t>
        <w:tab/>
        <w:t>Non-Compete Payment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[Name]:</w:t>
      </w:r>
    </w:p>
    <w:p>
      <w:pPr>
        <w:spacing w:after="0" w:line="20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This sets forth the terms of the Non-Compete Payment Agreement (the “Agreement”) between [name] (“Executive”) and Eli Lilly and Company, an Indiana corporation, with its principal offices in Indianapolis, Indiana (“Lilly” or the “Company”), regarding Executive’s post-employment restrictive covenants.</w:t>
      </w:r>
    </w:p>
    <w:p>
      <w:pPr>
        <w:spacing w:after="0" w:line="145" w:lineRule="exact"/>
        <w:rPr>
          <w:sz w:val="20"/>
          <w:szCs w:val="20"/>
          <w:color w:val="auto"/>
        </w:rPr>
      </w:pPr>
    </w:p>
    <w:p>
      <w:pPr>
        <w:ind w:left="660" w:right="40" w:hanging="652"/>
        <w:spacing w:after="0" w:line="220" w:lineRule="auto"/>
        <w:tabs>
          <w:tab w:leader="none" w:pos="35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Notification of Subsequent Employer</w:t>
      </w:r>
      <w:r>
        <w:rPr>
          <w:rFonts w:ascii="Times New Roman" w:cs="Times New Roman" w:eastAsia="Times New Roman" w:hAnsi="Times New Roman"/>
          <w:sz w:val="20"/>
          <w:szCs w:val="20"/>
          <w:color w:val="auto"/>
        </w:rPr>
        <w:t>. At least fourteen (14) calendar days before commencing employment or engaging in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activities during the Restricted Period (defined below), Executive agrees to provide the Chief Executive Officer and the Executive Vice President, Human Resources and Diversity (or equivalent) of the Company with written notification of the name and address of any subsequent employer or person or entity with whom or which Executive intends to engage in business activities and the nature of Executive’s job duties and other business activities.</w:t>
      </w:r>
    </w:p>
    <w:p>
      <w:pPr>
        <w:spacing w:after="0" w:line="147"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Restrictive Covenants, Remedies, and Additional Terms and Conditions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300" w:right="20" w:hanging="648"/>
        <w:spacing w:after="0" w:line="22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As consideration for the Company’s obligations set forth in Section 3 below, Executive agrees that during Executive’s employment with Lilly or an affiliate that Executive provided services to or had access to confidential information concerning (“Covered Affiliate”) and for twelve (12) months immediately following the end of Executive’s employment (regardless of reason)(the “Restricted Period”), Executive will not directly or indirectly, on a worldwide basis, engage in any of the following activities:</w:t>
      </w:r>
    </w:p>
    <w:p>
      <w:pPr>
        <w:spacing w:after="0" w:line="147" w:lineRule="exact"/>
        <w:rPr>
          <w:rFonts w:ascii="Times New Roman" w:cs="Times New Roman" w:eastAsia="Times New Roman" w:hAnsi="Times New Roman"/>
          <w:sz w:val="20"/>
          <w:szCs w:val="20"/>
          <w:color w:val="auto"/>
        </w:rPr>
      </w:pPr>
    </w:p>
    <w:p>
      <w:pPr>
        <w:ind w:left="1960" w:hanging="656"/>
        <w:spacing w:after="0" w:line="220" w:lineRule="auto"/>
        <w:tabs>
          <w:tab w:leader="none" w:pos="1611"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160" w:lineRule="exact"/>
        <w:rPr>
          <w:rFonts w:ascii="Times New Roman" w:cs="Times New Roman" w:eastAsia="Times New Roman" w:hAnsi="Times New Roman"/>
          <w:sz w:val="20"/>
          <w:szCs w:val="20"/>
          <w:color w:val="auto"/>
        </w:rPr>
      </w:pPr>
    </w:p>
    <w:p>
      <w:pPr>
        <w:ind w:left="1960" w:right="200" w:hanging="656"/>
        <w:spacing w:after="0" w:line="233" w:lineRule="auto"/>
        <w:tabs>
          <w:tab w:leader="none" w:pos="1669"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solicit, urge, divert, induce, or seek to induce any of Lilly’s (or Covered Affiliate’s) independent contractors, subcontractors, business</w:t>
      </w:r>
    </w:p>
    <w:p>
      <w:pPr>
        <w:sectPr>
          <w:pgSz w:w="11900" w:h="16838" w:orient="portrait"/>
          <w:cols w:equalWidth="0" w:num="1">
            <w:col w:w="11180"/>
          </w:cols>
          <w:pgMar w:left="320" w:top="1440" w:right="399" w:bottom="1440" w:gutter="0" w:footer="0" w:header="0"/>
        </w:sectPr>
      </w:pPr>
    </w:p>
    <w:bookmarkStart w:id="167" w:name="page168"/>
    <w:bookmarkEnd w:id="167"/>
    <w:p>
      <w:pPr>
        <w:spacing w:after="0"/>
        <w:rPr>
          <w:sz w:val="20"/>
          <w:szCs w:val="20"/>
          <w:color w:val="auto"/>
        </w:rPr>
      </w:pPr>
      <w:r>
        <w:rPr>
          <w:rFonts w:ascii="Cambria" w:cs="Cambria" w:eastAsia="Cambria" w:hAnsi="Cambria"/>
          <w:sz w:val="18"/>
          <w:szCs w:val="18"/>
          <w:b w:val="1"/>
          <w:bCs w:val="1"/>
          <w:color w:val="auto"/>
        </w:rPr>
        <w:t>[Employee Name]</w:t>
      </w:r>
    </w:p>
    <w:p>
      <w:pPr>
        <w:spacing w:after="0" w:line="214" w:lineRule="auto"/>
        <w:rPr>
          <w:sz w:val="20"/>
          <w:szCs w:val="20"/>
          <w:color w:val="auto"/>
        </w:rPr>
      </w:pPr>
      <w:r>
        <w:rPr>
          <w:rFonts w:ascii="Cambria" w:cs="Cambria" w:eastAsia="Cambria" w:hAnsi="Cambria"/>
          <w:sz w:val="18"/>
          <w:szCs w:val="18"/>
          <w:b w:val="1"/>
          <w:bCs w:val="1"/>
          <w:color w:val="auto"/>
        </w:rPr>
        <w:t>[Date]</w:t>
      </w:r>
    </w:p>
    <w:p>
      <w:pPr>
        <w:spacing w:after="0" w:line="238" w:lineRule="auto"/>
        <w:rPr>
          <w:sz w:val="20"/>
          <w:szCs w:val="20"/>
          <w:color w:val="auto"/>
        </w:rPr>
      </w:pPr>
      <w:r>
        <w:rPr>
          <w:rFonts w:ascii="Cambria" w:cs="Cambria" w:eastAsia="Cambria" w:hAnsi="Cambria"/>
          <w:sz w:val="18"/>
          <w:szCs w:val="18"/>
          <w:b w:val="1"/>
          <w:bCs w:val="1"/>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960" w:right="200"/>
        <w:spacing w:after="0" w:line="234" w:lineRule="auto"/>
        <w:rPr>
          <w:sz w:val="20"/>
          <w:szCs w:val="20"/>
          <w:color w:val="auto"/>
        </w:rPr>
      </w:pPr>
      <w:r>
        <w:rPr>
          <w:rFonts w:ascii="Times New Roman" w:cs="Times New Roman" w:eastAsia="Times New Roman" w:hAnsi="Times New Roman"/>
          <w:sz w:val="19"/>
          <w:szCs w:val="19"/>
          <w:color w:val="auto"/>
        </w:rPr>
        <w:t>partners, distributors, brokers, consultants, sales representatives, customers, vendors, suppliers or any other person with whom Lilly or Covered Affiliate has a business relationship and with whom Executive interacted during</w:t>
      </w:r>
    </w:p>
    <w:p>
      <w:pPr>
        <w:spacing w:after="0" w:line="1" w:lineRule="exact"/>
        <w:rPr>
          <w:sz w:val="20"/>
          <w:szCs w:val="20"/>
          <w:color w:val="auto"/>
        </w:rPr>
      </w:pPr>
    </w:p>
    <w:p>
      <w:pPr>
        <w:ind w:left="1960" w:right="160"/>
        <w:spacing w:after="0" w:line="215" w:lineRule="auto"/>
        <w:rPr>
          <w:sz w:val="20"/>
          <w:szCs w:val="20"/>
          <w:color w:val="auto"/>
        </w:rPr>
      </w:pPr>
      <w:r>
        <w:rPr>
          <w:rFonts w:ascii="Times New Roman" w:cs="Times New Roman" w:eastAsia="Times New Roman" w:hAnsi="Times New Roman"/>
          <w:sz w:val="19"/>
          <w:szCs w:val="19"/>
          <w:color w:val="auto"/>
        </w:rPr>
        <w:t>Executive’s employment with Lilly or Covered Affiliate to terminate their relationship with, or representation of, Lilly or Covered Affiliate or to cancel, withdraw, reduce, limit or in any manner modify any such person's business</w:t>
      </w:r>
    </w:p>
    <w:p>
      <w:pPr>
        <w:ind w:left="1960"/>
        <w:spacing w:after="0"/>
        <w:rPr>
          <w:sz w:val="20"/>
          <w:szCs w:val="20"/>
          <w:color w:val="auto"/>
        </w:rPr>
      </w:pPr>
      <w:r>
        <w:rPr>
          <w:rFonts w:ascii="Times New Roman" w:cs="Times New Roman" w:eastAsia="Times New Roman" w:hAnsi="Times New Roman"/>
          <w:sz w:val="20"/>
          <w:szCs w:val="20"/>
          <w:color w:val="auto"/>
        </w:rPr>
        <w:t>with, or representation of, Lilly or a Covered Affiliate.</w:t>
      </w:r>
    </w:p>
    <w:p>
      <w:pPr>
        <w:spacing w:after="0" w:line="167" w:lineRule="exact"/>
        <w:rPr>
          <w:sz w:val="20"/>
          <w:szCs w:val="20"/>
          <w:color w:val="auto"/>
        </w:rPr>
      </w:pPr>
    </w:p>
    <w:p>
      <w:pPr>
        <w:ind w:left="1300" w:right="180"/>
        <w:spacing w:after="0" w:line="233" w:lineRule="auto"/>
        <w:rPr>
          <w:sz w:val="20"/>
          <w:szCs w:val="20"/>
          <w:color w:val="auto"/>
        </w:rPr>
      </w:pPr>
      <w:r>
        <w:rPr>
          <w:rFonts w:ascii="Times New Roman" w:cs="Times New Roman" w:eastAsia="Times New Roman" w:hAnsi="Times New Roman"/>
          <w:sz w:val="20"/>
          <w:szCs w:val="20"/>
          <w:color w:val="auto"/>
        </w:rPr>
        <w:t>Executive acknowledges and agrees that any Lilly Affiliate is an intended third-party beneficiary of this Agreement, which may be enforced by Lilly or any such Affiliate, either singularly or jointly.</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purposes of this Agreement, “Competitively-Sensitive Capacity” means:</w:t>
      </w:r>
    </w:p>
    <w:p>
      <w:pPr>
        <w:spacing w:after="0" w:line="189" w:lineRule="exact"/>
        <w:rPr>
          <w:sz w:val="20"/>
          <w:szCs w:val="20"/>
          <w:color w:val="auto"/>
        </w:rPr>
      </w:pPr>
    </w:p>
    <w:p>
      <w:pPr>
        <w:ind w:left="1300" w:right="60" w:firstLine="4"/>
        <w:spacing w:after="0" w:line="211" w:lineRule="auto"/>
        <w:tabs>
          <w:tab w:leader="none" w:pos="162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or similar capacity or function in which Executive worked for Lilly or a Covered Affiliate at any time during the two (2) years immediately preceding the end of Executive’s employment; (B) any officer, director, executive or senior management capacity or function; (C) any research and development capacity or function; (D) any sales management or business development management capacity or function; (E) any ownership capacity (except Executive may own as a passive investment up to 2% of any publicly traded securities); and/or (F) any other capacity or function in which there is a material risk that Executive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Agreement will prohibit Executive from being employed by, working for or assisting only that division, line or segment of such competing business that is not competitive with the business of Lilly or a Covered Affiliate, provided Executive is not involved in a Competitively-Sensitive Capacity in the research, development, manufacture, provision or sale of any products that compete with any products of Lilly or a Covered Affiliate.</w:t>
      </w:r>
    </w:p>
    <w:p>
      <w:pPr>
        <w:spacing w:after="0" w:line="152" w:lineRule="exact"/>
        <w:rPr>
          <w:sz w:val="20"/>
          <w:szCs w:val="20"/>
          <w:color w:val="auto"/>
        </w:rPr>
      </w:pPr>
    </w:p>
    <w:p>
      <w:pPr>
        <w:ind w:left="1300" w:right="240"/>
        <w:spacing w:after="0" w:line="234" w:lineRule="auto"/>
        <w:rPr>
          <w:sz w:val="20"/>
          <w:szCs w:val="20"/>
          <w:color w:val="auto"/>
        </w:rPr>
      </w:pPr>
      <w:r>
        <w:rPr>
          <w:rFonts w:ascii="Times New Roman" w:cs="Times New Roman" w:eastAsia="Times New Roman" w:hAnsi="Times New Roman"/>
          <w:sz w:val="19"/>
          <w:szCs w:val="19"/>
          <w:color w:val="auto"/>
        </w:rPr>
        <w:t>Executive and Lilly acknowledge and agree that the worldwide geographic scope of the foregoing covenants is reasonable and necessary given, among other things, that: (a) absent the restrictions, Executive could utilize Lilly’s (or its Affiliates)</w:t>
      </w:r>
    </w:p>
    <w:p>
      <w:pPr>
        <w:spacing w:after="0" w:line="1" w:lineRule="exact"/>
        <w:rPr>
          <w:sz w:val="20"/>
          <w:szCs w:val="20"/>
          <w:color w:val="auto"/>
        </w:rPr>
      </w:pPr>
    </w:p>
    <w:p>
      <w:pPr>
        <w:ind w:left="1300" w:right="20"/>
        <w:spacing w:after="0" w:line="215" w:lineRule="auto"/>
        <w:rPr>
          <w:sz w:val="20"/>
          <w:szCs w:val="20"/>
          <w:color w:val="auto"/>
        </w:rPr>
      </w:pPr>
      <w:r>
        <w:rPr>
          <w:rFonts w:ascii="Times New Roman" w:cs="Times New Roman" w:eastAsia="Times New Roman" w:hAnsi="Times New Roman"/>
          <w:sz w:val="19"/>
          <w:szCs w:val="19"/>
          <w:color w:val="auto"/>
        </w:rPr>
        <w:t>trade secrets and/or confidential information and compete with Lilly or Affiliate from virtually anywhere; and (b) such scope is the only way for Lilly and its Affiliates to protect their trade secrets and confidential information. In the event Executive</w:t>
      </w:r>
    </w:p>
    <w:p>
      <w:pPr>
        <w:ind w:left="1300" w:right="60"/>
        <w:spacing w:after="0" w:line="228" w:lineRule="auto"/>
        <w:rPr>
          <w:sz w:val="20"/>
          <w:szCs w:val="20"/>
          <w:color w:val="auto"/>
        </w:rPr>
      </w:pPr>
      <w:r>
        <w:rPr>
          <w:rFonts w:ascii="Times New Roman" w:cs="Times New Roman" w:eastAsia="Times New Roman" w:hAnsi="Times New Roman"/>
          <w:sz w:val="20"/>
          <w:szCs w:val="20"/>
          <w:color w:val="auto"/>
        </w:rPr>
        <w:t>violates any of the restrictive covenants contained herein, their duration will automatically be extended by the length of time during which Executive was in violation of any of the restrictive covenants.</w:t>
      </w:r>
    </w:p>
    <w:p>
      <w:pPr>
        <w:spacing w:after="0" w:line="149" w:lineRule="exact"/>
        <w:rPr>
          <w:sz w:val="20"/>
          <w:szCs w:val="20"/>
          <w:color w:val="auto"/>
        </w:rPr>
      </w:pPr>
    </w:p>
    <w:p>
      <w:pPr>
        <w:ind w:left="1300" w:right="400"/>
        <w:spacing w:after="0" w:line="234" w:lineRule="auto"/>
        <w:rPr>
          <w:sz w:val="20"/>
          <w:szCs w:val="20"/>
          <w:color w:val="auto"/>
        </w:rPr>
      </w:pPr>
      <w:r>
        <w:rPr>
          <w:rFonts w:ascii="Times New Roman" w:cs="Times New Roman" w:eastAsia="Times New Roman" w:hAnsi="Times New Roman"/>
          <w:sz w:val="19"/>
          <w:szCs w:val="19"/>
          <w:color w:val="auto"/>
        </w:rPr>
        <w:t>Executive acknowledges and agrees that during the course of Executive’s employment with Lilly or a Covered Affiliate, Executive will become intimately familiar with confidential information and trade secrets key to its unique competitive</w:t>
      </w:r>
    </w:p>
    <w:p>
      <w:pPr>
        <w:spacing w:after="0" w:line="1" w:lineRule="exact"/>
        <w:rPr>
          <w:sz w:val="20"/>
          <w:szCs w:val="20"/>
          <w:color w:val="auto"/>
        </w:rPr>
      </w:pPr>
    </w:p>
    <w:p>
      <w:pPr>
        <w:ind w:left="1300" w:right="100"/>
        <w:spacing w:after="0" w:line="215" w:lineRule="auto"/>
        <w:rPr>
          <w:sz w:val="20"/>
          <w:szCs w:val="20"/>
          <w:color w:val="auto"/>
        </w:rPr>
      </w:pPr>
      <w:r>
        <w:rPr>
          <w:rFonts w:ascii="Times New Roman" w:cs="Times New Roman" w:eastAsia="Times New Roman" w:hAnsi="Times New Roman"/>
          <w:sz w:val="19"/>
          <w:szCs w:val="19"/>
          <w:color w:val="auto"/>
        </w:rPr>
        <w:t>advantage. Executive also acknowledges and agrees that Lilly’s (and Covered Affiliate’s) confidential information and trade secrets will retain continuing vitality throughout and beyond the one-year restricted period. And Executive acknowledges</w:t>
      </w:r>
    </w:p>
    <w:p>
      <w:pPr>
        <w:ind w:left="1300"/>
        <w:spacing w:after="0" w:line="211" w:lineRule="auto"/>
        <w:rPr>
          <w:sz w:val="20"/>
          <w:szCs w:val="20"/>
          <w:color w:val="auto"/>
        </w:rPr>
      </w:pPr>
      <w:r>
        <w:rPr>
          <w:rFonts w:ascii="Times New Roman" w:cs="Times New Roman" w:eastAsia="Times New Roman" w:hAnsi="Times New Roman"/>
          <w:sz w:val="20"/>
          <w:szCs w:val="20"/>
          <w:color w:val="auto"/>
        </w:rPr>
        <w:t>and agrees that, should Executive leave Lilly or Covered Affiliate and, near Executive’s departure from Lilly or Covered</w:t>
      </w:r>
    </w:p>
    <w:p>
      <w:pPr>
        <w:ind w:left="1300" w:right="300"/>
        <w:spacing w:after="0" w:line="215" w:lineRule="auto"/>
        <w:rPr>
          <w:sz w:val="20"/>
          <w:szCs w:val="20"/>
          <w:color w:val="auto"/>
        </w:rPr>
      </w:pPr>
      <w:r>
        <w:rPr>
          <w:rFonts w:ascii="Times New Roman" w:cs="Times New Roman" w:eastAsia="Times New Roman" w:hAnsi="Times New Roman"/>
          <w:sz w:val="19"/>
          <w:szCs w:val="19"/>
          <w:color w:val="auto"/>
        </w:rPr>
        <w:t>Affiliate, work with another person or entity that engages in business activities similar to those of Lilly and/or Covered Affiliate, it would be highly likely, if not inevitable, that Executive would rely on confidential information of Lilly and/or</w:t>
      </w:r>
    </w:p>
    <w:p>
      <w:pPr>
        <w:ind w:left="1300"/>
        <w:spacing w:after="0" w:line="211" w:lineRule="auto"/>
        <w:rPr>
          <w:sz w:val="20"/>
          <w:szCs w:val="20"/>
          <w:color w:val="auto"/>
        </w:rPr>
      </w:pPr>
      <w:r>
        <w:rPr>
          <w:rFonts w:ascii="Times New Roman" w:cs="Times New Roman" w:eastAsia="Times New Roman" w:hAnsi="Times New Roman"/>
          <w:sz w:val="20"/>
          <w:szCs w:val="20"/>
          <w:color w:val="auto"/>
        </w:rPr>
        <w:t>Covered Affiliate in the course of Executive’s work, either consciously or subconsciously, harming Lilly and any Covered</w:t>
      </w:r>
    </w:p>
    <w:p>
      <w:pPr>
        <w:ind w:left="1300"/>
        <w:spacing w:after="0" w:line="215" w:lineRule="auto"/>
        <w:rPr>
          <w:sz w:val="20"/>
          <w:szCs w:val="20"/>
          <w:color w:val="auto"/>
        </w:rPr>
      </w:pPr>
      <w:r>
        <w:rPr>
          <w:rFonts w:ascii="Times New Roman" w:cs="Times New Roman" w:eastAsia="Times New Roman" w:hAnsi="Times New Roman"/>
          <w:sz w:val="19"/>
          <w:szCs w:val="19"/>
          <w:color w:val="auto"/>
        </w:rPr>
        <w:t>Affiliates. For these and other reasons, Executive agrees that the restrictions above are reasonably necessary to protect Lilly’s and its Covered Affiliate’s legitimate business interests, and do so by creating a specific amount of time after Executive’s</w:t>
      </w:r>
    </w:p>
    <w:p>
      <w:pPr>
        <w:ind w:left="1300"/>
        <w:spacing w:after="0"/>
        <w:rPr>
          <w:sz w:val="20"/>
          <w:szCs w:val="20"/>
          <w:color w:val="auto"/>
        </w:rPr>
      </w:pPr>
      <w:r>
        <w:rPr>
          <w:rFonts w:ascii="Times New Roman" w:cs="Times New Roman" w:eastAsia="Times New Roman" w:hAnsi="Times New Roman"/>
          <w:sz w:val="20"/>
          <w:szCs w:val="20"/>
          <w:color w:val="auto"/>
        </w:rPr>
        <w:t>employment ends during which Executive will not be able to engage or prepare to engage in the activities above.</w:t>
      </w:r>
    </w:p>
    <w:p>
      <w:pPr>
        <w:sectPr>
          <w:pgSz w:w="11900" w:h="16838" w:orient="portrait"/>
          <w:cols w:equalWidth="0" w:num="1">
            <w:col w:w="11220"/>
          </w:cols>
          <w:pgMar w:left="320" w:top="82" w:right="359" w:bottom="1440" w:gutter="0" w:footer="0" w:header="0"/>
        </w:sectPr>
      </w:pPr>
    </w:p>
    <w:bookmarkStart w:id="168" w:name="page169"/>
    <w:bookmarkEnd w:id="168"/>
    <w:p>
      <w:pPr>
        <w:spacing w:after="0"/>
        <w:rPr>
          <w:sz w:val="20"/>
          <w:szCs w:val="20"/>
          <w:color w:val="auto"/>
        </w:rPr>
      </w:pPr>
      <w:r>
        <w:rPr>
          <w:rFonts w:ascii="Cambria" w:cs="Cambria" w:eastAsia="Cambria" w:hAnsi="Cambria"/>
          <w:sz w:val="18"/>
          <w:szCs w:val="18"/>
          <w:b w:val="1"/>
          <w:bCs w:val="1"/>
          <w:color w:val="auto"/>
        </w:rPr>
        <w:t>[Employee Name]</w:t>
      </w:r>
    </w:p>
    <w:p>
      <w:pPr>
        <w:spacing w:after="0" w:line="214" w:lineRule="auto"/>
        <w:rPr>
          <w:sz w:val="20"/>
          <w:szCs w:val="20"/>
          <w:color w:val="auto"/>
        </w:rPr>
      </w:pPr>
      <w:r>
        <w:rPr>
          <w:rFonts w:ascii="Cambria" w:cs="Cambria" w:eastAsia="Cambria" w:hAnsi="Cambria"/>
          <w:sz w:val="18"/>
          <w:szCs w:val="18"/>
          <w:b w:val="1"/>
          <w:bCs w:val="1"/>
          <w:color w:val="auto"/>
        </w:rPr>
        <w:t>[Date]</w:t>
      </w:r>
    </w:p>
    <w:p>
      <w:pPr>
        <w:spacing w:after="0" w:line="238" w:lineRule="auto"/>
        <w:rPr>
          <w:sz w:val="20"/>
          <w:szCs w:val="20"/>
          <w:color w:val="auto"/>
        </w:rPr>
      </w:pPr>
      <w:r>
        <w:rPr>
          <w:rFonts w:ascii="Cambria" w:cs="Cambria" w:eastAsia="Cambria" w:hAnsi="Cambria"/>
          <w:sz w:val="18"/>
          <w:szCs w:val="18"/>
          <w:b w:val="1"/>
          <w:bCs w:val="1"/>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00" w:right="200"/>
        <w:spacing w:after="0" w:line="234" w:lineRule="auto"/>
        <w:rPr>
          <w:sz w:val="20"/>
          <w:szCs w:val="20"/>
          <w:color w:val="auto"/>
        </w:rPr>
      </w:pPr>
      <w:r>
        <w:rPr>
          <w:rFonts w:ascii="Times New Roman" w:cs="Times New Roman" w:eastAsia="Times New Roman" w:hAnsi="Times New Roman"/>
          <w:sz w:val="19"/>
          <w:szCs w:val="19"/>
          <w:color w:val="auto"/>
        </w:rPr>
        <w:t>Executive and Lilly further acknowledge and agree that if any particular covenant or provision is determined to be unreasonable or unenforceable for any reason, including, without limitation, the time period, geographic area, and/or scope</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of activity covered by any restrictive covenant, such covenant or provision will automatically be deemed reformed so that the contested covenant or provision will have the closest effect permitted by applicable law to the original form and will be</w:t>
      </w:r>
    </w:p>
    <w:p>
      <w:pPr>
        <w:ind w:left="1300"/>
        <w:spacing w:after="0" w:line="223" w:lineRule="auto"/>
        <w:rPr>
          <w:sz w:val="20"/>
          <w:szCs w:val="20"/>
          <w:color w:val="auto"/>
        </w:rPr>
      </w:pPr>
      <w:r>
        <w:rPr>
          <w:rFonts w:ascii="Times New Roman" w:cs="Times New Roman" w:eastAsia="Times New Roman" w:hAnsi="Times New Roman"/>
          <w:sz w:val="19"/>
          <w:szCs w:val="19"/>
          <w:color w:val="auto"/>
        </w:rPr>
        <w:t>given effect and enforced as so reformed to whatever extent would be reasonable and enforceable under applicable law. Any</w:t>
      </w:r>
    </w:p>
    <w:p>
      <w:pPr>
        <w:ind w:left="1300" w:right="100"/>
        <w:spacing w:after="0" w:line="221" w:lineRule="auto"/>
        <w:rPr>
          <w:sz w:val="20"/>
          <w:szCs w:val="20"/>
          <w:color w:val="auto"/>
        </w:rPr>
      </w:pPr>
      <w:r>
        <w:rPr>
          <w:rFonts w:ascii="Times New Roman" w:cs="Times New Roman" w:eastAsia="Times New Roman" w:hAnsi="Times New Roman"/>
          <w:sz w:val="20"/>
          <w:szCs w:val="20"/>
          <w:color w:val="auto"/>
        </w:rPr>
        <w:t>court interpreting any restrictive covenant provision of this Agreement will, if necessary, reform any such provision to make it enforceable under applicable law.</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This Agreement is intended, among other things, to supplement (and not supersede) all applicable statutes protecting trade</w:t>
      </w:r>
    </w:p>
    <w:p>
      <w:pPr>
        <w:ind w:left="1300" w:right="320"/>
        <w:spacing w:after="0" w:line="204" w:lineRule="auto"/>
        <w:rPr>
          <w:sz w:val="20"/>
          <w:szCs w:val="20"/>
          <w:color w:val="auto"/>
        </w:rPr>
      </w:pPr>
      <w:r>
        <w:rPr>
          <w:rFonts w:ascii="Times New Roman" w:cs="Times New Roman" w:eastAsia="Times New Roman" w:hAnsi="Times New Roman"/>
          <w:sz w:val="20"/>
          <w:szCs w:val="20"/>
          <w:color w:val="auto"/>
        </w:rPr>
        <w:t>secrets and the duties Executive owes to Lilly and/or Covered Affiliates under the common law, as well as any other non-competition, non-solicitation, or confidentiality provisions that Executive agreed to in the past, including those in</w:t>
      </w:r>
    </w:p>
    <w:p>
      <w:pPr>
        <w:spacing w:after="0" w:line="1" w:lineRule="exact"/>
        <w:rPr>
          <w:sz w:val="20"/>
          <w:szCs w:val="20"/>
          <w:color w:val="auto"/>
        </w:rPr>
      </w:pPr>
    </w:p>
    <w:p>
      <w:pPr>
        <w:ind w:left="1300" w:right="80"/>
        <w:spacing w:after="0" w:line="215" w:lineRule="auto"/>
        <w:rPr>
          <w:sz w:val="20"/>
          <w:szCs w:val="20"/>
          <w:color w:val="auto"/>
        </w:rPr>
      </w:pPr>
      <w:r>
        <w:rPr>
          <w:rFonts w:ascii="Times New Roman" w:cs="Times New Roman" w:eastAsia="Times New Roman" w:hAnsi="Times New Roman"/>
          <w:sz w:val="19"/>
          <w:szCs w:val="19"/>
          <w:color w:val="auto"/>
        </w:rPr>
        <w:t>Executive’s Employee Confidentiality and Invention Agreement (the “ECIA), each of which remains in full force and effect, or that Executive agrees to in the future; provided, however, the restrictive covenants contained herein shall supersede and</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replace the restrictive covenant provisions contained in any Performance Award Agreement (for Executive Officers),</w:t>
      </w:r>
    </w:p>
    <w:p>
      <w:pPr>
        <w:ind w:left="1300" w:right="120"/>
        <w:spacing w:after="0" w:line="233" w:lineRule="auto"/>
        <w:rPr>
          <w:sz w:val="20"/>
          <w:szCs w:val="20"/>
          <w:color w:val="auto"/>
        </w:rPr>
      </w:pPr>
      <w:r>
        <w:rPr>
          <w:rFonts w:ascii="Times New Roman" w:cs="Times New Roman" w:eastAsia="Times New Roman" w:hAnsi="Times New Roman"/>
          <w:sz w:val="19"/>
          <w:szCs w:val="19"/>
          <w:color w:val="auto"/>
        </w:rPr>
        <w:t>Relative Value Award Agreement (for Executive Officers), or Shareholder Value Award Agreement (for Executive Officers) entered into between Lilly and Executive (collectively, “Equity Grant Agreement” or “Equity Grant Agreements”).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Executive acknowledges that a breach by Executive of this Agreement will give rise to irreparable injury to Lilly and</w:t>
      </w:r>
    </w:p>
    <w:p>
      <w:pPr>
        <w:ind w:left="1300"/>
        <w:spacing w:after="0" w:line="215" w:lineRule="auto"/>
        <w:rPr>
          <w:sz w:val="20"/>
          <w:szCs w:val="20"/>
          <w:color w:val="auto"/>
        </w:rPr>
      </w:pPr>
      <w:r>
        <w:rPr>
          <w:rFonts w:ascii="Times New Roman" w:cs="Times New Roman" w:eastAsia="Times New Roman" w:hAnsi="Times New Roman"/>
          <w:sz w:val="19"/>
          <w:szCs w:val="19"/>
          <w:color w:val="auto"/>
        </w:rPr>
        <w:t>Covered Affiliates and money damages will not be adequate relief for such injury. As a result, Executive agrees that Lilly (including any third-party beneficiary) will be entitled to obtain equitable or injunctive relief without having to post any bond</w:t>
      </w:r>
    </w:p>
    <w:p>
      <w:pPr>
        <w:ind w:left="1300" w:right="40"/>
        <w:spacing w:after="0" w:line="228" w:lineRule="auto"/>
        <w:rPr>
          <w:sz w:val="20"/>
          <w:szCs w:val="20"/>
          <w:color w:val="auto"/>
        </w:rPr>
      </w:pPr>
      <w:r>
        <w:rPr>
          <w:rFonts w:ascii="Times New Roman" w:cs="Times New Roman" w:eastAsia="Times New Roman" w:hAnsi="Times New Roman"/>
          <w:sz w:val="20"/>
          <w:szCs w:val="20"/>
          <w:color w:val="auto"/>
        </w:rPr>
        <w:t>or other security to restrain or prohibit any such breach or threatened breach, in addition to any other remedies which may be available, including the recovery of monetary damages from Executive.</w:t>
      </w:r>
    </w:p>
    <w:p>
      <w:pPr>
        <w:spacing w:after="0" w:line="149" w:lineRule="exact"/>
        <w:rPr>
          <w:sz w:val="20"/>
          <w:szCs w:val="20"/>
          <w:color w:val="auto"/>
        </w:rPr>
      </w:pPr>
    </w:p>
    <w:p>
      <w:pPr>
        <w:ind w:left="1300" w:right="140" w:hanging="644"/>
        <w:spacing w:after="0" w:line="222" w:lineRule="auto"/>
        <w:tabs>
          <w:tab w:leader="none" w:pos="99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Remedies. If the Company determines that Executive has violated any applicable provisions of this Section 2, in addition to injunctive relief and damages, Executive agrees and covenants that: (i) the Non-Compete Payment shall immediately cease; and (ii) the foregoing remedies set forth in this Section 2 shall not be Lilly’s exclusive remedies. Lilly reserves all other rights and remedies available to it at law or in equity.</w:t>
      </w:r>
    </w:p>
    <w:p>
      <w:pPr>
        <w:spacing w:after="0" w:line="157"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Non-Compete Payment</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300" w:right="60" w:hanging="644"/>
        <w:spacing w:after="0" w:line="213" w:lineRule="auto"/>
        <w:tabs>
          <w:tab w:leader="none" w:pos="987"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3(b) and (c) below, upon Executive’s termination of employment, regardless of reason, the Company agrees to compensate Executive during any remaining Restricted Period with a payment in the amount of [amount] (the “Non-Compete Payment”), less applicable deductions required by law for the payment of wages; provided, however, that Company’s obligation to make the Non-Compete Payment shall immediately cease if Executive violates Executive’s ECIA obligations owed to Company, or the restrictive covenants set forth herein. The Non-Compete Payment will be paid in equal amounts on a monthly basis and will be subject to applicable withholdings. The payment of the Non-Compete Payment shall be the sole obligation of Company hereunder, and all other benefits of employment shall terminate as of the date of termination, except as provided by law.</w:t>
      </w:r>
    </w:p>
    <w:p>
      <w:pPr>
        <w:spacing w:after="0" w:line="162" w:lineRule="exact"/>
        <w:rPr>
          <w:rFonts w:ascii="Times New Roman" w:cs="Times New Roman" w:eastAsia="Times New Roman" w:hAnsi="Times New Roman"/>
          <w:sz w:val="20"/>
          <w:szCs w:val="20"/>
          <w:color w:val="auto"/>
        </w:rPr>
      </w:pPr>
    </w:p>
    <w:p>
      <w:pPr>
        <w:ind w:left="1300" w:right="120" w:hanging="644"/>
        <w:spacing w:after="0" w:line="222" w:lineRule="auto"/>
        <w:tabs>
          <w:tab w:leader="none" w:pos="998"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Executive’s employment is terminated due to Executive’s Retirement, any performance-based award, relative value award, or shareholder value award received by Executive pursuant to any Equity Award Grant Agreement shall vest according to the terms of the applicable Equity Award Agreement. Provided, however, Executive shall not be entitled to any Non-Compete Pay in the event that Executive’s employment terminates due to Executive’s Retirement.</w:t>
      </w:r>
    </w:p>
    <w:p>
      <w:pPr>
        <w:sectPr>
          <w:pgSz w:w="11900" w:h="16838" w:orient="portrait"/>
          <w:cols w:equalWidth="0" w:num="1">
            <w:col w:w="11240"/>
          </w:cols>
          <w:pgMar w:left="320" w:top="82" w:right="339" w:bottom="1440" w:gutter="0" w:footer="0" w:header="0"/>
        </w:sectPr>
      </w:pPr>
    </w:p>
    <w:bookmarkStart w:id="169" w:name="page170"/>
    <w:bookmarkEnd w:id="169"/>
    <w:p>
      <w:pPr>
        <w:spacing w:after="0"/>
        <w:rPr>
          <w:sz w:val="20"/>
          <w:szCs w:val="20"/>
          <w:color w:val="auto"/>
        </w:rPr>
      </w:pPr>
      <w:r>
        <w:rPr>
          <w:rFonts w:ascii="Cambria" w:cs="Cambria" w:eastAsia="Cambria" w:hAnsi="Cambria"/>
          <w:sz w:val="18"/>
          <w:szCs w:val="18"/>
          <w:b w:val="1"/>
          <w:bCs w:val="1"/>
          <w:color w:val="auto"/>
        </w:rPr>
        <w:t>[Employee Name]</w:t>
      </w:r>
    </w:p>
    <w:p>
      <w:pPr>
        <w:spacing w:after="0" w:line="214" w:lineRule="auto"/>
        <w:rPr>
          <w:sz w:val="20"/>
          <w:szCs w:val="20"/>
          <w:color w:val="auto"/>
        </w:rPr>
      </w:pPr>
      <w:r>
        <w:rPr>
          <w:rFonts w:ascii="Cambria" w:cs="Cambria" w:eastAsia="Cambria" w:hAnsi="Cambria"/>
          <w:sz w:val="18"/>
          <w:szCs w:val="18"/>
          <w:b w:val="1"/>
          <w:bCs w:val="1"/>
          <w:color w:val="auto"/>
        </w:rPr>
        <w:t>[Date]</w:t>
      </w:r>
    </w:p>
    <w:p>
      <w:pPr>
        <w:spacing w:after="0" w:line="238" w:lineRule="auto"/>
        <w:rPr>
          <w:sz w:val="20"/>
          <w:szCs w:val="20"/>
          <w:color w:val="auto"/>
        </w:rPr>
      </w:pPr>
      <w:r>
        <w:rPr>
          <w:rFonts w:ascii="Cambria" w:cs="Cambria" w:eastAsia="Cambria" w:hAnsi="Cambria"/>
          <w:sz w:val="18"/>
          <w:szCs w:val="18"/>
          <w:b w:val="1"/>
          <w:bCs w:val="1"/>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“Retirement” means retirement as a “retiree,” which is a person who is (A) a retired person under The Lilly Retirement Plan;</w:t>
      </w:r>
    </w:p>
    <w:p>
      <w:pPr>
        <w:spacing w:after="0" w:line="6" w:lineRule="exact"/>
        <w:rPr>
          <w:sz w:val="20"/>
          <w:szCs w:val="20"/>
          <w:color w:val="auto"/>
        </w:rPr>
      </w:pPr>
    </w:p>
    <w:p>
      <w:pPr>
        <w:jc w:val="both"/>
        <w:ind w:left="1300" w:right="60" w:firstLine="4"/>
        <w:spacing w:after="0" w:line="229" w:lineRule="auto"/>
        <w:tabs>
          <w:tab w:leader="none" w:pos="1613"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retired person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As further inducement and consideration for this Section 3(b), Executive has received [•].</w:t>
      </w:r>
    </w:p>
    <w:p>
      <w:pPr>
        <w:spacing w:after="0" w:line="189" w:lineRule="exact"/>
        <w:rPr>
          <w:sz w:val="20"/>
          <w:szCs w:val="20"/>
          <w:color w:val="auto"/>
        </w:rPr>
      </w:pPr>
    </w:p>
    <w:p>
      <w:pPr>
        <w:ind w:left="1300" w:right="80" w:hanging="644"/>
        <w:spacing w:after="0" w:line="226" w:lineRule="auto"/>
        <w:tabs>
          <w:tab w:leader="none" w:pos="98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in its sole and absolute discretion, reduce the length of the Restricted Period. Executive shall not be entitled to receive any Non-Compete Payment from Company for any period of time for which the Restricted Period has been reduced or otherwise waived by Company.</w:t>
      </w:r>
    </w:p>
    <w:p>
      <w:pPr>
        <w:spacing w:after="0" w:line="15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Guarantee of Continued Employment</w:t>
      </w:r>
      <w:r>
        <w:rPr>
          <w:rFonts w:ascii="Times New Roman" w:cs="Times New Roman" w:eastAsia="Times New Roman" w:hAnsi="Times New Roman"/>
          <w:sz w:val="20"/>
          <w:szCs w:val="20"/>
          <w:color w:val="auto"/>
        </w:rPr>
        <w:t>. Nothing in this Agreement guarantees Executive’s employment for any period of time.</w:t>
      </w:r>
    </w:p>
    <w:p>
      <w:pPr>
        <w:spacing w:after="0" w:line="175" w:lineRule="exact"/>
        <w:rPr>
          <w:rFonts w:ascii="Times New Roman" w:cs="Times New Roman" w:eastAsia="Times New Roman" w:hAnsi="Times New Roman"/>
          <w:sz w:val="20"/>
          <w:szCs w:val="20"/>
          <w:color w:val="auto"/>
        </w:rPr>
      </w:pPr>
    </w:p>
    <w:p>
      <w:pPr>
        <w:ind w:left="660" w:right="60" w:hanging="652"/>
        <w:spacing w:after="0" w:line="227" w:lineRule="auto"/>
        <w:tabs>
          <w:tab w:leader="none" w:pos="35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Tolling</w:t>
      </w:r>
      <w:r>
        <w:rPr>
          <w:rFonts w:ascii="Times New Roman" w:cs="Times New Roman" w:eastAsia="Times New Roman" w:hAnsi="Times New Roman"/>
          <w:sz w:val="20"/>
          <w:szCs w:val="20"/>
          <w:color w:val="auto"/>
        </w:rPr>
        <w:t>. In the event of any violation of this Agreement, Executive agrees that the post-termination restrictions contained in 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extended by a period of time equal to the period of such violation, it being the intention of the Parties hereto that the running of the applicable post-termination Restricted Period shall be tolled during any period of such violation.</w:t>
      </w:r>
    </w:p>
    <w:p>
      <w:pPr>
        <w:spacing w:after="0" w:line="157" w:lineRule="exact"/>
        <w:rPr>
          <w:rFonts w:ascii="Times New Roman" w:cs="Times New Roman" w:eastAsia="Times New Roman" w:hAnsi="Times New Roman"/>
          <w:sz w:val="20"/>
          <w:szCs w:val="20"/>
          <w:color w:val="auto"/>
        </w:rPr>
      </w:pPr>
    </w:p>
    <w:p>
      <w:pPr>
        <w:ind w:left="660" w:hanging="652"/>
        <w:spacing w:after="0" w:line="245" w:lineRule="auto"/>
        <w:tabs>
          <w:tab w:leader="none" w:pos="35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Attorneys’ Fees</w:t>
      </w:r>
      <w:r>
        <w:rPr>
          <w:rFonts w:ascii="Times New Roman" w:cs="Times New Roman" w:eastAsia="Times New Roman" w:hAnsi="Times New Roman"/>
          <w:sz w:val="20"/>
          <w:szCs w:val="20"/>
          <w:color w:val="auto"/>
        </w:rPr>
        <w:t>. In the event of any breach or threatened breach by Executive of any provision of this Agreement, the Company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seek recovery of all reasonable attorneys’ fees, costs, and expenses incurred by the Company in obtaining such relief.</w:t>
      </w:r>
    </w:p>
    <w:p>
      <w:pPr>
        <w:spacing w:after="0" w:line="137" w:lineRule="exact"/>
        <w:rPr>
          <w:rFonts w:ascii="Times New Roman" w:cs="Times New Roman" w:eastAsia="Times New Roman" w:hAnsi="Times New Roman"/>
          <w:sz w:val="20"/>
          <w:szCs w:val="20"/>
          <w:color w:val="auto"/>
        </w:rPr>
      </w:pPr>
    </w:p>
    <w:p>
      <w:pPr>
        <w:ind w:left="660" w:right="100" w:hanging="652"/>
        <w:spacing w:after="0" w:line="232" w:lineRule="auto"/>
        <w:tabs>
          <w:tab w:leader="none" w:pos="35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parties agree that should any provision of this Agreement be declared or determined by any court to be illegal, invalid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unenforceable, the remainder of the Agreement shall nonetheless remain binding and enforceable, and the illegal, invalid or unenforceable provision(s) shall be modified only so much as necessary to comply with applicable law.</w:t>
      </w:r>
    </w:p>
    <w:p>
      <w:pPr>
        <w:spacing w:after="0" w:line="143" w:lineRule="exact"/>
        <w:rPr>
          <w:rFonts w:ascii="Times New Roman" w:cs="Times New Roman" w:eastAsia="Times New Roman" w:hAnsi="Times New Roman"/>
          <w:sz w:val="20"/>
          <w:szCs w:val="20"/>
          <w:color w:val="auto"/>
        </w:rPr>
      </w:pPr>
    </w:p>
    <w:p>
      <w:pPr>
        <w:ind w:left="660" w:right="20" w:hanging="652"/>
        <w:spacing w:after="0" w:line="245" w:lineRule="auto"/>
        <w:tabs>
          <w:tab w:leader="none" w:pos="35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Indiana, without regard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conflicts of laws principles.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1240"/>
          </w:cols>
          <w:pgMar w:left="320" w:top="82" w:right="339" w:bottom="1440" w:gutter="0" w:footer="0" w:header="0"/>
        </w:sectPr>
      </w:pPr>
    </w:p>
    <w:bookmarkStart w:id="170" w:name="page171"/>
    <w:bookmarkEnd w:id="170"/>
    <w:p>
      <w:pPr>
        <w:spacing w:after="0"/>
        <w:rPr>
          <w:sz w:val="20"/>
          <w:szCs w:val="20"/>
          <w:color w:val="auto"/>
        </w:rPr>
      </w:pPr>
      <w:r>
        <w:rPr>
          <w:rFonts w:ascii="Cambria" w:cs="Cambria" w:eastAsia="Cambria" w:hAnsi="Cambria"/>
          <w:sz w:val="18"/>
          <w:szCs w:val="18"/>
          <w:b w:val="1"/>
          <w:bCs w:val="1"/>
          <w:color w:val="auto"/>
        </w:rPr>
        <w:t>[Employee Name]</w:t>
      </w:r>
    </w:p>
    <w:p>
      <w:pPr>
        <w:spacing w:after="0" w:line="214" w:lineRule="auto"/>
        <w:rPr>
          <w:sz w:val="20"/>
          <w:szCs w:val="20"/>
          <w:color w:val="auto"/>
        </w:rPr>
      </w:pPr>
      <w:r>
        <w:rPr>
          <w:rFonts w:ascii="Cambria" w:cs="Cambria" w:eastAsia="Cambria" w:hAnsi="Cambria"/>
          <w:sz w:val="18"/>
          <w:szCs w:val="18"/>
          <w:b w:val="1"/>
          <w:bCs w:val="1"/>
          <w:color w:val="auto"/>
        </w:rPr>
        <w:t>[Date]</w:t>
      </w:r>
    </w:p>
    <w:p>
      <w:pPr>
        <w:spacing w:after="0" w:line="238" w:lineRule="auto"/>
        <w:rPr>
          <w:sz w:val="20"/>
          <w:szCs w:val="20"/>
          <w:color w:val="auto"/>
        </w:rPr>
      </w:pPr>
      <w:r>
        <w:rPr>
          <w:rFonts w:ascii="Cambria" w:cs="Cambria" w:eastAsia="Cambria" w:hAnsi="Cambria"/>
          <w:sz w:val="18"/>
          <w:szCs w:val="18"/>
          <w:b w:val="1"/>
          <w:bCs w:val="1"/>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indicate your agreement to the foregoing by signing a copy of this Agreement where indicated below and returning this Agreement to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 LILLY AND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AND ACKNOWLEDGED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w:t>
      </w: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______________________________</w:t>
      </w:r>
    </w:p>
    <w:p>
      <w:pPr>
        <w:sectPr>
          <w:pgSz w:w="11900" w:h="16838" w:orient="portrait"/>
          <w:cols w:equalWidth="0" w:num="1">
            <w:col w:w="11140"/>
          </w:cols>
          <w:pgMar w:left="320" w:top="82" w:right="439" w:bottom="1440" w:gutter="0" w:footer="0" w:header="0"/>
        </w:sectPr>
      </w:pPr>
    </w:p>
    <w:bookmarkStart w:id="171" w:name="page172"/>
    <w:bookmarkEnd w:id="171"/>
    <w:p>
      <w:pPr>
        <w:ind w:left="372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2022.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39"/>
        </w:trPr>
        <w:tc>
          <w:tcPr>
            <w:tcW w:w="6000" w:type="dxa"/>
            <w:vAlign w:val="bottom"/>
          </w:tcPr>
          <w:p>
            <w:pPr>
              <w:spacing w:after="0"/>
              <w:rPr>
                <w:sz w:val="12"/>
                <w:szCs w:val="12"/>
                <w:color w:val="auto"/>
              </w:rPr>
            </w:pPr>
          </w:p>
        </w:tc>
        <w:tc>
          <w:tcPr>
            <w:tcW w:w="5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of Incorporation</w:t>
            </w:r>
          </w:p>
        </w:tc>
      </w:tr>
      <w:tr>
        <w:trPr>
          <w:trHeight w:val="197"/>
        </w:trPr>
        <w:tc>
          <w:tcPr>
            <w:tcW w:w="6000" w:type="dxa"/>
            <w:vAlign w:val="bottom"/>
          </w:tcPr>
          <w:p>
            <w:pPr>
              <w:spacing w:after="0"/>
              <w:rPr>
                <w:sz w:val="17"/>
                <w:szCs w:val="17"/>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9"/>
        </w:trPr>
        <w:tc>
          <w:tcPr>
            <w:tcW w:w="6000" w:type="dxa"/>
            <w:vAlign w:val="bottom"/>
          </w:tcPr>
          <w:p>
            <w:pPr>
              <w:spacing w:after="0"/>
              <w:rPr>
                <w:sz w:val="20"/>
                <w:szCs w:val="20"/>
                <w:color w:val="auto"/>
              </w:rPr>
            </w:pPr>
            <w:r>
              <w:rPr>
                <w:rFonts w:ascii="Arial" w:cs="Arial" w:eastAsia="Arial" w:hAnsi="Arial"/>
                <w:sz w:val="18"/>
                <w:szCs w:val="18"/>
                <w:color w:val="auto"/>
              </w:rPr>
              <w:t>Akouos,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Peru</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ARMO Biosciences,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Compania Farmaceutica Eli Lilly de Centro America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Dermira,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Disarm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Dominicana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Management,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(Suisse)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New Zealand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Benelux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B-H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Bosnia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Canada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Clinical Diagnostics Laboratory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CR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Czech Republic</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Eli Lilly Danmark A/S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180"/>
          </w:cols>
          <w:pgMar w:left="340" w:top="890" w:right="37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Eli Lilly de Costa Rica,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Costa Rica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Export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18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Finance,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Ges.m.b.H.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Croatia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Chile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Israel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Italia S.p.A.</w:t>
            </w:r>
          </w:p>
        </w:tc>
        <w:tc>
          <w:tcPr>
            <w:tcW w:w="518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Japan K.K.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Nigeria Ltd.</w:t>
            </w:r>
          </w:p>
        </w:tc>
        <w:tc>
          <w:tcPr>
            <w:tcW w:w="5180" w:type="dxa"/>
            <w:vAlign w:val="bottom"/>
          </w:tcPr>
          <w:p>
            <w:pPr>
              <w:jc w:val="center"/>
              <w:spacing w:after="0"/>
              <w:rPr>
                <w:sz w:val="20"/>
                <w:szCs w:val="20"/>
                <w:color w:val="auto"/>
              </w:rPr>
            </w:pPr>
            <w:r>
              <w:rPr>
                <w:rFonts w:ascii="Arial" w:cs="Arial" w:eastAsia="Arial" w:hAnsi="Arial"/>
                <w:sz w:val="18"/>
                <w:szCs w:val="18"/>
                <w:color w:val="auto"/>
              </w:rPr>
              <w:t>Nigeria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Norge A.S.</w:t>
            </w:r>
          </w:p>
        </w:tc>
        <w:tc>
          <w:tcPr>
            <w:tcW w:w="5180" w:type="dxa"/>
            <w:vAlign w:val="bottom"/>
          </w:tcPr>
          <w:p>
            <w:pPr>
              <w:jc w:val="center"/>
              <w:spacing w:after="0"/>
              <w:rPr>
                <w:sz w:val="20"/>
                <w:szCs w:val="20"/>
                <w:color w:val="auto"/>
              </w:rPr>
            </w:pPr>
            <w:r>
              <w:rPr>
                <w:rFonts w:ascii="Arial" w:cs="Arial" w:eastAsia="Arial" w:hAnsi="Arial"/>
                <w:sz w:val="18"/>
                <w:szCs w:val="18"/>
                <w:color w:val="auto"/>
              </w:rPr>
              <w:t>Norway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180" w:type="dxa"/>
            <w:vAlign w:val="bottom"/>
          </w:tcPr>
          <w:p>
            <w:pPr>
              <w:jc w:val="center"/>
              <w:spacing w:after="0"/>
              <w:rPr>
                <w:sz w:val="20"/>
                <w:szCs w:val="20"/>
                <w:color w:val="auto"/>
              </w:rPr>
            </w:pPr>
            <w:r>
              <w:rPr>
                <w:rFonts w:ascii="Arial" w:cs="Arial" w:eastAsia="Arial" w:hAnsi="Arial"/>
                <w:sz w:val="18"/>
                <w:szCs w:val="18"/>
                <w:color w:val="auto"/>
              </w:rPr>
              <w:t>Pakistan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Polska Sp. z.o.o.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Romania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Sweden AB</w:t>
            </w:r>
          </w:p>
        </w:tc>
        <w:tc>
          <w:tcPr>
            <w:tcW w:w="5180" w:type="dxa"/>
            <w:vAlign w:val="bottom"/>
          </w:tcPr>
          <w:p>
            <w:pPr>
              <w:jc w:val="center"/>
              <w:spacing w:after="0"/>
              <w:rPr>
                <w:sz w:val="20"/>
                <w:szCs w:val="20"/>
                <w:color w:val="auto"/>
              </w:rPr>
            </w:pPr>
            <w:r>
              <w:rPr>
                <w:rFonts w:ascii="Arial" w:cs="Arial" w:eastAsia="Arial" w:hAnsi="Arial"/>
                <w:sz w:val="18"/>
                <w:szCs w:val="18"/>
                <w:color w:val="auto"/>
              </w:rPr>
              <w:t>Sweden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Glycostasis,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ICOS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Washington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Systems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Irisfarma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bl>
    <w:p>
      <w:pPr>
        <w:sectPr>
          <w:pgSz w:w="11900" w:h="16838" w:orient="portrait"/>
          <w:cols w:equalWidth="0" w:num="1">
            <w:col w:w="11180"/>
          </w:cols>
          <w:pgMar w:left="340" w:top="928" w:right="37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Cayman Holdings</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Centre for Clinical Pharmacology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del Caribe, Inc.</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Holding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Hungaria KFT</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Japan Financing G.K.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Korea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Pharma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Trading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USA,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Loxo Oncology,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Petra Pharma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Pharmaserve-Lilly S.A.C.I.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Prevail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Protomer Technologies,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Spaly Bioquimica,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UAB Eli Lilly Lietuva</w:t>
            </w:r>
          </w:p>
        </w:tc>
        <w:tc>
          <w:tcPr>
            <w:tcW w:w="518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Valquifarma,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Vitalfarma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180"/>
          </w:cols>
          <w:pgMar w:left="340" w:top="928" w:right="379" w:bottom="1440" w:gutter="0" w:footer="0" w:header="0"/>
        </w:sectPr>
      </w:pPr>
    </w:p>
    <w:bookmarkStart w:id="174" w:name="page175"/>
    <w:bookmarkEnd w:id="174"/>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 (Form S-3 ASR No. 333-262943; and Form S-8 Nos. 333-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104057, 333-172422, 333-258801, and 333-258803) of Eli Lilly and Company and in the related Prospectus of our reports dated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2023, with respect to the consolidated financial statements of Eli Lilly and Company and subsidiaries, and the effectiveness 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of Eli Lilly and Company and subsidiaries, included in this Annual Report (10-K) for the year ended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060"/>
          </w:cols>
          <w:pgMar w:left="320" w:top="1440" w:right="51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90" w:lineRule="exact"/>
        <w:rPr>
          <w:sz w:val="20"/>
          <w:szCs w:val="20"/>
          <w:color w:val="auto"/>
        </w:rPr>
      </w:pPr>
    </w:p>
    <w:p>
      <w:pPr>
        <w:ind w:left="640" w:hanging="308"/>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Ricks</w:t>
            </w:r>
          </w:p>
        </w:tc>
      </w:tr>
      <w:tr>
        <w:trPr>
          <w:trHeight w:val="218"/>
        </w:trPr>
        <w:tc>
          <w:tcPr>
            <w:tcW w:w="60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David Ricks</w:t>
            </w:r>
          </w:p>
        </w:tc>
      </w:tr>
      <w:tr>
        <w:trPr>
          <w:trHeight w:val="239"/>
        </w:trPr>
        <w:tc>
          <w:tcPr>
            <w:tcW w:w="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890" w:right="3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EXHIBIT 31.2 Rule 13a-14(a) Certification of Anat Ashkenazi,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Anat Ashkenazi, Executive Vice President and Chief Financial Officer, certify that:</w:t>
      </w:r>
    </w:p>
    <w:p>
      <w:pPr>
        <w:spacing w:after="0" w:line="90" w:lineRule="exact"/>
        <w:rPr>
          <w:sz w:val="20"/>
          <w:szCs w:val="20"/>
          <w:color w:val="auto"/>
        </w:rPr>
      </w:pPr>
    </w:p>
    <w:p>
      <w:pPr>
        <w:ind w:left="640" w:hanging="308"/>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Anat Ashkenazi</w:t>
            </w:r>
          </w:p>
        </w:tc>
      </w:tr>
      <w:tr>
        <w:trPr>
          <w:trHeight w:val="218"/>
        </w:trPr>
        <w:tc>
          <w:tcPr>
            <w:tcW w:w="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Anat Ashkenazi</w:t>
            </w:r>
          </w:p>
        </w:tc>
      </w:tr>
      <w:tr>
        <w:trPr>
          <w:trHeight w:val="239"/>
        </w:trPr>
        <w:tc>
          <w:tcPr>
            <w:tcW w:w="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890"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Annual Report on Form 10-K for the year ended December 31, 2022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Date: February 22, 2023</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David Ricks</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David Ricks</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Chair, President, and Chief Executive Officer</w:t>
            </w:r>
          </w:p>
        </w:tc>
      </w:tr>
      <w:tr>
        <w:trPr>
          <w:trHeight w:val="630"/>
        </w:trPr>
        <w:tc>
          <w:tcPr>
            <w:tcW w:w="5080" w:type="dxa"/>
            <w:vAlign w:val="bottom"/>
          </w:tcPr>
          <w:p>
            <w:pPr>
              <w:spacing w:after="0"/>
              <w:rPr>
                <w:sz w:val="20"/>
                <w:szCs w:val="20"/>
                <w:color w:val="auto"/>
              </w:rPr>
            </w:pPr>
            <w:r>
              <w:rPr>
                <w:rFonts w:ascii="Arial" w:cs="Arial" w:eastAsia="Arial" w:hAnsi="Arial"/>
                <w:sz w:val="18"/>
                <w:szCs w:val="18"/>
                <w:color w:val="auto"/>
              </w:rPr>
              <w:t>Date: February 22, 2023</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Anat Ashkenazi</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Anat Ashkenazi</w:t>
            </w:r>
          </w:p>
        </w:tc>
      </w:tr>
      <w:tr>
        <w:trPr>
          <w:trHeight w:val="181"/>
        </w:trPr>
        <w:tc>
          <w:tcPr>
            <w:tcW w:w="5080" w:type="dxa"/>
            <w:vAlign w:val="bottom"/>
          </w:tcPr>
          <w:p>
            <w:pPr>
              <w:spacing w:after="0"/>
              <w:rPr>
                <w:sz w:val="15"/>
                <w:szCs w:val="15"/>
                <w:color w:val="auto"/>
              </w:rPr>
            </w:pPr>
          </w:p>
        </w:tc>
        <w:tc>
          <w:tcPr>
            <w:tcW w:w="5900" w:type="dxa"/>
            <w:vAlign w:val="bottom"/>
          </w:tcPr>
          <w:p>
            <w:pPr>
              <w:ind w:left="160"/>
              <w:spacing w:after="0" w:line="181" w:lineRule="exact"/>
              <w:rPr>
                <w:sz w:val="20"/>
                <w:szCs w:val="20"/>
                <w:color w:val="auto"/>
              </w:rPr>
            </w:pPr>
            <w:r>
              <w:rPr>
                <w:rFonts w:ascii="Arial" w:cs="Arial" w:eastAsia="Arial" w:hAnsi="Arial"/>
                <w:sz w:val="18"/>
                <w:szCs w:val="18"/>
                <w:color w:val="auto"/>
              </w:rPr>
              <w:t>Executive Vice President and</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lvl w:ilvl="1">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1)"/>
      <w:numFmt w:val="decimal"/>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1)"/>
      <w:numFmt w:val="decimal"/>
      <w:start w:val="1"/>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1)"/>
      <w:numFmt w:val="decimal"/>
      <w:start w:val="1"/>
    </w:lvl>
  </w:abstractNum>
  <w:abstractNum w:abstractNumId="38">
    <w:nsid w:val="43F18422"/>
    <w:multiLevelType w:val="hybridMultilevel"/>
    <w:lvl w:ilvl="0">
      <w:lvlJc w:val="left"/>
      <w:lvlText w:val="(%1)"/>
      <w:numFmt w:val="decimal"/>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1)"/>
      <w:numFmt w:val="decimal"/>
      <w:start w:val="1"/>
    </w:lvl>
  </w:abstractNum>
  <w:abstractNum w:abstractNumId="44">
    <w:nsid w:val="5FB8370B"/>
    <w:multiLevelType w:val="hybridMultilevel"/>
    <w:lvl w:ilvl="0">
      <w:lvlJc w:val="left"/>
      <w:lvlText w:val="(%1)"/>
      <w:numFmt w:val="decimal"/>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decimal"/>
      <w:start w:val="3"/>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1)"/>
      <w:numFmt w:val="lowerLetter"/>
      <w:start w:val="3"/>
    </w:lvl>
  </w:abstractNum>
  <w:abstractNum w:abstractNumId="50">
    <w:nsid w:val="6FC75AF8"/>
    <w:multiLevelType w:val="hybridMultilevel"/>
    <w:lvl w:ilvl="0">
      <w:lvlJc w:val="left"/>
      <w:lvlText w:val="(%1)"/>
      <w:numFmt w:val="decimal"/>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1)"/>
      <w:numFmt w:val="decimal"/>
      <w:start w:val="1"/>
    </w:lvl>
  </w:abstractNum>
  <w:abstractNum w:abstractNumId="53">
    <w:nsid w:val="5F3534A4"/>
    <w:multiLevelType w:val="hybridMultilevel"/>
    <w:lvl w:ilvl="0">
      <w:lvlJc w:val="left"/>
      <w:lvlText w:val="(%1)"/>
      <w:numFmt w:val="decimal"/>
      <w:start w:val="1"/>
    </w:lvl>
  </w:abstractNum>
  <w:abstractNum w:abstractNumId="54">
    <w:nsid w:val="73A1821B"/>
    <w:multiLevelType w:val="hybridMultilevel"/>
    <w:lvl w:ilvl="0">
      <w:lvlJc w:val="left"/>
      <w:lvlText w:val="(%1)"/>
      <w:numFmt w:val="decimal"/>
      <w:start w:val="1"/>
    </w:lvl>
  </w:abstractNum>
  <w:abstractNum w:abstractNumId="55">
    <w:nsid w:val="7DE67713"/>
    <w:multiLevelType w:val="hybridMultilevel"/>
    <w:lvl w:ilvl="0">
      <w:lvlJc w:val="left"/>
      <w:lvlText w:val="(%1)"/>
      <w:numFmt w:val="decimal"/>
      <w:start w:val="1"/>
    </w:lvl>
  </w:abstractNum>
  <w:abstractNum w:abstractNumId="56">
    <w:nsid w:val="555C55B5"/>
    <w:multiLevelType w:val="hybridMultilevel"/>
    <w:lvl w:ilvl="0">
      <w:lvlJc w:val="left"/>
      <w:lvlText w:val="(%1)"/>
      <w:numFmt w:val="decimal"/>
      <w:start w:val="1"/>
    </w:lvl>
  </w:abstractNum>
  <w:abstractNum w:abstractNumId="57">
    <w:nsid w:val="3FA62ACA"/>
    <w:multiLevelType w:val="hybridMultilevel"/>
    <w:lvl w:ilvl="0">
      <w:lvlJc w:val="left"/>
      <w:lvlText w:val="(%1)"/>
      <w:numFmt w:val="decimal"/>
      <w:start w:val="1"/>
    </w:lvl>
  </w:abstractNum>
  <w:abstractNum w:abstractNumId="58">
    <w:nsid w:val="14FCE74E"/>
    <w:multiLevelType w:val="hybridMultilevel"/>
    <w:lvl w:ilvl="0">
      <w:lvlJc w:val="left"/>
      <w:lvlText w:val="(%1)"/>
      <w:numFmt w:val="decimal"/>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1)"/>
      <w:numFmt w:val="decimal"/>
      <w:start w:val="1"/>
    </w:lvl>
  </w:abstractNum>
  <w:abstractNum w:abstractNumId="61">
    <w:nsid w:val="9DAF632"/>
    <w:multiLevelType w:val="hybridMultilevel"/>
    <w:lvl w:ilvl="0">
      <w:lvlJc w:val="left"/>
      <w:lvlText w:val="%1."/>
      <w:numFmt w:val="lowerLetter"/>
      <w:start w:val="1"/>
    </w:lvl>
    <w:lvl w:ilvl="1">
      <w:lvlJc w:val="left"/>
      <w:lvlText w:val="%2."/>
      <w:numFmt w:val="lowerRoman"/>
      <w:start w:val="1"/>
    </w:lvl>
  </w:abstractNum>
  <w:abstractNum w:abstractNumId="62">
    <w:nsid w:val="53299938"/>
    <w:multiLevelType w:val="hybridMultilevel"/>
    <w:lvl w:ilvl="0">
      <w:lvlJc w:val="left"/>
      <w:lvlText w:val="%1."/>
      <w:numFmt w:val="lowerLetter"/>
      <w:start w:val="4"/>
    </w:lvl>
  </w:abstractNum>
  <w:abstractNum w:abstractNumId="63">
    <w:nsid w:val="1FBFE8E0"/>
    <w:multiLevelType w:val="hybridMultilevel"/>
    <w:lvl w:ilvl="0">
      <w:lvlJc w:val="left"/>
      <w:lvlText w:val="%1."/>
      <w:numFmt w:val="lowerLetter"/>
      <w:start w:val="1"/>
    </w:lvl>
  </w:abstractNum>
  <w:abstractNum w:abstractNumId="64">
    <w:nsid w:val="5092CA79"/>
    <w:multiLevelType w:val="hybridMultilevel"/>
    <w:lvl w:ilvl="0">
      <w:lvlJc w:val="left"/>
      <w:lvlText w:val="(%1)"/>
      <w:numFmt w:val="upperLetter"/>
      <w:start w:val="5"/>
    </w:lvl>
  </w:abstractNum>
  <w:abstractNum w:abstractNumId="65">
    <w:nsid w:val="1D545C4D"/>
    <w:multiLevelType w:val="hybridMultilevel"/>
    <w:lvl w:ilvl="0">
      <w:lvlJc w:val="left"/>
      <w:lvlText w:val="%1."/>
      <w:numFmt w:val="lowerLetter"/>
      <w:start w:val="3"/>
    </w:lvl>
    <w:lvl w:ilvl="1">
      <w:lvlJc w:val="left"/>
      <w:lvlText w:val="%2."/>
      <w:numFmt w:val="lowerRoman"/>
      <w:start w:val="1"/>
    </w:lvl>
  </w:abstractNum>
  <w:abstractNum w:abstractNumId="66">
    <w:nsid w:val="59ADEA3D"/>
    <w:multiLevelType w:val="hybridMultilevel"/>
    <w:lvl w:ilvl="0">
      <w:lvlJc w:val="left"/>
      <w:lvlText w:val="%1."/>
      <w:numFmt w:val="lowerLetter"/>
      <w:start w:val="4"/>
    </w:lvl>
  </w:abstractNum>
  <w:abstractNum w:abstractNumId="67">
    <w:nsid w:val="288F1A34"/>
    <w:multiLevelType w:val="hybridMultilevel"/>
    <w:lvl w:ilvl="0">
      <w:lvlJc w:val="left"/>
      <w:lvlText w:val="%1."/>
      <w:numFmt w:val="lowerLetter"/>
      <w:start w:val="1"/>
    </w:lvl>
    <w:lvl w:ilvl="1">
      <w:lvlJc w:val="left"/>
      <w:lvlText w:val="%2."/>
      <w:numFmt w:val="lowerRoman"/>
      <w:start w:val="1"/>
    </w:lvl>
  </w:abstractNum>
  <w:abstractNum w:abstractNumId="68">
    <w:nsid w:val="2A155DBC"/>
    <w:multiLevelType w:val="hybridMultilevel"/>
    <w:lvl w:ilvl="0">
      <w:lvlJc w:val="left"/>
      <w:lvlText w:val="%1."/>
      <w:numFmt w:val="lowerLetter"/>
      <w:start w:val="3"/>
    </w:lvl>
    <w:lvl w:ilvl="1">
      <w:lvlJc w:val="left"/>
      <w:lvlText w:val="%2."/>
      <w:numFmt w:val="lowerRoman"/>
      <w:start w:val="1"/>
    </w:lvl>
  </w:abstractNum>
  <w:abstractNum w:abstractNumId="69">
    <w:nsid w:val="1D9F6E5F"/>
    <w:multiLevelType w:val="hybridMultilevel"/>
    <w:lvl w:ilvl="0">
      <w:lvlJc w:val="left"/>
      <w:lvlText w:val="%1."/>
      <w:numFmt w:val="lowerLetter"/>
      <w:start w:val="1"/>
    </w:lvl>
    <w:lvl w:ilvl="1">
      <w:lvlJc w:val="left"/>
      <w:lvlText w:val="(%2)"/>
      <w:numFmt w:val="decimal"/>
      <w:start w:val="60"/>
    </w:lvl>
  </w:abstractNum>
  <w:abstractNum w:abstractNumId="70">
    <w:nsid w:val="97E1B4E"/>
    <w:multiLevelType w:val="hybridMultilevel"/>
    <w:lvl w:ilvl="0">
      <w:lvlJc w:val="left"/>
      <w:lvlText w:val="%1."/>
      <w:numFmt w:val="lowerLetter"/>
      <w:start w:val="6"/>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1."/>
      <w:numFmt w:val="lowerLetter"/>
      <w:start w:val="1"/>
    </w:lvl>
  </w:abstractNum>
  <w:abstractNum w:abstractNumId="73">
    <w:nsid w:val="53584BCB"/>
    <w:multiLevelType w:val="hybridMultilevel"/>
    <w:lvl w:ilvl="0">
      <w:lvlJc w:val="left"/>
      <w:lvlText w:val="%1."/>
      <w:numFmt w:val="lowerLetter"/>
      <w:start w:val="2"/>
    </w:lvl>
    <w:lvl w:ilvl="1">
      <w:lvlJc w:val="left"/>
      <w:lvlText w:val="%2."/>
      <w:numFmt w:val="lowerRoman"/>
      <w:start w:val="1"/>
    </w:lvl>
  </w:abstractNum>
  <w:abstractNum w:abstractNumId="74">
    <w:nsid w:val="415E286C"/>
    <w:multiLevelType w:val="hybridMultilevel"/>
    <w:lvl w:ilvl="0">
      <w:lvlJc w:val="left"/>
      <w:lvlText w:val="%1."/>
      <w:numFmt w:val="lowerLetter"/>
      <w:start w:val="4"/>
    </w:lvl>
  </w:abstractNum>
  <w:abstractNum w:abstractNumId="75">
    <w:nsid w:val="7C58FD05"/>
    <w:multiLevelType w:val="hybridMultilevel"/>
    <w:lvl w:ilvl="0">
      <w:lvlJc w:val="left"/>
      <w:lvlText w:val="%1."/>
      <w:numFmt w:val="lowerLetter"/>
      <w:start w:val="1"/>
    </w:lvl>
  </w:abstractNum>
  <w:abstractNum w:abstractNumId="76">
    <w:nsid w:val="23D86AAC"/>
    <w:multiLevelType w:val="hybridMultilevel"/>
    <w:lvl w:ilvl="0">
      <w:lvlJc w:val="left"/>
      <w:lvlText w:val="%1."/>
      <w:numFmt w:val="lowerLetter"/>
      <w:start w:val="11"/>
    </w:lvl>
  </w:abstractNum>
  <w:abstractNum w:abstractNumId="77">
    <w:nsid w:val="45E6D486"/>
    <w:multiLevelType w:val="hybridMultilevel"/>
    <w:lvl w:ilvl="0">
      <w:lvlJc w:val="left"/>
      <w:lvlText w:val="%1."/>
      <w:numFmt w:val="lowerLetter"/>
      <w:start w:val="1"/>
    </w:lvl>
  </w:abstractNum>
  <w:abstractNum w:abstractNumId="78">
    <w:nsid w:val="5C10FE21"/>
    <w:multiLevelType w:val="hybridMultilevel"/>
    <w:lvl w:ilvl="0">
      <w:lvlJc w:val="left"/>
      <w:lvlText w:val="%1."/>
      <w:numFmt w:val="lowerLetter"/>
      <w:start w:val="4"/>
    </w:lvl>
  </w:abstractNum>
  <w:abstractNum w:abstractNumId="79">
    <w:nsid w:val="E7FFA2B"/>
    <w:multiLevelType w:val="hybridMultilevel"/>
    <w:lvl w:ilvl="0">
      <w:lvlJc w:val="left"/>
      <w:lvlText w:val="%1."/>
      <w:numFmt w:val="lowerLetter"/>
      <w:start w:val="1"/>
    </w:lvl>
    <w:lvl w:ilvl="1">
      <w:lvlJc w:val="left"/>
      <w:lvlText w:val="%2."/>
      <w:numFmt w:val="lowerLetter"/>
      <w:start w:val="9"/>
    </w:lvl>
  </w:abstractNum>
  <w:abstractNum w:abstractNumId="80">
    <w:nsid w:val="3C5991AA"/>
    <w:multiLevelType w:val="hybridMultilevel"/>
    <w:lvl w:ilvl="0">
      <w:lvlJc w:val="left"/>
      <w:lvlText w:val="%1."/>
      <w:numFmt w:val="lowerRoman"/>
      <w:start w:val="2"/>
    </w:lvl>
  </w:abstractNum>
  <w:abstractNum w:abstractNumId="81">
    <w:nsid w:val="4BD8591A"/>
    <w:multiLevelType w:val="hybridMultilevel"/>
    <w:lvl w:ilvl="0">
      <w:lvlJc w:val="left"/>
      <w:lvlText w:val="%1."/>
      <w:numFmt w:val="lowerLetter"/>
      <w:start w:val="2"/>
    </w:lvl>
  </w:abstractNum>
  <w:abstractNum w:abstractNumId="82">
    <w:nsid w:val="78DF6A55"/>
    <w:multiLevelType w:val="hybridMultilevel"/>
    <w:lvl w:ilvl="0">
      <w:lvlJc w:val="left"/>
      <w:lvlText w:val="%1."/>
      <w:numFmt w:val="lowerLetter"/>
      <w:start w:val="4"/>
    </w:lvl>
  </w:abstractNum>
  <w:abstractNum w:abstractNumId="83">
    <w:nsid w:val="39B7AAA2"/>
    <w:multiLevelType w:val="hybridMultilevel"/>
    <w:lvl w:ilvl="0">
      <w:lvlJc w:val="left"/>
      <w:lvlText w:val="%1."/>
      <w:numFmt w:val="lowerLetter"/>
      <w:start w:val="1"/>
    </w:lvl>
  </w:abstractNum>
  <w:abstractNum w:abstractNumId="84">
    <w:nsid w:val="2B0D8DBE"/>
    <w:multiLevelType w:val="hybridMultilevel"/>
    <w:lvl w:ilvl="0">
      <w:lvlJc w:val="left"/>
      <w:lvlText w:val="%1."/>
      <w:numFmt w:val="lowerLetter"/>
      <w:start w:val="5"/>
    </w:lvl>
  </w:abstractNum>
  <w:abstractNum w:abstractNumId="85">
    <w:nsid w:val="6C80EC70"/>
    <w:multiLevelType w:val="hybridMultilevel"/>
    <w:lvl w:ilvl="0">
      <w:lvlJc w:val="left"/>
      <w:lvlText w:val="%1."/>
      <w:numFmt w:val="lowerLetter"/>
      <w:start w:val="1"/>
    </w:lvl>
    <w:lvl w:ilvl="1">
      <w:lvlJc w:val="left"/>
      <w:lvlText w:val="(%2)"/>
      <w:numFmt w:val="lowerRoman"/>
      <w:start w:val="2"/>
    </w:lvl>
  </w:abstractNum>
  <w:abstractNum w:abstractNumId="86">
    <w:nsid w:val="379E21B5"/>
    <w:multiLevelType w:val="hybridMultilevel"/>
    <w:lvl w:ilvl="0">
      <w:lvlJc w:val="left"/>
      <w:lvlText w:val="%1."/>
      <w:numFmt w:val="lowerLetter"/>
      <w:start w:val="1"/>
    </w:lvl>
  </w:abstractNum>
  <w:abstractNum w:abstractNumId="87">
    <w:nsid w:val="69E373"/>
    <w:multiLevelType w:val="hybridMultilevel"/>
    <w:lvl w:ilvl="0">
      <w:lvlJc w:val="left"/>
      <w:lvlText w:val="%1."/>
      <w:numFmt w:val="lowerLetter"/>
      <w:start w:val="1"/>
    </w:lvl>
  </w:abstractNum>
  <w:abstractNum w:abstractNumId="88">
    <w:nsid w:val="2C27173B"/>
    <w:multiLevelType w:val="hybridMultilevel"/>
    <w:lvl w:ilvl="0">
      <w:lvlJc w:val="left"/>
      <w:lvlText w:val="(%1)"/>
      <w:numFmt w:val="upperLetter"/>
      <w:start w:val="5"/>
    </w:lvl>
  </w:abstractNum>
  <w:abstractNum w:abstractNumId="89">
    <w:nsid w:val="4C9B0904"/>
    <w:multiLevelType w:val="hybridMultilevel"/>
    <w:lvl w:ilvl="0">
      <w:lvlJc w:val="left"/>
      <w:lvlText w:val="%1."/>
      <w:numFmt w:val="lowerLetter"/>
      <w:start w:val="3"/>
    </w:lvl>
    <w:lvl w:ilvl="1">
      <w:lvlJc w:val="left"/>
      <w:lvlText w:val="%2."/>
      <w:numFmt w:val="lowerRoman"/>
      <w:start w:val="1"/>
    </w:lvl>
  </w:abstractNum>
  <w:abstractNum w:abstractNumId="90">
    <w:nsid w:val="6AA7B75C"/>
    <w:multiLevelType w:val="hybridMultilevel"/>
    <w:lvl w:ilvl="0">
      <w:lvlJc w:val="left"/>
      <w:lvlText w:val="%1."/>
      <w:numFmt w:val="lowerLetter"/>
      <w:start w:val="4"/>
    </w:lvl>
  </w:abstractNum>
  <w:abstractNum w:abstractNumId="91">
    <w:nsid w:val="1DF029D3"/>
    <w:multiLevelType w:val="hybridMultilevel"/>
    <w:lvl w:ilvl="0">
      <w:lvlJc w:val="left"/>
      <w:lvlText w:val="%1."/>
      <w:numFmt w:val="lowerLetter"/>
      <w:start w:val="1"/>
    </w:lvl>
    <w:lvl w:ilvl="1">
      <w:lvlJc w:val="left"/>
      <w:lvlText w:val="%2."/>
      <w:numFmt w:val="lowerRoman"/>
      <w:start w:val="1"/>
    </w:lvl>
  </w:abstractNum>
  <w:abstractNum w:abstractNumId="92">
    <w:nsid w:val="5675FF36"/>
    <w:multiLevelType w:val="hybridMultilevel"/>
    <w:lvl w:ilvl="0">
      <w:lvlJc w:val="left"/>
      <w:lvlText w:val="%1."/>
      <w:numFmt w:val="lowerLetter"/>
      <w:start w:val="3"/>
    </w:lvl>
  </w:abstractNum>
  <w:abstractNum w:abstractNumId="93">
    <w:nsid w:val="3DD15094"/>
    <w:multiLevelType w:val="hybridMultilevel"/>
    <w:lvl w:ilvl="0">
      <w:lvlJc w:val="left"/>
      <w:lvlText w:val="%1."/>
      <w:numFmt w:val="lowerLetter"/>
      <w:start w:val="1"/>
    </w:lvl>
  </w:abstractNum>
  <w:abstractNum w:abstractNumId="94">
    <w:nsid w:val="3DB012B3"/>
    <w:multiLevelType w:val="hybridMultilevel"/>
    <w:lvl w:ilvl="0">
      <w:lvlJc w:val="left"/>
      <w:lvlText w:val="%1."/>
      <w:numFmt w:val="lowerLetter"/>
      <w:start w:val="3"/>
    </w:lvl>
  </w:abstractNum>
  <w:abstractNum w:abstractNumId="95">
    <w:nsid w:val="2708C9AF"/>
    <w:multiLevelType w:val="hybridMultilevel"/>
    <w:lvl w:ilvl="0">
      <w:lvlJc w:val="left"/>
      <w:lvlText w:val="%1."/>
      <w:numFmt w:val="lowerLetter"/>
      <w:start w:val="1"/>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2"/>
    </w:lvl>
    <w:lvl w:ilvl="1">
      <w:lvlJc w:val="left"/>
      <w:lvlText w:val="%2."/>
      <w:numFmt w:val="lowerRoman"/>
      <w:start w:val="1"/>
    </w:lvl>
  </w:abstractNum>
  <w:abstractNum w:abstractNumId="98">
    <w:nsid w:val="4F97E3E4"/>
    <w:multiLevelType w:val="hybridMultilevel"/>
    <w:lvl w:ilvl="0">
      <w:lvlJc w:val="left"/>
      <w:lvlText w:val="%1."/>
      <w:numFmt w:val="lowerLetter"/>
      <w:start w:val="4"/>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1."/>
      <w:numFmt w:val="lowerLetter"/>
      <w:start w:val="11"/>
    </w:lvl>
  </w:abstractNum>
  <w:abstractNum w:abstractNumId="101">
    <w:nsid w:val="5915FF32"/>
    <w:multiLevelType w:val="hybridMultilevel"/>
    <w:lvl w:ilvl="0">
      <w:lvlJc w:val="left"/>
      <w:lvlText w:val="%1."/>
      <w:numFmt w:val="lowerLetter"/>
      <w:start w:val="1"/>
    </w:lvl>
  </w:abstractNum>
  <w:abstractNum w:abstractNumId="102">
    <w:nsid w:val="56438D15"/>
    <w:multiLevelType w:val="hybridMultilevel"/>
    <w:lvl w:ilvl="0">
      <w:lvlJc w:val="left"/>
      <w:lvlText w:val="%1."/>
      <w:numFmt w:val="lowerLetter"/>
      <w:start w:val="3"/>
    </w:lvl>
  </w:abstractNum>
  <w:abstractNum w:abstractNumId="103">
    <w:nsid w:val="519E3149"/>
    <w:multiLevelType w:val="hybridMultilevel"/>
    <w:lvl w:ilvl="0">
      <w:lvlJc w:val="left"/>
      <w:lvlText w:val="%1."/>
      <w:numFmt w:val="lowerLetter"/>
      <w:start w:val="1"/>
    </w:lvl>
    <w:lvl w:ilvl="1">
      <w:lvlJc w:val="left"/>
      <w:lvlText w:val="%2."/>
      <w:numFmt w:val="lowerLetter"/>
      <w:start w:val="9"/>
    </w:lvl>
  </w:abstractNum>
  <w:abstractNum w:abstractNumId="104">
    <w:nsid w:val="2C6E4AFD"/>
    <w:multiLevelType w:val="hybridMultilevel"/>
    <w:lvl w:ilvl="0">
      <w:lvlJc w:val="left"/>
      <w:lvlText w:val="%1."/>
      <w:numFmt w:val="lowerRoman"/>
      <w:start w:val="2"/>
    </w:lvl>
  </w:abstractNum>
  <w:abstractNum w:abstractNumId="105">
    <w:nsid w:val="17A1B582"/>
    <w:multiLevelType w:val="hybridMultilevel"/>
    <w:lvl w:ilvl="0">
      <w:lvlJc w:val="left"/>
      <w:lvlText w:val="%1."/>
      <w:numFmt w:val="lowerLetter"/>
      <w:start w:val="2"/>
    </w:lvl>
  </w:abstractNum>
  <w:abstractNum w:abstractNumId="106">
    <w:nsid w:val="4DF72E4E"/>
    <w:multiLevelType w:val="hybridMultilevel"/>
    <w:lvl w:ilvl="0">
      <w:lvlJc w:val="left"/>
      <w:lvlText w:val="%1."/>
      <w:numFmt w:val="lowerLetter"/>
      <w:start w:val="4"/>
    </w:lvl>
  </w:abstractNum>
  <w:abstractNum w:abstractNumId="107">
    <w:nsid w:val="5046B5A9"/>
    <w:multiLevelType w:val="hybridMultilevel"/>
    <w:lvl w:ilvl="0">
      <w:lvlJc w:val="left"/>
      <w:lvlText w:val="%1."/>
      <w:numFmt w:val="lowerLetter"/>
      <w:start w:val="1"/>
    </w:lvl>
  </w:abstractNum>
  <w:abstractNum w:abstractNumId="108">
    <w:nsid w:val="5D888A08"/>
    <w:multiLevelType w:val="hybridMultilevel"/>
    <w:lvl w:ilvl="0">
      <w:lvlJc w:val="left"/>
      <w:lvlText w:val="%1."/>
      <w:numFmt w:val="lowerLetter"/>
      <w:start w:val="4"/>
    </w:lvl>
  </w:abstractNum>
  <w:abstractNum w:abstractNumId="109">
    <w:nsid w:val="2A082C70"/>
    <w:multiLevelType w:val="hybridMultilevel"/>
    <w:lvl w:ilvl="0">
      <w:lvlJc w:val="left"/>
      <w:lvlText w:val="%1."/>
      <w:numFmt w:val="lowerLetter"/>
      <w:start w:val="5"/>
    </w:lvl>
  </w:abstractNum>
  <w:abstractNum w:abstractNumId="110">
    <w:nsid w:val="5EC6AFD4"/>
    <w:multiLevelType w:val="hybridMultilevel"/>
    <w:lvl w:ilvl="0">
      <w:lvlJc w:val="left"/>
      <w:lvlText w:val="%1."/>
      <w:numFmt w:val="lowerLetter"/>
      <w:start w:val="1"/>
    </w:lvl>
  </w:abstractNum>
  <w:abstractNum w:abstractNumId="111">
    <w:nsid w:val="19E21BB2"/>
    <w:multiLevelType w:val="hybridMultilevel"/>
    <w:lvl w:ilvl="0">
      <w:lvlJc w:val="left"/>
      <w:lvlText w:val="%1."/>
      <w:numFmt w:val="lowerLetter"/>
      <w:start w:val="1"/>
    </w:lvl>
  </w:abstractNum>
  <w:abstractNum w:abstractNumId="112">
    <w:nsid w:val="75E0858A"/>
    <w:multiLevelType w:val="hybridMultilevel"/>
    <w:lvl w:ilvl="0">
      <w:lvlJc w:val="left"/>
      <w:lvlText w:val="%1."/>
      <w:numFmt w:val="lowerLetter"/>
      <w:start w:val="4"/>
    </w:lvl>
  </w:abstractNum>
  <w:abstractNum w:abstractNumId="113">
    <w:nsid w:val="57A61A29"/>
    <w:multiLevelType w:val="hybridMultilevel"/>
    <w:lvl w:ilvl="0">
      <w:lvlJc w:val="left"/>
      <w:lvlText w:val="%1."/>
      <w:numFmt w:val="lowerLetter"/>
      <w:start w:val="7"/>
    </w:lvl>
  </w:abstractNum>
  <w:abstractNum w:abstractNumId="114">
    <w:nsid w:val="5399C654"/>
    <w:multiLevelType w:val="hybridMultilevel"/>
    <w:lvl w:ilvl="0">
      <w:lvlJc w:val="left"/>
      <w:lvlText w:val="%1."/>
      <w:numFmt w:val="lowerLetter"/>
      <w:start w:val="1"/>
    </w:lvl>
  </w:abstractNum>
  <w:abstractNum w:abstractNumId="115">
    <w:nsid w:val="20EE1348"/>
    <w:multiLevelType w:val="hybridMultilevel"/>
    <w:lvl w:ilvl="0">
      <w:lvlJc w:val="left"/>
      <w:lvlText w:val="(%1)"/>
      <w:numFmt w:val="upperLetter"/>
      <w:start w:val="5"/>
    </w:lvl>
  </w:abstractNum>
  <w:abstractNum w:abstractNumId="116">
    <w:nsid w:val="4427069A"/>
    <w:multiLevelType w:val="hybridMultilevel"/>
    <w:lvl w:ilvl="0">
      <w:lvlJc w:val="left"/>
      <w:lvlText w:val="%1."/>
      <w:numFmt w:val="lowerLetter"/>
      <w:start w:val="3"/>
    </w:lvl>
  </w:abstractNum>
  <w:abstractNum w:abstractNumId="117">
    <w:nsid w:val="B37E80A"/>
    <w:multiLevelType w:val="hybridMultilevel"/>
    <w:lvl w:ilvl="0">
      <w:lvlJc w:val="left"/>
      <w:lvlText w:val="%1."/>
      <w:numFmt w:val="lowerRoman"/>
      <w:start w:val="1"/>
    </w:lvl>
  </w:abstractNum>
  <w:abstractNum w:abstractNumId="118">
    <w:nsid w:val="2157F6BC"/>
    <w:multiLevelType w:val="hybridMultilevel"/>
    <w:lvl w:ilvl="0">
      <w:lvlJc w:val="left"/>
      <w:lvlText w:val="%1."/>
      <w:numFmt w:val="lowerLetter"/>
      <w:start w:val="4"/>
    </w:lvl>
  </w:abstractNum>
  <w:abstractNum w:abstractNumId="119">
    <w:nsid w:val="704E1DD5"/>
    <w:multiLevelType w:val="hybridMultilevel"/>
    <w:lvl w:ilvl="0">
      <w:lvlJc w:val="left"/>
      <w:lvlText w:val="%1."/>
      <w:numFmt w:val="lowerLetter"/>
      <w:start w:val="1"/>
    </w:lvl>
  </w:abstractNum>
  <w:abstractNum w:abstractNumId="120">
    <w:nsid w:val="57D2F10E"/>
    <w:multiLevelType w:val="hybridMultilevel"/>
    <w:lvl w:ilvl="0">
      <w:lvlJc w:val="left"/>
      <w:lvlText w:val="%1."/>
      <w:numFmt w:val="lowerRoman"/>
      <w:start w:val="1"/>
    </w:lvl>
  </w:abstractNum>
  <w:abstractNum w:abstractNumId="121">
    <w:nsid w:val="BFFAE18"/>
    <w:multiLevelType w:val="hybridMultilevel"/>
    <w:lvl w:ilvl="0">
      <w:lvlJc w:val="left"/>
      <w:lvlText w:val="%1."/>
      <w:numFmt w:val="lowerLetter"/>
      <w:start w:val="3"/>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Letter"/>
      <w:start w:val="5"/>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lowerLetter"/>
      <w:start w:val="1"/>
    </w:lvl>
    <w:lvl w:ilvl="1">
      <w:lvlJc w:val="left"/>
      <w:lvlText w:val="%2."/>
      <w:numFmt w:val="lowerLetter"/>
      <w:start w:val="9"/>
    </w:lvl>
  </w:abstractNum>
  <w:abstractNum w:abstractNumId="126">
    <w:nsid w:val="5551B9F3"/>
    <w:multiLevelType w:val="hybridMultilevel"/>
    <w:lvl w:ilvl="0">
      <w:lvlJc w:val="left"/>
      <w:lvlText w:val="%1"/>
      <w:numFmt w:val="lowerLetter"/>
      <w:start w:val="1"/>
    </w:lvl>
    <w:lvl w:ilvl="1">
      <w:lvlJc w:val="left"/>
      <w:lvlText w:val="%2."/>
      <w:numFmt w:val="lowerRoman"/>
      <w:start w:val="2"/>
    </w:lvl>
  </w:abstractNum>
  <w:abstractNum w:abstractNumId="127">
    <w:nsid w:val="24F6AB8E"/>
    <w:multiLevelType w:val="hybridMultilevel"/>
    <w:lvl w:ilvl="0">
      <w:lvlJc w:val="left"/>
      <w:lvlText w:val="%1."/>
      <w:numFmt w:val="lowerLetter"/>
      <w:start w:val="3"/>
    </w:lvl>
    <w:lvl w:ilvl="1">
      <w:lvlJc w:val="left"/>
      <w:lvlText w:val="%2"/>
      <w:numFmt w:val="lowerRoman"/>
      <w:start w:val="1"/>
    </w:lvl>
  </w:abstractNum>
  <w:abstractNum w:abstractNumId="128">
    <w:nsid w:val="634C574C"/>
    <w:multiLevelType w:val="hybridMultilevel"/>
    <w:lvl w:ilvl="0">
      <w:lvlJc w:val="left"/>
      <w:lvlText w:val="%1."/>
      <w:numFmt w:val="lowerLetter"/>
      <w:start w:val="1"/>
    </w:lvl>
  </w:abstractNum>
  <w:abstractNum w:abstractNumId="129">
    <w:nsid w:val="24E99DD7"/>
    <w:multiLevelType w:val="hybridMultilevel"/>
    <w:lvl w:ilvl="0">
      <w:lvlJc w:val="left"/>
      <w:lvlText w:val="%1."/>
      <w:numFmt w:val="lowerLetter"/>
      <w:start w:val="2"/>
    </w:lvl>
  </w:abstractNum>
  <w:abstractNum w:abstractNumId="130">
    <w:nsid w:val="2A31B62D"/>
    <w:multiLevelType w:val="hybridMultilevel"/>
    <w:lvl w:ilvl="0">
      <w:lvlJc w:val="left"/>
      <w:lvlText w:val="%1."/>
      <w:numFmt w:val="lowerLetter"/>
      <w:start w:val="13"/>
    </w:lvl>
  </w:abstractNum>
  <w:abstractNum w:abstractNumId="131">
    <w:nsid w:val="1849C29B"/>
    <w:multiLevelType w:val="hybridMultilevel"/>
    <w:lvl w:ilvl="0">
      <w:lvlJc w:val="left"/>
      <w:lvlText w:val="%1."/>
      <w:numFmt w:val="lowerLetter"/>
      <w:start w:val="1"/>
    </w:lvl>
  </w:abstractNum>
  <w:abstractNum w:abstractNumId="132">
    <w:nsid w:val="7DFF9D09"/>
    <w:multiLevelType w:val="hybridMultilevel"/>
    <w:lvl w:ilvl="0">
      <w:lvlJc w:val="left"/>
      <w:lvlText w:val="%1."/>
      <w:numFmt w:val="lowerLetter"/>
      <w:start w:val="7"/>
    </w:lvl>
  </w:abstractNum>
  <w:abstractNum w:abstractNumId="133">
    <w:nsid w:val="754342"/>
    <w:multiLevelType w:val="hybridMultilevel"/>
    <w:lvl w:ilvl="0">
      <w:lvlJc w:val="left"/>
      <w:lvlText w:val="%1."/>
      <w:numFmt w:val="lowerLetter"/>
      <w:start w:val="1"/>
    </w:lvl>
    <w:lvl w:ilvl="1">
      <w:lvlJc w:val="left"/>
      <w:lvlText w:val="%2."/>
      <w:numFmt w:val="lowerRoman"/>
      <w:start w:val="1"/>
    </w:lvl>
  </w:abstractNum>
  <w:abstractNum w:abstractNumId="134">
    <w:nsid w:val="69E7F3E5"/>
    <w:multiLevelType w:val="hybridMultilevel"/>
    <w:lvl w:ilvl="0">
      <w:lvlJc w:val="left"/>
      <w:lvlText w:val="%1."/>
      <w:numFmt w:val="lowerLetter"/>
      <w:start w:val="2"/>
    </w:lvl>
  </w:abstractNum>
  <w:abstractNum w:abstractNumId="135">
    <w:nsid w:val="2A6DE806"/>
    <w:multiLevelType w:val="hybridMultilevel"/>
    <w:lvl w:ilvl="0">
      <w:lvlJc w:val="left"/>
      <w:lvlText w:val="%1."/>
      <w:numFmt w:val="lowerLetter"/>
      <w:start w:val="1"/>
    </w:lvl>
  </w:abstractNum>
  <w:abstractNum w:abstractNumId="136">
    <w:nsid w:val="1816F8C4"/>
    <w:multiLevelType w:val="hybridMultilevel"/>
    <w:lvl w:ilvl="0">
      <w:lvlJc w:val="left"/>
      <w:lvlText w:val="%1."/>
      <w:numFmt w:val="lowerLetter"/>
      <w:start w:val="5"/>
    </w:lvl>
  </w:abstractNum>
  <w:abstractNum w:abstractNumId="137">
    <w:nsid w:val="37DF2233"/>
    <w:multiLevelType w:val="hybridMultilevel"/>
    <w:lvl w:ilvl="0">
      <w:lvlJc w:val="left"/>
      <w:lvlText w:val="%1."/>
      <w:numFmt w:val="lowerLetter"/>
      <w:start w:val="1"/>
    </w:lvl>
  </w:abstractNum>
  <w:abstractNum w:abstractNumId="138">
    <w:nsid w:val="7AB49DAF"/>
    <w:multiLevelType w:val="hybridMultilevel"/>
    <w:lvl w:ilvl="0">
      <w:lvlJc w:val="left"/>
      <w:lvlText w:val="%1."/>
      <w:numFmt w:val="lowerLetter"/>
      <w:start w:val="2"/>
    </w:lvl>
  </w:abstractNum>
  <w:abstractNum w:abstractNumId="139">
    <w:nsid w:val="759F82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0">
    <w:nsid w:val="61E74EA3"/>
    <w:multiLevelType w:val="hybridMultilevel"/>
    <w:lvl w:ilvl="0">
      <w:lvlJc w:val="left"/>
      <w:lvlText w:val="(%1)"/>
      <w:numFmt w:val="upperLetter"/>
      <w:start w:val="1"/>
    </w:lvl>
  </w:abstractNum>
  <w:abstractNum w:abstractNumId="141">
    <w:nsid w:val="597B4D84"/>
    <w:multiLevelType w:val="hybridMultilevel"/>
    <w:lvl w:ilvl="0">
      <w:lvlJc w:val="left"/>
      <w:lvlText w:val="%1"/>
      <w:numFmt w:val="decimal"/>
      <w:start w:val="1"/>
    </w:lvl>
    <w:lvl w:ilvl="1">
      <w:lvlJc w:val="left"/>
      <w:lvlText w:val="%2."/>
      <w:numFmt w:val="lowerLetter"/>
      <w:start w:val="2"/>
    </w:lvl>
  </w:abstractNum>
  <w:abstractNum w:abstractNumId="142">
    <w:nsid w:val="F819E7F"/>
    <w:multiLevelType w:val="hybridMultilevel"/>
    <w:lvl w:ilvl="0">
      <w:lvlJc w:val="left"/>
      <w:lvlText w:val="%1."/>
      <w:numFmt w:val="decimal"/>
      <w:start w:val="3"/>
    </w:lvl>
    <w:lvl w:ilvl="1">
      <w:lvlJc w:val="left"/>
      <w:lvlText w:val="%2."/>
      <w:numFmt w:val="lowerLetter"/>
      <w:start w:val="1"/>
    </w:lvl>
  </w:abstractNum>
  <w:abstractNum w:abstractNumId="143">
    <w:nsid w:val="57C7D42D"/>
    <w:multiLevelType w:val="hybridMultilevel"/>
    <w:lvl w:ilvl="0">
      <w:lvlJc w:val="left"/>
      <w:lvlText w:val="(%1)"/>
      <w:numFmt w:val="upperLetter"/>
      <w:start w:val="2"/>
    </w:lvl>
  </w:abstractNum>
  <w:abstractNum w:abstractNumId="144">
    <w:nsid w:val="312167AD"/>
    <w:multiLevelType w:val="hybridMultilevel"/>
    <w:lvl w:ilvl="0">
      <w:lvlJc w:val="left"/>
      <w:lvlText w:val="%1"/>
      <w:numFmt w:val="decimal"/>
      <w:start w:val="1"/>
    </w:lvl>
    <w:lvl w:ilvl="1">
      <w:lvlJc w:val="left"/>
      <w:lvlText w:val="%2."/>
      <w:numFmt w:val="lowerLetter"/>
      <w:start w:val="3"/>
    </w:lvl>
  </w:abstractNum>
  <w:abstractNum w:abstractNumId="145">
    <w:nsid w:val="631B64D4"/>
    <w:multiLevelType w:val="hybridMultilevel"/>
    <w:lvl w:ilvl="0">
      <w:lvlJc w:val="left"/>
      <w:lvlText w:val="%1."/>
      <w:numFmt w:val="decimal"/>
      <w:start w:val="4"/>
    </w:lvl>
    <w:lvl w:ilvl="1">
      <w:lvlJc w:val="left"/>
      <w:lvlText w:val="%2"/>
      <w:numFmt w:val="lowerLetter"/>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51"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60" Type="http://schemas.openxmlformats.org/officeDocument/2006/relationships/hyperlink" Target="https://www.sec.gov/Archives/edgar/data/0000059478/000005947822000068/lly-20211231.htm" TargetMode="External"/><Relationship Id="rId142" Type="http://schemas.openxmlformats.org/officeDocument/2006/relationships/hyperlink" Target="https://www.sec.gov/Archives/edgar/data/59478/000005947822000138/articlesofincorporationlly.htm" TargetMode="External"/><Relationship Id="rId143" Type="http://schemas.openxmlformats.org/officeDocument/2006/relationships/hyperlink" Target="https://www.sec.gov/Archives/edgar/data/59478/000005947822000138/bylaws.htm" TargetMode="External"/><Relationship Id="rId144" Type="http://schemas.openxmlformats.org/officeDocument/2006/relationships/hyperlink" Target="http://www.sec.gov/Archives/edgar/data/59478/000005947813000010/exhibit41-indenturedatedfe.htm" TargetMode="External"/><Relationship Id="rId145" Type="http://schemas.openxmlformats.org/officeDocument/2006/relationships/hyperlink" Target="http://www.sec.gov/Archives/edgar/data/59478/000095015209001897/c49534exv4w2.htm" TargetMode="External"/><Relationship Id="rId146" Type="http://schemas.openxmlformats.org/officeDocument/2006/relationships/hyperlink" Target="https://www.sec.gov/Archives/edgar/data/59478/000005947820000057/lly-20191231x10kexhibit43.htm" TargetMode="External"/><Relationship Id="rId147" Type="http://schemas.openxmlformats.org/officeDocument/2006/relationships/hyperlink" Target="https://www.sec.gov/Archives/edgar/data/59478/000005947820000057/lly-20191231x10kexhibit44.htm" TargetMode="External"/><Relationship Id="rId148" Type="http://schemas.openxmlformats.org/officeDocument/2006/relationships/hyperlink" Target="https://www.sec.gov/Archives/edgar/data/59478/000005947820000057/lly-20191231x10kexhibit45.htm" TargetMode="External"/><Relationship Id="rId149" Type="http://schemas.openxmlformats.org/officeDocument/2006/relationships/hyperlink" Target="https://www.sec.gov/Archives/edgar/data/59478/000005947820000057/lly-20191231x10kexhibit46.htm" TargetMode="External"/><Relationship Id="rId150" Type="http://schemas.openxmlformats.org/officeDocument/2006/relationships/hyperlink" Target="https://www.sec.gov/Archives/edgar/data/59478/000005947820000057/lly-20191231x10kexhibit47.htm" TargetMode="External"/><Relationship Id="rId152" Type="http://schemas.openxmlformats.org/officeDocument/2006/relationships/hyperlink" Target="https://www.sec.gov/Archives/edgar/data/59478/000005947822000068/lly-20211231x10kexhibit48.htm" TargetMode="External"/><Relationship Id="rId153" Type="http://schemas.openxmlformats.org/officeDocument/2006/relationships/hyperlink" Target="https://www.sec.gov/Archives/edgar/data/59478/000005947822000068/lly-20211231x10kexhibit49.htm" TargetMode="External"/><Relationship Id="rId154" Type="http://schemas.openxmlformats.org/officeDocument/2006/relationships/hyperlink" Target="http://www.sec.gov/Archives/edgar/data/59478/000005947818000188/lly-6302018x10qxexhibit101.htm" TargetMode="External"/><Relationship Id="rId155" Type="http://schemas.openxmlformats.org/officeDocument/2006/relationships/hyperlink" Target="https://www.sec.gov/Archives/edgar/data/59478/000005947814000078/lly-20131231x10kexhibit105.htm" TargetMode="External"/><Relationship Id="rId156" Type="http://schemas.openxmlformats.org/officeDocument/2006/relationships/hyperlink" Target="https://www.sec.gov/Archives/edgar/data/59478/000005947817000183/lly-6302017x10qxexhibit10.htm" TargetMode="External"/><Relationship Id="rId157" Type="http://schemas.openxmlformats.org/officeDocument/2006/relationships/hyperlink" Target="https://www.sec.gov/Archives/edgar/data/0000059478/000005947821000083/lly-20201231x10kexhibit1014.htm" TargetMode="External"/><Relationship Id="rId158" Type="http://schemas.openxmlformats.org/officeDocument/2006/relationships/hyperlink" Target="https://www.sec.gov/Archives/edgar/data/59478/000005947822000068/lly-20211231x10kexhibit1017.htm" TargetMode="External"/><Relationship Id="rId159" Type="http://schemas.openxmlformats.org/officeDocument/2006/relationships/hyperlink" Target="https://www.sec.gov/Archives/edgar/data/0000059478/000005947821000083/lly-20201231x10kexhibit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2023-02-22T09:33:09Z</dcterms:created>
  <dcterms:modified xsi:type="dcterms:W3CDTF">2023-02-22T09:33:09Z</dcterms:modified>
</cp:coreProperties>
</file>