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9" w:lineRule="exact"/>
        <w:rPr>
          <w:sz w:val="24"/>
          <w:szCs w:val="24"/>
          <w:color w:val="auto"/>
        </w:rPr>
      </w:pPr>
    </w:p>
    <w:p>
      <w:pPr>
        <w:jc w:val="center"/>
        <w:ind w:right="-199"/>
        <w:spacing w:after="0"/>
        <w:rPr>
          <w:sz w:val="20"/>
          <w:szCs w:val="20"/>
          <w:color w:val="auto"/>
        </w:rPr>
      </w:pPr>
      <w:r>
        <w:rPr>
          <w:rFonts w:ascii="Arial" w:cs="Arial" w:eastAsia="Arial" w:hAnsi="Arial"/>
          <w:sz w:val="20"/>
          <w:szCs w:val="20"/>
          <w:color w:val="auto"/>
        </w:rPr>
        <w:t>Washington, D.C. 20549</w:t>
      </w:r>
    </w:p>
    <w:p>
      <w:pPr>
        <w:spacing w:after="0" w:line="362"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right="2580" w:firstLine="8"/>
        <w:spacing w:after="0" w:line="261"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2021</w:t>
      </w:r>
      <w:r>
        <w:rPr>
          <w:rFonts w:ascii="Arial" w:cs="Arial" w:eastAsia="Arial" w:hAnsi="Arial"/>
          <w:sz w:val="18"/>
          <w:szCs w:val="18"/>
          <w:color w:val="auto"/>
        </w:rPr>
        <w:t>.</w:t>
      </w:r>
    </w:p>
    <w:p>
      <w:pPr>
        <w:jc w:val="center"/>
        <w:ind w:right="120"/>
        <w:spacing w:after="0"/>
        <w:rPr>
          <w:sz w:val="20"/>
          <w:szCs w:val="20"/>
          <w:color w:val="auto"/>
        </w:rPr>
      </w:pPr>
      <w:r>
        <w:rPr>
          <w:rFonts w:ascii="Arial" w:cs="Arial" w:eastAsia="Arial" w:hAnsi="Arial"/>
          <w:sz w:val="18"/>
          <w:szCs w:val="18"/>
          <w:color w:val="auto"/>
        </w:rPr>
        <w:t>OR</w:t>
      </w:r>
    </w:p>
    <w:p>
      <w:pPr>
        <w:spacing w:after="0" w:line="8" w:lineRule="exact"/>
        <w:rPr>
          <w:sz w:val="24"/>
          <w:szCs w:val="24"/>
          <w:color w:val="auto"/>
        </w:rPr>
      </w:pPr>
    </w:p>
    <w:p>
      <w:pPr>
        <w:ind w:left="180" w:right="2260" w:hanging="179"/>
        <w:spacing w:after="0" w:line="261" w:lineRule="auto"/>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15(d) OF THE SECURITIES EXCHANGE ACT OF 1934</w:t>
      </w:r>
      <w:r>
        <w:rPr>
          <w:rFonts w:ascii="Arial" w:cs="Arial" w:eastAsia="Arial" w:hAnsi="Arial"/>
          <w:sz w:val="18"/>
          <w:szCs w:val="18"/>
          <w:color w:val="auto"/>
        </w:rPr>
        <w:t xml:space="preserve"> For the transition period from __________________________to __________________________</w:t>
      </w:r>
    </w:p>
    <w:p>
      <w:pPr>
        <w:spacing w:after="0" w:line="207"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001-06351</w:t>
      </w:r>
    </w:p>
    <w:p>
      <w:pPr>
        <w:spacing w:after="0" w:line="24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63"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the address of the plan, if different from that of the issuer named below:</w:t>
      </w:r>
    </w:p>
    <w:p>
      <w:pPr>
        <w:spacing w:after="0" w:line="34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The Lilly Employee 401(k) Plan</w:t>
      </w:r>
    </w:p>
    <w:p>
      <w:pPr>
        <w:spacing w:after="0" w:line="5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The Savings Plan for Lilly Affiliate Employees in Puerto Rico</w:t>
      </w:r>
    </w:p>
    <w:p>
      <w:pPr>
        <w:spacing w:after="0" w:line="57" w:lineRule="exact"/>
        <w:rPr>
          <w:sz w:val="24"/>
          <w:szCs w:val="24"/>
          <w:color w:val="auto"/>
        </w:rPr>
      </w:pPr>
    </w:p>
    <w:p>
      <w:pPr>
        <w:spacing w:after="0"/>
        <w:tabs>
          <w:tab w:leader="none" w:pos="3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Eli Lilly and Company</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Lilly Corporate Center</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Indianapolis, Indiana 46285</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REQUIRED INFORMATION</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financial statements shall be furnished for the plan:</w:t>
      </w:r>
    </w:p>
    <w:p>
      <w:pPr>
        <w:spacing w:after="0" w:line="252"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Lilly Employee 401(k) Plan and The Savings Plan for Lilly Affiliate Employees in Puerto Rico (the Plans) are subject to the requirements of the Employee Retirement Income Security Act of 1974 (ERISA). Attached hereto are copies of the most recent financial statements and schedule of the Plans prepared in accordance with the financial reporting requirements of ERISA.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1440" w:right="5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Financial Statements and Supplemental Schedules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2021 and 2020 and for the Year Ended December 31, 2021</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48"/>
        </w:trPr>
        <w:tc>
          <w:tcPr>
            <w:tcW w:w="9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900" w:type="dxa"/>
            <w:vAlign w:val="bottom"/>
            <w:shd w:val="clear" w:color="auto" w:fill="B3B3B3"/>
          </w:tcPr>
          <w:p>
            <w:pPr>
              <w:ind w:left="20"/>
              <w:spacing w:after="0"/>
              <w:rPr>
                <w:sz w:val="20"/>
                <w:szCs w:val="20"/>
                <w:color w:val="auto"/>
              </w:rPr>
            </w:pPr>
            <w:r>
              <w:rPr>
                <w:rFonts w:ascii="Arial" w:cs="Arial" w:eastAsia="Arial" w:hAnsi="Arial"/>
                <w:sz w:val="18"/>
                <w:szCs w:val="18"/>
                <w:color w:val="auto"/>
              </w:rPr>
              <w:t>Financial Statements</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990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- 2021</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- 2020</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Statements of Changes in Net Assets Available for Benefits</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Notes to Financial 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48"/>
        </w:trPr>
        <w:tc>
          <w:tcPr>
            <w:tcW w:w="9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9900" w:type="dxa"/>
            <w:vAlign w:val="bottom"/>
            <w:shd w:val="clear" w:color="auto" w:fill="B3B3B3"/>
          </w:tcPr>
          <w:p>
            <w:pPr>
              <w:ind w:left="20"/>
              <w:spacing w:after="0"/>
              <w:rPr>
                <w:sz w:val="20"/>
                <w:szCs w:val="20"/>
                <w:color w:val="auto"/>
              </w:rPr>
            </w:pPr>
            <w:r>
              <w:rPr>
                <w:rFonts w:ascii="Arial" w:cs="Arial" w:eastAsia="Arial" w:hAnsi="Arial"/>
                <w:sz w:val="18"/>
                <w:szCs w:val="18"/>
                <w:color w:val="auto"/>
              </w:rPr>
              <w:t>Supplemental Schedules</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9900" w:type="dxa"/>
            <w:vAlign w:val="bottom"/>
          </w:tcPr>
          <w:p>
            <w:pPr>
              <w:ind w:left="20"/>
              <w:spacing w:after="0"/>
              <w:rPr>
                <w:sz w:val="20"/>
                <w:szCs w:val="20"/>
                <w:color w:val="auto"/>
              </w:rPr>
            </w:pPr>
            <w:r>
              <w:rPr>
                <w:rFonts w:ascii="Arial" w:cs="Arial" w:eastAsia="Arial" w:hAnsi="Arial"/>
                <w:sz w:val="18"/>
                <w:szCs w:val="18"/>
                <w:color w:val="auto"/>
              </w:rPr>
              <w:t>Schedule of Assets (Held at End of Year) -</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9900" w:type="dxa"/>
            <w:vAlign w:val="bottom"/>
          </w:tcPr>
          <w:p>
            <w:pPr>
              <w:ind w:left="240"/>
              <w:spacing w:after="0"/>
              <w:rPr>
                <w:sz w:val="20"/>
                <w:szCs w:val="20"/>
                <w:color w:val="auto"/>
              </w:rPr>
            </w:pPr>
            <w:r>
              <w:rPr>
                <w:rFonts w:ascii="Arial" w:cs="Arial" w:eastAsia="Arial" w:hAnsi="Arial"/>
                <w:sz w:val="18"/>
                <w:szCs w:val="18"/>
                <w:color w:val="auto"/>
              </w:rPr>
              <w:t>The Lilly Employee 401(k) Plan</w:t>
            </w: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900" w:type="dxa"/>
            <w:vAlign w:val="bottom"/>
          </w:tcPr>
          <w:p>
            <w:pPr>
              <w:ind w:left="20"/>
              <w:spacing w:after="0" w:line="176" w:lineRule="exact"/>
              <w:rPr>
                <w:sz w:val="20"/>
                <w:szCs w:val="20"/>
                <w:color w:val="auto"/>
              </w:rPr>
            </w:pPr>
            <w:r>
              <w:rPr>
                <w:rFonts w:ascii="Arial" w:cs="Arial" w:eastAsia="Arial" w:hAnsi="Arial"/>
                <w:sz w:val="18"/>
                <w:szCs w:val="18"/>
                <w:color w:val="auto"/>
              </w:rPr>
              <w:t>Schedule of Assets (Held at End of Year) -</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9900" w:type="dxa"/>
            <w:vAlign w:val="bottom"/>
          </w:tcPr>
          <w:p>
            <w:pPr>
              <w:ind w:left="240"/>
              <w:spacing w:after="0"/>
              <w:rPr>
                <w:sz w:val="20"/>
                <w:szCs w:val="20"/>
                <w:color w:val="auto"/>
              </w:rPr>
            </w:pPr>
            <w:r>
              <w:rPr>
                <w:rFonts w:ascii="Arial" w:cs="Arial" w:eastAsia="Arial" w:hAnsi="Arial"/>
                <w:sz w:val="18"/>
                <w:szCs w:val="18"/>
                <w:color w:val="auto"/>
              </w:rPr>
              <w:t>The Savings Plan for Lilly Affiliate Employees in Puerto Rico</w:t>
            </w: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Exhibit 23 Consent of Independent Registered Public Accounting Firm</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60"/>
          </w:cols>
          <w:pgMar w:left="760" w:top="954" w:right="7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To the Plan Participants and the Employee Benefits Committee</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212" w:lineRule="exact"/>
        <w:rPr>
          <w:sz w:val="20"/>
          <w:szCs w:val="20"/>
          <w:color w:val="auto"/>
        </w:rPr>
      </w:pPr>
    </w:p>
    <w:p>
      <w:pPr>
        <w:ind w:right="240"/>
        <w:spacing w:after="0" w:line="264" w:lineRule="auto"/>
        <w:rPr>
          <w:sz w:val="20"/>
          <w:szCs w:val="20"/>
          <w:color w:val="auto"/>
        </w:rPr>
      </w:pPr>
      <w:r>
        <w:rPr>
          <w:rFonts w:ascii="Arial" w:cs="Arial" w:eastAsia="Arial" w:hAnsi="Arial"/>
          <w:sz w:val="19"/>
          <w:szCs w:val="19"/>
          <w:color w:val="auto"/>
        </w:rPr>
        <w:t>We have audited the accompanying statements of net assets available for benefits of The Lilly Employee 401(k) Plan and The Savings Plan for Lilly Affiliate Employees in Puerto Rico (the Plans) as of December 31, 2021 and 2020, and the related statements of changes in net assets available for benefits for the year ended December 31, 2021, and the related notes (collectively referred to as the “financial statements”). In our opinion, the financial statements present fairly, in all material respects, the net assets available for benefits of the Plans at December 31, 2021 and 2020, and the changes in their net assets available for benefits for the year ended December 31, 2021, in conformity with U.S. generally accepted accounting principles.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Plans in accordance with the U.S. federal securities laws and the applicable rules and regulations of the Securities and Exchange Commission and the PCAOB.</w:t>
      </w:r>
    </w:p>
    <w:p>
      <w:pPr>
        <w:spacing w:after="0" w:line="171" w:lineRule="exact"/>
        <w:rPr>
          <w:sz w:val="20"/>
          <w:szCs w:val="20"/>
          <w:color w:val="auto"/>
        </w:rPr>
      </w:pPr>
    </w:p>
    <w:p>
      <w:pPr>
        <w:ind w:right="180"/>
        <w:spacing w:after="0" w:line="220" w:lineRule="auto"/>
        <w:rPr>
          <w:sz w:val="20"/>
          <w:szCs w:val="20"/>
          <w:color w:val="auto"/>
        </w:rPr>
      </w:pPr>
      <w:r>
        <w:rPr>
          <w:rFonts w:ascii="Arial" w:cs="Arial" w:eastAsia="Arial" w:hAnsi="Arial"/>
          <w:sz w:val="22"/>
          <w:szCs w:val="2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Plans are not required to have, nor were we engaged to perform, an audit of their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4"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Schedules Required by ERISA</w:t>
      </w:r>
    </w:p>
    <w:p>
      <w:pPr>
        <w:spacing w:after="0" w:line="1" w:lineRule="exact"/>
        <w:rPr>
          <w:sz w:val="20"/>
          <w:szCs w:val="20"/>
          <w:color w:val="auto"/>
        </w:rPr>
      </w:pPr>
    </w:p>
    <w:p>
      <w:pPr>
        <w:ind w:right="80"/>
        <w:spacing w:after="0" w:line="231" w:lineRule="auto"/>
        <w:rPr>
          <w:sz w:val="20"/>
          <w:szCs w:val="20"/>
          <w:color w:val="auto"/>
        </w:rPr>
      </w:pPr>
      <w:r>
        <w:rPr>
          <w:rFonts w:ascii="Arial" w:cs="Arial" w:eastAsia="Arial" w:hAnsi="Arial"/>
          <w:sz w:val="21"/>
          <w:szCs w:val="21"/>
          <w:color w:val="auto"/>
        </w:rPr>
        <w:t>The accompanying supplemental schedules of assets (held at end of year) as of December 31, 2021 (referred to as the “supplemental schedules”) have been subjected to audit procedures performed in conjunction with the audits of the Plans’ financial statements. The information in the supplemental schedules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schedules. In forming our opinion on the information, we evaluated whether such information, including its form and content, is presented in conformity with the Department of Labor’s Rules and Regulations for Reporting and Disclosure under the Employee Retirement Income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62" w:right="339" w:bottom="1440" w:gutter="0" w:footer="0" w:header="0"/>
        </w:sectPr>
      </w:pPr>
    </w:p>
    <w:bookmarkStart w:id="3" w:name="page4"/>
    <w:bookmarkEnd w:id="3"/>
    <w:p>
      <w:pPr>
        <w:spacing w:after="0" w:line="239" w:lineRule="auto"/>
        <w:rPr>
          <w:sz w:val="20"/>
          <w:szCs w:val="20"/>
          <w:color w:val="auto"/>
        </w:rPr>
      </w:pPr>
      <w:r>
        <w:rPr>
          <w:rFonts w:ascii="Arial" w:cs="Arial" w:eastAsia="Arial" w:hAnsi="Arial"/>
          <w:sz w:val="22"/>
          <w:szCs w:val="22"/>
          <w:color w:val="auto"/>
        </w:rPr>
        <w:t>Security Act of 1974. In our opinion, the information is fairly stated, in all material respects, in relation to the financial statements as a whole.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We have served as the Plans’ auditor since at least 1990, but we are unable to determine the specific year.</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June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80"/>
          </w:cols>
          <w:pgMar w:left="320" w:top="888" w:right="1299" w:bottom="1440" w:gutter="0" w:footer="0" w:header="0"/>
        </w:sectPr>
      </w:pPr>
    </w:p>
    <w:bookmarkStart w:id="4" w:name="page5"/>
    <w:bookmarkEnd w:id="4"/>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Lilly Employee 401(k) Plan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Savings Plan for Lilly Affiliate Employees in Puerto Rico</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Statements of Net Assets Available for Benefits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The Lilly Employee</w:t>
            </w:r>
          </w:p>
        </w:tc>
        <w:tc>
          <w:tcPr>
            <w:tcW w:w="480" w:type="dxa"/>
            <w:vAlign w:val="bottom"/>
          </w:tcPr>
          <w:p>
            <w:pPr>
              <w:spacing w:after="0"/>
              <w:rPr>
                <w:sz w:val="17"/>
                <w:szCs w:val="17"/>
                <w:color w:val="auto"/>
              </w:rPr>
            </w:pPr>
          </w:p>
        </w:tc>
        <w:tc>
          <w:tcPr>
            <w:tcW w:w="2280" w:type="dxa"/>
            <w:vAlign w:val="bottom"/>
          </w:tcPr>
          <w:p>
            <w:pPr>
              <w:jc w:val="right"/>
              <w:ind w:right="850"/>
              <w:spacing w:after="0"/>
              <w:rPr>
                <w:sz w:val="20"/>
                <w:szCs w:val="20"/>
                <w:color w:val="auto"/>
              </w:rPr>
            </w:pPr>
            <w:r>
              <w:rPr>
                <w:rFonts w:ascii="Arial" w:cs="Arial" w:eastAsia="Arial" w:hAnsi="Arial"/>
                <w:sz w:val="18"/>
                <w:szCs w:val="18"/>
                <w:b w:val="1"/>
                <w:bCs w:val="1"/>
                <w:color w:val="auto"/>
              </w:rPr>
              <w:t>The Savings</w:t>
            </w: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280" w:type="dxa"/>
            <w:vAlign w:val="bottom"/>
          </w:tcPr>
          <w:p>
            <w:pPr>
              <w:jc w:val="right"/>
              <w:ind w:right="790"/>
              <w:spacing w:after="0" w:line="176" w:lineRule="exact"/>
              <w:rPr>
                <w:sz w:val="20"/>
                <w:szCs w:val="20"/>
                <w:color w:val="auto"/>
              </w:rPr>
            </w:pPr>
            <w:r>
              <w:rPr>
                <w:rFonts w:ascii="Arial" w:cs="Arial" w:eastAsia="Arial" w:hAnsi="Arial"/>
                <w:sz w:val="18"/>
                <w:szCs w:val="18"/>
                <w:b w:val="1"/>
                <w:bCs w:val="1"/>
                <w:color w:val="auto"/>
              </w:rPr>
              <w:t>Plan for Lilly</w:t>
            </w:r>
          </w:p>
        </w:tc>
        <w:tc>
          <w:tcPr>
            <w:tcW w:w="0" w:type="dxa"/>
            <w:vAlign w:val="bottom"/>
          </w:tcPr>
          <w:p>
            <w:pPr>
              <w:spacing w:after="0"/>
              <w:rPr>
                <w:sz w:val="1"/>
                <w:szCs w:val="1"/>
                <w:color w:val="auto"/>
              </w:rPr>
            </w:pPr>
          </w:p>
        </w:tc>
      </w:tr>
      <w:tr>
        <w:trPr>
          <w:trHeight w:val="229"/>
        </w:trPr>
        <w:tc>
          <w:tcPr>
            <w:tcW w:w="50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2440" w:type="dxa"/>
            <w:vAlign w:val="bottom"/>
            <w:gridSpan w:val="2"/>
          </w:tcPr>
          <w:p>
            <w:pPr>
              <w:ind w:left="460"/>
              <w:spacing w:after="0"/>
              <w:rPr>
                <w:sz w:val="20"/>
                <w:szCs w:val="20"/>
                <w:color w:val="auto"/>
              </w:rPr>
            </w:pPr>
            <w:r>
              <w:rPr>
                <w:rFonts w:ascii="Arial" w:cs="Arial" w:eastAsia="Arial" w:hAnsi="Arial"/>
                <w:sz w:val="18"/>
                <w:szCs w:val="18"/>
                <w:b w:val="1"/>
                <w:bCs w:val="1"/>
                <w:color w:val="auto"/>
              </w:rPr>
              <w:t>401(k) Plan</w:t>
            </w: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Affiliate Employees in Puerto Rico</w:t>
            </w:r>
          </w:p>
        </w:tc>
        <w:tc>
          <w:tcPr>
            <w:tcW w:w="0" w:type="dxa"/>
            <w:vAlign w:val="bottom"/>
          </w:tcPr>
          <w:p>
            <w:pPr>
              <w:spacing w:after="0"/>
              <w:rPr>
                <w:sz w:val="1"/>
                <w:szCs w:val="1"/>
                <w:color w:val="auto"/>
              </w:rPr>
            </w:pPr>
          </w:p>
        </w:tc>
      </w:tr>
      <w:tr>
        <w:trPr>
          <w:trHeight w:val="209"/>
        </w:trPr>
        <w:tc>
          <w:tcPr>
            <w:tcW w:w="506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line="176" w:lineRule="exact"/>
              <w:rPr>
                <w:sz w:val="20"/>
                <w:szCs w:val="20"/>
                <w:color w:val="auto"/>
              </w:rPr>
            </w:pPr>
            <w:r>
              <w:rPr>
                <w:rFonts w:ascii="Arial" w:cs="Arial" w:eastAsia="Arial" w:hAnsi="Arial"/>
                <w:sz w:val="18"/>
                <w:szCs w:val="18"/>
                <w:color w:val="auto"/>
                <w:w w:val="99"/>
              </w:rPr>
              <w:t>Investments - Plan's interest in net assets of The Lilly Employee</w:t>
            </w: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Savings Plan Master Trust: (Notes 3 and 4)</w:t>
            </w: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320"/>
              <w:spacing w:after="0"/>
              <w:rPr>
                <w:sz w:val="20"/>
                <w:szCs w:val="20"/>
                <w:color w:val="auto"/>
              </w:rPr>
            </w:pPr>
            <w:r>
              <w:rPr>
                <w:rFonts w:ascii="Arial" w:cs="Arial" w:eastAsia="Arial" w:hAnsi="Arial"/>
                <w:sz w:val="18"/>
                <w:szCs w:val="18"/>
                <w:color w:val="auto"/>
              </w:rPr>
              <w:t>Registered investment companies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379,636,009</w:t>
            </w:r>
          </w:p>
        </w:tc>
        <w:tc>
          <w:tcPr>
            <w:tcW w:w="4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4,612,048</w:t>
            </w:r>
          </w:p>
        </w:tc>
        <w:tc>
          <w:tcPr>
            <w:tcW w:w="0" w:type="dxa"/>
            <w:vAlign w:val="bottom"/>
          </w:tcPr>
          <w:p>
            <w:pPr>
              <w:spacing w:after="0"/>
              <w:rPr>
                <w:sz w:val="1"/>
                <w:szCs w:val="1"/>
                <w:color w:val="auto"/>
              </w:rPr>
            </w:pPr>
          </w:p>
        </w:tc>
      </w:tr>
      <w:tr>
        <w:trPr>
          <w:trHeight w:val="229"/>
        </w:trPr>
        <w:tc>
          <w:tcPr>
            <w:tcW w:w="5060" w:type="dxa"/>
            <w:vAlign w:val="bottom"/>
          </w:tcPr>
          <w:p>
            <w:pPr>
              <w:ind w:left="320"/>
              <w:spacing w:after="0"/>
              <w:rPr>
                <w:sz w:val="20"/>
                <w:szCs w:val="20"/>
                <w:color w:val="auto"/>
              </w:rPr>
            </w:pPr>
            <w:r>
              <w:rPr>
                <w:rFonts w:ascii="Arial" w:cs="Arial" w:eastAsia="Arial" w:hAnsi="Arial"/>
                <w:sz w:val="18"/>
                <w:szCs w:val="18"/>
                <w:color w:val="auto"/>
              </w:rPr>
              <w:t>Self-directed brokerage accounts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285,043,605</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1,354,732</w:t>
            </w:r>
          </w:p>
        </w:tc>
        <w:tc>
          <w:tcPr>
            <w:tcW w:w="0" w:type="dxa"/>
            <w:vAlign w:val="bottom"/>
          </w:tcPr>
          <w:p>
            <w:pPr>
              <w:spacing w:after="0"/>
              <w:rPr>
                <w:sz w:val="1"/>
                <w:szCs w:val="1"/>
                <w:color w:val="auto"/>
              </w:rPr>
            </w:pPr>
          </w:p>
        </w:tc>
      </w:tr>
      <w:tr>
        <w:trPr>
          <w:trHeight w:val="230"/>
        </w:trPr>
        <w:tc>
          <w:tcPr>
            <w:tcW w:w="5060" w:type="dxa"/>
            <w:vAlign w:val="bottom"/>
          </w:tcPr>
          <w:p>
            <w:pPr>
              <w:ind w:left="320"/>
              <w:spacing w:after="0"/>
              <w:rPr>
                <w:sz w:val="20"/>
                <w:szCs w:val="20"/>
                <w:color w:val="auto"/>
              </w:rPr>
            </w:pPr>
            <w:r>
              <w:rPr>
                <w:rFonts w:ascii="Arial" w:cs="Arial" w:eastAsia="Arial" w:hAnsi="Arial"/>
                <w:sz w:val="18"/>
                <w:szCs w:val="18"/>
                <w:color w:val="auto"/>
              </w:rPr>
              <w:t>Eli Lilly and Company common stock</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1,384,217,685</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83,868,136</w:t>
            </w:r>
          </w:p>
        </w:tc>
        <w:tc>
          <w:tcPr>
            <w:tcW w:w="0" w:type="dxa"/>
            <w:vAlign w:val="bottom"/>
          </w:tcPr>
          <w:p>
            <w:pPr>
              <w:spacing w:after="0"/>
              <w:rPr>
                <w:sz w:val="1"/>
                <w:szCs w:val="1"/>
                <w:color w:val="auto"/>
              </w:rPr>
            </w:pPr>
          </w:p>
        </w:tc>
      </w:tr>
      <w:tr>
        <w:trPr>
          <w:trHeight w:val="229"/>
        </w:trPr>
        <w:tc>
          <w:tcPr>
            <w:tcW w:w="5060" w:type="dxa"/>
            <w:vAlign w:val="bottom"/>
          </w:tcPr>
          <w:p>
            <w:pPr>
              <w:ind w:left="320"/>
              <w:spacing w:after="0"/>
              <w:rPr>
                <w:sz w:val="20"/>
                <w:szCs w:val="20"/>
                <w:color w:val="auto"/>
              </w:rPr>
            </w:pPr>
            <w:r>
              <w:rPr>
                <w:rFonts w:ascii="Arial" w:cs="Arial" w:eastAsia="Arial" w:hAnsi="Arial"/>
                <w:sz w:val="18"/>
                <w:szCs w:val="18"/>
                <w:color w:val="auto"/>
              </w:rPr>
              <w:t>Interest in common/collective trusts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6,580,873,854</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201,256,641</w:t>
            </w:r>
          </w:p>
        </w:tc>
        <w:tc>
          <w:tcPr>
            <w:tcW w:w="0" w:type="dxa"/>
            <w:vAlign w:val="bottom"/>
          </w:tcPr>
          <w:p>
            <w:pPr>
              <w:spacing w:after="0"/>
              <w:rPr>
                <w:sz w:val="1"/>
                <w:szCs w:val="1"/>
                <w:color w:val="auto"/>
              </w:rPr>
            </w:pPr>
          </w:p>
        </w:tc>
      </w:tr>
      <w:tr>
        <w:trPr>
          <w:trHeight w:val="230"/>
        </w:trPr>
        <w:tc>
          <w:tcPr>
            <w:tcW w:w="5060" w:type="dxa"/>
            <w:vAlign w:val="bottom"/>
          </w:tcPr>
          <w:p>
            <w:pPr>
              <w:ind w:left="320"/>
              <w:spacing w:after="0"/>
              <w:rPr>
                <w:sz w:val="20"/>
                <w:szCs w:val="20"/>
                <w:color w:val="auto"/>
              </w:rPr>
            </w:pPr>
            <w:r>
              <w:rPr>
                <w:rFonts w:ascii="Arial" w:cs="Arial" w:eastAsia="Arial" w:hAnsi="Arial"/>
                <w:sz w:val="18"/>
                <w:szCs w:val="18"/>
                <w:color w:val="auto"/>
              </w:rPr>
              <w:t>Synthetic GICs, at contract value</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949,156,286</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48,939,965</w:t>
            </w:r>
          </w:p>
        </w:tc>
        <w:tc>
          <w:tcPr>
            <w:tcW w:w="0" w:type="dxa"/>
            <w:vAlign w:val="bottom"/>
          </w:tcPr>
          <w:p>
            <w:pPr>
              <w:spacing w:after="0"/>
              <w:rPr>
                <w:sz w:val="1"/>
                <w:szCs w:val="1"/>
                <w:color w:val="auto"/>
              </w:rPr>
            </w:pPr>
          </w:p>
        </w:tc>
      </w:tr>
      <w:tr>
        <w:trPr>
          <w:trHeight w:val="230"/>
        </w:trPr>
        <w:tc>
          <w:tcPr>
            <w:tcW w:w="5060" w:type="dxa"/>
            <w:vAlign w:val="bottom"/>
          </w:tcPr>
          <w:p>
            <w:pPr>
              <w:ind w:left="320"/>
              <w:spacing w:after="0"/>
              <w:rPr>
                <w:sz w:val="20"/>
                <w:szCs w:val="20"/>
                <w:color w:val="auto"/>
              </w:rPr>
            </w:pPr>
            <w:r>
              <w:rPr>
                <w:rFonts w:ascii="Arial" w:cs="Arial" w:eastAsia="Arial" w:hAnsi="Arial"/>
                <w:sz w:val="18"/>
                <w:szCs w:val="18"/>
                <w:color w:val="auto"/>
              </w:rPr>
              <w:t>Other common stock</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127,954,850</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3,872,031</w:t>
            </w:r>
          </w:p>
        </w:tc>
        <w:tc>
          <w:tcPr>
            <w:tcW w:w="0" w:type="dxa"/>
            <w:vAlign w:val="bottom"/>
          </w:tcPr>
          <w:p>
            <w:pPr>
              <w:spacing w:after="0"/>
              <w:rPr>
                <w:sz w:val="1"/>
                <w:szCs w:val="1"/>
                <w:color w:val="auto"/>
              </w:rPr>
            </w:pPr>
          </w:p>
        </w:tc>
      </w:tr>
      <w:tr>
        <w:trPr>
          <w:trHeight w:val="230"/>
        </w:trPr>
        <w:tc>
          <w:tcPr>
            <w:tcW w:w="5060" w:type="dxa"/>
            <w:vAlign w:val="bottom"/>
          </w:tcPr>
          <w:p>
            <w:pPr>
              <w:ind w:left="320"/>
              <w:spacing w:after="0"/>
              <w:rPr>
                <w:sz w:val="20"/>
                <w:szCs w:val="20"/>
                <w:color w:val="auto"/>
              </w:rPr>
            </w:pPr>
            <w:r>
              <w:rPr>
                <w:rFonts w:ascii="Arial" w:cs="Arial" w:eastAsia="Arial" w:hAnsi="Arial"/>
                <w:sz w:val="18"/>
                <w:szCs w:val="18"/>
                <w:color w:val="auto"/>
              </w:rPr>
              <w:t>Accrued income and pending trades - Sales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811,986</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30"/>
        </w:trPr>
        <w:tc>
          <w:tcPr>
            <w:tcW w:w="5060" w:type="dxa"/>
            <w:vAlign w:val="bottom"/>
          </w:tcPr>
          <w:p>
            <w:pPr>
              <w:ind w:left="320"/>
              <w:spacing w:after="0"/>
              <w:rPr>
                <w:sz w:val="20"/>
                <w:szCs w:val="20"/>
                <w:color w:val="auto"/>
              </w:rPr>
            </w:pPr>
            <w:r>
              <w:rPr>
                <w:rFonts w:ascii="Arial" w:cs="Arial" w:eastAsia="Arial" w:hAnsi="Arial"/>
                <w:sz w:val="18"/>
                <w:szCs w:val="18"/>
                <w:color w:val="auto"/>
              </w:rPr>
              <w:t>Accrued expenses and pending trades - Purchases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(7,743,284)</w:t>
            </w:r>
          </w:p>
        </w:tc>
        <w:tc>
          <w:tcPr>
            <w:tcW w:w="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(219,112)</w:t>
            </w:r>
          </w:p>
        </w:tc>
        <w:tc>
          <w:tcPr>
            <w:tcW w:w="0" w:type="dxa"/>
            <w:vAlign w:val="bottom"/>
          </w:tcPr>
          <w:p>
            <w:pPr>
              <w:spacing w:after="0"/>
              <w:rPr>
                <w:sz w:val="1"/>
                <w:szCs w:val="1"/>
                <w:color w:val="auto"/>
              </w:rPr>
            </w:pPr>
          </w:p>
        </w:tc>
      </w:tr>
      <w:tr>
        <w:trPr>
          <w:trHeight w:val="372"/>
        </w:trPr>
        <w:tc>
          <w:tcPr>
            <w:tcW w:w="5060" w:type="dxa"/>
            <w:vAlign w:val="bottom"/>
          </w:tcPr>
          <w:p>
            <w:pPr>
              <w:spacing w:after="0"/>
              <w:rPr>
                <w:sz w:val="20"/>
                <w:szCs w:val="20"/>
                <w:color w:val="auto"/>
              </w:rPr>
            </w:pPr>
            <w:r>
              <w:rPr>
                <w:rFonts w:ascii="Arial" w:cs="Arial" w:eastAsia="Arial" w:hAnsi="Arial"/>
                <w:sz w:val="18"/>
                <w:szCs w:val="18"/>
                <w:color w:val="auto"/>
              </w:rPr>
              <w:t>Plan's total interest in The Lilly Employee</w:t>
            </w:r>
          </w:p>
        </w:tc>
        <w:tc>
          <w:tcPr>
            <w:tcW w:w="240" w:type="dxa"/>
            <w:vAlign w:val="bottom"/>
          </w:tcPr>
          <w:p>
            <w:pPr>
              <w:spacing w:after="0"/>
              <w:rPr>
                <w:sz w:val="24"/>
                <w:szCs w:val="24"/>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9,699,950,991</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343,694,671</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Savings Plan Master Trust</w:t>
            </w:r>
          </w:p>
        </w:tc>
        <w:tc>
          <w:tcPr>
            <w:tcW w:w="24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5060" w:type="dxa"/>
            <w:vAlign w:val="bottom"/>
          </w:tcPr>
          <w:p>
            <w:pPr>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20"/>
              <w:spacing w:after="0"/>
              <w:rPr>
                <w:sz w:val="20"/>
                <w:szCs w:val="20"/>
                <w:color w:val="auto"/>
              </w:rPr>
            </w:pPr>
            <w:r>
              <w:rPr>
                <w:rFonts w:ascii="Arial" w:cs="Arial" w:eastAsia="Arial" w:hAnsi="Arial"/>
                <w:sz w:val="18"/>
                <w:szCs w:val="18"/>
                <w:color w:val="auto"/>
              </w:rPr>
              <w:t>Employer contribution</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12,017,103</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429,742</w:t>
            </w:r>
          </w:p>
        </w:tc>
        <w:tc>
          <w:tcPr>
            <w:tcW w:w="0" w:type="dxa"/>
            <w:vAlign w:val="bottom"/>
          </w:tcPr>
          <w:p>
            <w:pPr>
              <w:spacing w:after="0"/>
              <w:rPr>
                <w:sz w:val="1"/>
                <w:szCs w:val="1"/>
                <w:color w:val="auto"/>
              </w:rPr>
            </w:pPr>
          </w:p>
        </w:tc>
      </w:tr>
      <w:tr>
        <w:trPr>
          <w:trHeight w:val="230"/>
        </w:trPr>
        <w:tc>
          <w:tcPr>
            <w:tcW w:w="5060" w:type="dxa"/>
            <w:vAlign w:val="bottom"/>
          </w:tcPr>
          <w:p>
            <w:pPr>
              <w:ind w:left="320"/>
              <w:spacing w:after="0"/>
              <w:rPr>
                <w:sz w:val="20"/>
                <w:szCs w:val="20"/>
                <w:color w:val="auto"/>
              </w:rPr>
            </w:pPr>
            <w:r>
              <w:rPr>
                <w:rFonts w:ascii="Arial" w:cs="Arial" w:eastAsia="Arial" w:hAnsi="Arial"/>
                <w:sz w:val="18"/>
                <w:szCs w:val="18"/>
                <w:color w:val="auto"/>
              </w:rPr>
              <w:t>Notes receivable from participants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22,350,660</w:t>
            </w:r>
          </w:p>
        </w:tc>
        <w:tc>
          <w:tcPr>
            <w:tcW w:w="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2,189,013</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Receivables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34,367,763</w:t>
            </w:r>
          </w:p>
        </w:tc>
        <w:tc>
          <w:tcPr>
            <w:tcW w:w="4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2,618,755</w:t>
            </w:r>
          </w:p>
        </w:tc>
        <w:tc>
          <w:tcPr>
            <w:tcW w:w="0" w:type="dxa"/>
            <w:vAlign w:val="bottom"/>
          </w:tcPr>
          <w:p>
            <w:pPr>
              <w:spacing w:after="0"/>
              <w:rPr>
                <w:sz w:val="1"/>
                <w:szCs w:val="1"/>
                <w:color w:val="auto"/>
              </w:rPr>
            </w:pPr>
          </w:p>
        </w:tc>
      </w:tr>
      <w:tr>
        <w:trPr>
          <w:trHeight w:val="480"/>
        </w:trPr>
        <w:tc>
          <w:tcPr>
            <w:tcW w:w="50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9,734,318,754</w:t>
            </w:r>
          </w:p>
        </w:tc>
        <w:tc>
          <w:tcPr>
            <w:tcW w:w="440" w:type="dxa"/>
            <w:vAlign w:val="bottom"/>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346,313,426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700" w:top="1440" w:right="69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The Lilly Employee 401(k) Plan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The Savings Plan for Lilly Affiliate Employees in Puerto Rico</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Statements of Net Assets Available for Benefits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ind w:right="790"/>
              <w:spacing w:after="0"/>
              <w:rPr>
                <w:sz w:val="20"/>
                <w:szCs w:val="20"/>
                <w:color w:val="auto"/>
              </w:rPr>
            </w:pPr>
            <w:r>
              <w:rPr>
                <w:rFonts w:ascii="Arial" w:cs="Arial" w:eastAsia="Arial" w:hAnsi="Arial"/>
                <w:sz w:val="18"/>
                <w:szCs w:val="18"/>
                <w:b w:val="1"/>
                <w:bCs w:val="1"/>
                <w:color w:val="auto"/>
              </w:rPr>
              <w:t>The Savings</w:t>
            </w: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The Lilly Employee</w:t>
            </w:r>
          </w:p>
        </w:tc>
        <w:tc>
          <w:tcPr>
            <w:tcW w:w="120" w:type="dxa"/>
            <w:vAlign w:val="bottom"/>
          </w:tcPr>
          <w:p>
            <w:pPr>
              <w:spacing w:after="0"/>
              <w:rPr>
                <w:sz w:val="15"/>
                <w:szCs w:val="15"/>
                <w:color w:val="auto"/>
              </w:rPr>
            </w:pPr>
          </w:p>
        </w:tc>
        <w:tc>
          <w:tcPr>
            <w:tcW w:w="2500" w:type="dxa"/>
            <w:vAlign w:val="bottom"/>
          </w:tcPr>
          <w:p>
            <w:pPr>
              <w:jc w:val="right"/>
              <w:ind w:right="750"/>
              <w:spacing w:after="0" w:line="176" w:lineRule="exact"/>
              <w:rPr>
                <w:sz w:val="20"/>
                <w:szCs w:val="20"/>
                <w:color w:val="auto"/>
              </w:rPr>
            </w:pPr>
            <w:r>
              <w:rPr>
                <w:rFonts w:ascii="Arial" w:cs="Arial" w:eastAsia="Arial" w:hAnsi="Arial"/>
                <w:sz w:val="18"/>
                <w:szCs w:val="18"/>
                <w:b w:val="1"/>
                <w:bCs w:val="1"/>
                <w:color w:val="auto"/>
              </w:rPr>
              <w:t>Plan for Lilly</w:t>
            </w: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jc w:val="right"/>
              <w:ind w:right="110"/>
              <w:spacing w:after="0" w:line="176" w:lineRule="exact"/>
              <w:rPr>
                <w:sz w:val="20"/>
                <w:szCs w:val="20"/>
                <w:color w:val="auto"/>
              </w:rPr>
            </w:pPr>
            <w:r>
              <w:rPr>
                <w:rFonts w:ascii="Arial" w:cs="Arial" w:eastAsia="Arial" w:hAnsi="Arial"/>
                <w:sz w:val="18"/>
                <w:szCs w:val="18"/>
                <w:b w:val="1"/>
                <w:bCs w:val="1"/>
                <w:color w:val="auto"/>
                <w:w w:val="91"/>
              </w:rPr>
              <w:t>Affiliate Employees in Puerto</w:t>
            </w:r>
          </w:p>
        </w:tc>
        <w:tc>
          <w:tcPr>
            <w:tcW w:w="0" w:type="dxa"/>
            <w:vAlign w:val="bottom"/>
          </w:tcPr>
          <w:p>
            <w:pPr>
              <w:spacing w:after="0"/>
              <w:rPr>
                <w:sz w:val="1"/>
                <w:szCs w:val="1"/>
                <w:color w:val="auto"/>
              </w:rPr>
            </w:pPr>
          </w:p>
        </w:tc>
      </w:tr>
      <w:tr>
        <w:trPr>
          <w:trHeight w:val="229"/>
        </w:trPr>
        <w:tc>
          <w:tcPr>
            <w:tcW w:w="51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1960" w:type="dxa"/>
            <w:vAlign w:val="bottom"/>
            <w:gridSpan w:val="2"/>
          </w:tcPr>
          <w:p>
            <w:pPr>
              <w:ind w:left="360"/>
              <w:spacing w:after="0"/>
              <w:rPr>
                <w:sz w:val="20"/>
                <w:szCs w:val="20"/>
                <w:color w:val="auto"/>
              </w:rPr>
            </w:pPr>
            <w:r>
              <w:rPr>
                <w:rFonts w:ascii="Arial" w:cs="Arial" w:eastAsia="Arial" w:hAnsi="Arial"/>
                <w:sz w:val="18"/>
                <w:szCs w:val="18"/>
                <w:b w:val="1"/>
                <w:bCs w:val="1"/>
                <w:color w:val="auto"/>
              </w:rPr>
              <w:t>401(k) Plan</w:t>
            </w:r>
          </w:p>
        </w:tc>
        <w:tc>
          <w:tcPr>
            <w:tcW w:w="120" w:type="dxa"/>
            <w:vAlign w:val="bottom"/>
          </w:tcPr>
          <w:p>
            <w:pPr>
              <w:spacing w:after="0"/>
              <w:rPr>
                <w:sz w:val="19"/>
                <w:szCs w:val="19"/>
                <w:color w:val="auto"/>
              </w:rPr>
            </w:pPr>
          </w:p>
        </w:tc>
        <w:tc>
          <w:tcPr>
            <w:tcW w:w="2500" w:type="dxa"/>
            <w:vAlign w:val="bottom"/>
          </w:tcPr>
          <w:p>
            <w:pPr>
              <w:jc w:val="right"/>
              <w:ind w:right="1050"/>
              <w:spacing w:after="0"/>
              <w:rPr>
                <w:sz w:val="20"/>
                <w:szCs w:val="20"/>
                <w:color w:val="auto"/>
              </w:rPr>
            </w:pPr>
            <w:r>
              <w:rPr>
                <w:rFonts w:ascii="Arial" w:cs="Arial" w:eastAsia="Arial" w:hAnsi="Arial"/>
                <w:sz w:val="18"/>
                <w:szCs w:val="18"/>
                <w:b w:val="1"/>
                <w:bCs w:val="1"/>
                <w:color w:val="auto"/>
              </w:rPr>
              <w:t>Rico</w:t>
            </w:r>
          </w:p>
        </w:tc>
        <w:tc>
          <w:tcPr>
            <w:tcW w:w="0" w:type="dxa"/>
            <w:vAlign w:val="bottom"/>
          </w:tcPr>
          <w:p>
            <w:pPr>
              <w:spacing w:after="0"/>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8"/>
                <w:szCs w:val="18"/>
                <w:color w:val="auto"/>
              </w:rPr>
              <w:t>Investments - Plan's interest in net assets of The Lilly Employee</w:t>
            </w: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Savings Plan Master Trust: (Notes 3 and 4)</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20"/>
              <w:spacing w:after="0"/>
              <w:rPr>
                <w:sz w:val="20"/>
                <w:szCs w:val="20"/>
                <w:color w:val="auto"/>
              </w:rPr>
            </w:pPr>
            <w:r>
              <w:rPr>
                <w:rFonts w:ascii="Arial" w:cs="Arial" w:eastAsia="Arial" w:hAnsi="Arial"/>
                <w:sz w:val="18"/>
                <w:szCs w:val="18"/>
                <w:color w:val="auto"/>
              </w:rPr>
              <w:t>Registered investment companies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469,333,868</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7,524,318</w:t>
            </w:r>
          </w:p>
        </w:tc>
        <w:tc>
          <w:tcPr>
            <w:tcW w:w="0" w:type="dxa"/>
            <w:vAlign w:val="bottom"/>
          </w:tcPr>
          <w:p>
            <w:pPr>
              <w:spacing w:after="0"/>
              <w:rPr>
                <w:sz w:val="1"/>
                <w:szCs w:val="1"/>
                <w:color w:val="auto"/>
              </w:rPr>
            </w:pPr>
          </w:p>
        </w:tc>
      </w:tr>
      <w:tr>
        <w:trPr>
          <w:trHeight w:val="229"/>
        </w:trPr>
        <w:tc>
          <w:tcPr>
            <w:tcW w:w="5140" w:type="dxa"/>
            <w:vAlign w:val="bottom"/>
          </w:tcPr>
          <w:p>
            <w:pPr>
              <w:ind w:left="320"/>
              <w:spacing w:after="0"/>
              <w:rPr>
                <w:sz w:val="20"/>
                <w:szCs w:val="20"/>
                <w:color w:val="auto"/>
              </w:rPr>
            </w:pPr>
            <w:r>
              <w:rPr>
                <w:rFonts w:ascii="Arial" w:cs="Arial" w:eastAsia="Arial" w:hAnsi="Arial"/>
                <w:sz w:val="18"/>
                <w:szCs w:val="18"/>
                <w:color w:val="auto"/>
              </w:rPr>
              <w:t>Self-directed brokerage accounts</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253,162,659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809,838</w:t>
            </w:r>
          </w:p>
        </w:tc>
        <w:tc>
          <w:tcPr>
            <w:tcW w:w="0" w:type="dxa"/>
            <w:vAlign w:val="bottom"/>
          </w:tcPr>
          <w:p>
            <w:pPr>
              <w:spacing w:after="0"/>
              <w:rPr>
                <w:sz w:val="1"/>
                <w:szCs w:val="1"/>
                <w:color w:val="auto"/>
              </w:rPr>
            </w:pPr>
          </w:p>
        </w:tc>
      </w:tr>
      <w:tr>
        <w:trPr>
          <w:trHeight w:val="230"/>
        </w:trPr>
        <w:tc>
          <w:tcPr>
            <w:tcW w:w="5140" w:type="dxa"/>
            <w:vAlign w:val="bottom"/>
          </w:tcPr>
          <w:p>
            <w:pPr>
              <w:ind w:left="320"/>
              <w:spacing w:after="0"/>
              <w:rPr>
                <w:sz w:val="20"/>
                <w:szCs w:val="20"/>
                <w:color w:val="auto"/>
              </w:rPr>
            </w:pPr>
            <w:r>
              <w:rPr>
                <w:rFonts w:ascii="Arial" w:cs="Arial" w:eastAsia="Arial" w:hAnsi="Arial"/>
                <w:sz w:val="18"/>
                <w:szCs w:val="18"/>
                <w:color w:val="auto"/>
              </w:rPr>
              <w:t>Eli Lilly and Company common stock</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914,181,590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54,083,224</w:t>
            </w:r>
          </w:p>
        </w:tc>
        <w:tc>
          <w:tcPr>
            <w:tcW w:w="0" w:type="dxa"/>
            <w:vAlign w:val="bottom"/>
          </w:tcPr>
          <w:p>
            <w:pPr>
              <w:spacing w:after="0"/>
              <w:rPr>
                <w:sz w:val="1"/>
                <w:szCs w:val="1"/>
                <w:color w:val="auto"/>
              </w:rPr>
            </w:pPr>
          </w:p>
        </w:tc>
      </w:tr>
      <w:tr>
        <w:trPr>
          <w:trHeight w:val="230"/>
        </w:trPr>
        <w:tc>
          <w:tcPr>
            <w:tcW w:w="5140" w:type="dxa"/>
            <w:vAlign w:val="bottom"/>
          </w:tcPr>
          <w:p>
            <w:pPr>
              <w:ind w:left="320"/>
              <w:spacing w:after="0"/>
              <w:rPr>
                <w:sz w:val="20"/>
                <w:szCs w:val="20"/>
                <w:color w:val="auto"/>
              </w:rPr>
            </w:pPr>
            <w:r>
              <w:rPr>
                <w:rFonts w:ascii="Arial" w:cs="Arial" w:eastAsia="Arial" w:hAnsi="Arial"/>
                <w:sz w:val="18"/>
                <w:szCs w:val="18"/>
                <w:color w:val="auto"/>
              </w:rPr>
              <w:t>Interest in common/collective trusts</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5,524,474,139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156,881,740</w:t>
            </w:r>
          </w:p>
        </w:tc>
        <w:tc>
          <w:tcPr>
            <w:tcW w:w="0" w:type="dxa"/>
            <w:vAlign w:val="bottom"/>
          </w:tcPr>
          <w:p>
            <w:pPr>
              <w:spacing w:after="0"/>
              <w:rPr>
                <w:sz w:val="1"/>
                <w:szCs w:val="1"/>
                <w:color w:val="auto"/>
              </w:rPr>
            </w:pPr>
          </w:p>
        </w:tc>
      </w:tr>
      <w:tr>
        <w:trPr>
          <w:trHeight w:val="230"/>
        </w:trPr>
        <w:tc>
          <w:tcPr>
            <w:tcW w:w="5140" w:type="dxa"/>
            <w:vAlign w:val="bottom"/>
          </w:tcPr>
          <w:p>
            <w:pPr>
              <w:ind w:left="320"/>
              <w:spacing w:after="0"/>
              <w:rPr>
                <w:sz w:val="20"/>
                <w:szCs w:val="20"/>
                <w:color w:val="auto"/>
              </w:rPr>
            </w:pPr>
            <w:r>
              <w:rPr>
                <w:rFonts w:ascii="Arial" w:cs="Arial" w:eastAsia="Arial" w:hAnsi="Arial"/>
                <w:sz w:val="18"/>
                <w:szCs w:val="18"/>
                <w:color w:val="auto"/>
              </w:rPr>
              <w:t>Synthetic GICs, at contract value</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932,791,932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50,158,974</w:t>
            </w:r>
          </w:p>
        </w:tc>
        <w:tc>
          <w:tcPr>
            <w:tcW w:w="0" w:type="dxa"/>
            <w:vAlign w:val="bottom"/>
          </w:tcPr>
          <w:p>
            <w:pPr>
              <w:spacing w:after="0"/>
              <w:rPr>
                <w:sz w:val="1"/>
                <w:szCs w:val="1"/>
                <w:color w:val="auto"/>
              </w:rPr>
            </w:pPr>
          </w:p>
        </w:tc>
      </w:tr>
      <w:tr>
        <w:trPr>
          <w:trHeight w:val="229"/>
        </w:trPr>
        <w:tc>
          <w:tcPr>
            <w:tcW w:w="5140" w:type="dxa"/>
            <w:vAlign w:val="bottom"/>
          </w:tcPr>
          <w:p>
            <w:pPr>
              <w:ind w:left="320"/>
              <w:spacing w:after="0"/>
              <w:rPr>
                <w:sz w:val="20"/>
                <w:szCs w:val="20"/>
                <w:color w:val="auto"/>
              </w:rPr>
            </w:pPr>
            <w:r>
              <w:rPr>
                <w:rFonts w:ascii="Arial" w:cs="Arial" w:eastAsia="Arial" w:hAnsi="Arial"/>
                <w:sz w:val="18"/>
                <w:szCs w:val="18"/>
                <w:color w:val="auto"/>
              </w:rPr>
              <w:t>Other common stock</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96,147,184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2,577,312</w:t>
            </w:r>
          </w:p>
        </w:tc>
        <w:tc>
          <w:tcPr>
            <w:tcW w:w="0" w:type="dxa"/>
            <w:vAlign w:val="bottom"/>
          </w:tcPr>
          <w:p>
            <w:pPr>
              <w:spacing w:after="0"/>
              <w:rPr>
                <w:sz w:val="1"/>
                <w:szCs w:val="1"/>
                <w:color w:val="auto"/>
              </w:rPr>
            </w:pPr>
          </w:p>
        </w:tc>
      </w:tr>
      <w:tr>
        <w:trPr>
          <w:trHeight w:val="230"/>
        </w:trPr>
        <w:tc>
          <w:tcPr>
            <w:tcW w:w="5140" w:type="dxa"/>
            <w:vAlign w:val="bottom"/>
          </w:tcPr>
          <w:p>
            <w:pPr>
              <w:ind w:left="320"/>
              <w:spacing w:after="0"/>
              <w:rPr>
                <w:sz w:val="20"/>
                <w:szCs w:val="20"/>
                <w:color w:val="auto"/>
              </w:rPr>
            </w:pPr>
            <w:r>
              <w:rPr>
                <w:rFonts w:ascii="Arial" w:cs="Arial" w:eastAsia="Arial" w:hAnsi="Arial"/>
                <w:sz w:val="18"/>
                <w:szCs w:val="18"/>
                <w:color w:val="auto"/>
              </w:rPr>
              <w:t>Accrued income and pending trades - Sales</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771,552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30"/>
        </w:trPr>
        <w:tc>
          <w:tcPr>
            <w:tcW w:w="5140" w:type="dxa"/>
            <w:vAlign w:val="bottom"/>
          </w:tcPr>
          <w:p>
            <w:pPr>
              <w:ind w:left="320"/>
              <w:spacing w:after="0"/>
              <w:rPr>
                <w:sz w:val="20"/>
                <w:szCs w:val="20"/>
                <w:color w:val="auto"/>
              </w:rPr>
            </w:pPr>
            <w:r>
              <w:rPr>
                <w:rFonts w:ascii="Arial" w:cs="Arial" w:eastAsia="Arial" w:hAnsi="Arial"/>
                <w:sz w:val="18"/>
                <w:szCs w:val="18"/>
                <w:color w:val="auto"/>
              </w:rPr>
              <w:t>Accrued expenses and pending trades - Purchases</w:t>
            </w: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(3,643,027)</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(107,392)</w:t>
            </w:r>
          </w:p>
        </w:tc>
        <w:tc>
          <w:tcPr>
            <w:tcW w:w="0" w:type="dxa"/>
            <w:vAlign w:val="bottom"/>
          </w:tcPr>
          <w:p>
            <w:pPr>
              <w:spacing w:after="0"/>
              <w:rPr>
                <w:sz w:val="1"/>
                <w:szCs w:val="1"/>
                <w:color w:val="auto"/>
              </w:rPr>
            </w:pPr>
          </w:p>
        </w:tc>
      </w:tr>
      <w:tr>
        <w:trPr>
          <w:trHeight w:val="371"/>
        </w:trPr>
        <w:tc>
          <w:tcPr>
            <w:tcW w:w="5140" w:type="dxa"/>
            <w:vAlign w:val="bottom"/>
          </w:tcPr>
          <w:p>
            <w:pPr>
              <w:spacing w:after="0"/>
              <w:rPr>
                <w:sz w:val="20"/>
                <w:szCs w:val="20"/>
                <w:color w:val="auto"/>
              </w:rPr>
            </w:pPr>
            <w:r>
              <w:rPr>
                <w:rFonts w:ascii="Arial" w:cs="Arial" w:eastAsia="Arial" w:hAnsi="Arial"/>
                <w:sz w:val="18"/>
                <w:szCs w:val="18"/>
                <w:color w:val="auto"/>
              </w:rPr>
              <w:t>Plan's total interest in The Lilly Employee</w:t>
            </w:r>
          </w:p>
        </w:tc>
        <w:tc>
          <w:tcPr>
            <w:tcW w:w="12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8,187,219,897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271,939,507</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Savings Plan Master Trust</w:t>
            </w:r>
          </w:p>
        </w:tc>
        <w:tc>
          <w:tcPr>
            <w:tcW w:w="12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5140" w:type="dxa"/>
            <w:vAlign w:val="bottom"/>
          </w:tcPr>
          <w:p>
            <w:pPr>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320"/>
              <w:spacing w:after="0"/>
              <w:rPr>
                <w:sz w:val="20"/>
                <w:szCs w:val="20"/>
                <w:color w:val="auto"/>
              </w:rPr>
            </w:pPr>
            <w:r>
              <w:rPr>
                <w:rFonts w:ascii="Arial" w:cs="Arial" w:eastAsia="Arial" w:hAnsi="Arial"/>
                <w:sz w:val="18"/>
                <w:szCs w:val="18"/>
                <w:color w:val="auto"/>
              </w:rPr>
              <w:t>Employer contribution</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11,788,178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355,467</w:t>
            </w:r>
          </w:p>
        </w:tc>
        <w:tc>
          <w:tcPr>
            <w:tcW w:w="0" w:type="dxa"/>
            <w:vAlign w:val="bottom"/>
          </w:tcPr>
          <w:p>
            <w:pPr>
              <w:spacing w:after="0"/>
              <w:rPr>
                <w:sz w:val="1"/>
                <w:szCs w:val="1"/>
                <w:color w:val="auto"/>
              </w:rPr>
            </w:pPr>
          </w:p>
        </w:tc>
      </w:tr>
      <w:tr>
        <w:trPr>
          <w:trHeight w:val="230"/>
        </w:trPr>
        <w:tc>
          <w:tcPr>
            <w:tcW w:w="5140" w:type="dxa"/>
            <w:vAlign w:val="bottom"/>
          </w:tcPr>
          <w:p>
            <w:pPr>
              <w:ind w:left="320"/>
              <w:spacing w:after="0"/>
              <w:rPr>
                <w:sz w:val="20"/>
                <w:szCs w:val="20"/>
                <w:color w:val="auto"/>
              </w:rPr>
            </w:pPr>
            <w:r>
              <w:rPr>
                <w:rFonts w:ascii="Arial" w:cs="Arial" w:eastAsia="Arial" w:hAnsi="Arial"/>
                <w:sz w:val="18"/>
                <w:szCs w:val="18"/>
                <w:color w:val="auto"/>
              </w:rPr>
              <w:t>Notes receivable from participants</w:t>
            </w: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23,375,326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2,184,930</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Total Receivables</w:t>
            </w: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35,163,504</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2,540,397</w:t>
            </w:r>
          </w:p>
        </w:tc>
        <w:tc>
          <w:tcPr>
            <w:tcW w:w="0" w:type="dxa"/>
            <w:vAlign w:val="bottom"/>
          </w:tcPr>
          <w:p>
            <w:pPr>
              <w:spacing w:after="0"/>
              <w:rPr>
                <w:sz w:val="1"/>
                <w:szCs w:val="1"/>
                <w:color w:val="auto"/>
              </w:rPr>
            </w:pPr>
          </w:p>
        </w:tc>
      </w:tr>
      <w:tr>
        <w:trPr>
          <w:trHeight w:val="480"/>
        </w:trPr>
        <w:tc>
          <w:tcPr>
            <w:tcW w:w="514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8,222,383,401</w:t>
            </w:r>
          </w:p>
        </w:tc>
        <w:tc>
          <w:tcPr>
            <w:tcW w:w="2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274,479,904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financial statements.</w:t>
      </w:r>
    </w:p>
    <w:p>
      <w:pPr>
        <w:sectPr>
          <w:pgSz w:w="11900" w:h="16838" w:orient="portrait"/>
          <w:cols w:equalWidth="0" w:num="1">
            <w:col w:w="9840"/>
          </w:cols>
          <w:pgMar w:left="104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40"/>
          </w:cols>
          <w:pgMar w:left="1040" w:top="1440" w:right="101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2"/>
          <w:szCs w:val="22"/>
          <w:color w:val="auto"/>
        </w:rPr>
        <w:t>The Lilly Employee 401(k) Plan and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The Savings Plan for Lilly Affiliate Employees in Puerto Rico</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079"/>
        <w:spacing w:after="0"/>
        <w:rPr>
          <w:sz w:val="20"/>
          <w:szCs w:val="20"/>
          <w:color w:val="auto"/>
        </w:rPr>
      </w:pPr>
      <w:r>
        <w:rPr>
          <w:rFonts w:ascii="Arial" w:cs="Arial" w:eastAsia="Arial" w:hAnsi="Arial"/>
          <w:sz w:val="20"/>
          <w:szCs w:val="20"/>
          <w:b w:val="1"/>
          <w:bCs w:val="1"/>
          <w:color w:val="auto"/>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13970</wp:posOffset>
            </wp:positionV>
            <wp:extent cx="2562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ectPr>
          <w:pgSz w:w="11900" w:h="16838" w:orient="portrait"/>
          <w:cols w:equalWidth="0" w:num="1">
            <w:col w:w="9019"/>
          </w:cols>
          <w:pgMar w:left="1440" w:top="12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Additions: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Contributions: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Participants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Employer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Contributions</w:t>
      </w:r>
    </w:p>
    <w:p>
      <w:pPr>
        <w:spacing w:after="0" w:line="185" w:lineRule="exact"/>
        <w:rPr>
          <w:sz w:val="20"/>
          <w:szCs w:val="20"/>
          <w:color w:val="auto"/>
        </w:rPr>
      </w:pPr>
    </w:p>
    <w:p>
      <w:pPr>
        <w:jc w:val="both"/>
        <w:ind w:left="560" w:right="80"/>
        <w:spacing w:after="0" w:line="224" w:lineRule="auto"/>
        <w:rPr>
          <w:sz w:val="20"/>
          <w:szCs w:val="20"/>
          <w:color w:val="auto"/>
        </w:rPr>
      </w:pPr>
      <w:r>
        <w:rPr>
          <w:rFonts w:ascii="Arial" w:cs="Arial" w:eastAsia="Arial" w:hAnsi="Arial"/>
          <w:sz w:val="18"/>
          <w:szCs w:val="18"/>
          <w:color w:val="auto"/>
        </w:rPr>
        <w:t>Interest in The Lilly Employee Savings Plan Master Trust investment income, net of administrative fees (Note 3)</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Interest income on notes receivable from participants</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Additions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Deductions:</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Participant withdrawals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Administrative expenses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Deductions</w:t>
      </w:r>
    </w:p>
    <w:p>
      <w:pPr>
        <w:spacing w:after="0" w:line="3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Net Increase</w:t>
      </w:r>
    </w:p>
    <w:p>
      <w:pPr>
        <w:spacing w:after="0" w:line="225" w:lineRule="exact"/>
        <w:rPr>
          <w:sz w:val="20"/>
          <w:szCs w:val="20"/>
          <w:color w:val="auto"/>
        </w:rPr>
      </w:pPr>
    </w:p>
    <w:p>
      <w:pPr>
        <w:ind w:left="400" w:right="200"/>
        <w:spacing w:after="0" w:line="412" w:lineRule="auto"/>
        <w:rPr>
          <w:sz w:val="20"/>
          <w:szCs w:val="20"/>
          <w:color w:val="auto"/>
        </w:rPr>
      </w:pPr>
      <w:r>
        <w:rPr>
          <w:rFonts w:ascii="Arial" w:cs="Arial" w:eastAsia="Arial" w:hAnsi="Arial"/>
          <w:sz w:val="16"/>
          <w:szCs w:val="16"/>
          <w:color w:val="auto"/>
        </w:rPr>
        <w:t>Net assets available for benefits at beginning of year Net assets available for benefits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6"/>
              </w:rPr>
              <w:t>The Savings</w:t>
            </w:r>
          </w:p>
        </w:tc>
        <w:tc>
          <w:tcPr>
            <w:tcW w:w="0" w:type="dxa"/>
            <w:vAlign w:val="bottom"/>
          </w:tcPr>
          <w:p>
            <w:pPr>
              <w:spacing w:after="0"/>
              <w:rPr>
                <w:sz w:val="1"/>
                <w:szCs w:val="1"/>
                <w:color w:val="auto"/>
              </w:rPr>
            </w:pPr>
          </w:p>
        </w:tc>
      </w:tr>
      <w:tr>
        <w:trPr>
          <w:trHeight w:val="175"/>
        </w:trPr>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The Lilly Employee</w:t>
            </w:r>
          </w:p>
        </w:tc>
        <w:tc>
          <w:tcPr>
            <w:tcW w:w="260" w:type="dxa"/>
            <w:vAlign w:val="bottom"/>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6"/>
              </w:rPr>
              <w:t>Plan for Lilly</w:t>
            </w:r>
          </w:p>
        </w:tc>
        <w:tc>
          <w:tcPr>
            <w:tcW w:w="0" w:type="dxa"/>
            <w:vAlign w:val="bottom"/>
          </w:tcPr>
          <w:p>
            <w:pPr>
              <w:spacing w:after="0"/>
              <w:rPr>
                <w:sz w:val="1"/>
                <w:szCs w:val="1"/>
                <w:color w:val="auto"/>
              </w:rPr>
            </w:pPr>
          </w:p>
        </w:tc>
      </w:tr>
      <w:tr>
        <w:trPr>
          <w:trHeight w:val="176"/>
        </w:trPr>
        <w:tc>
          <w:tcPr>
            <w:tcW w:w="15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Affiliate Employees in</w:t>
            </w:r>
          </w:p>
        </w:tc>
        <w:tc>
          <w:tcPr>
            <w:tcW w:w="0" w:type="dxa"/>
            <w:vAlign w:val="bottom"/>
          </w:tcPr>
          <w:p>
            <w:pPr>
              <w:spacing w:after="0"/>
              <w:rPr>
                <w:sz w:val="1"/>
                <w:szCs w:val="1"/>
                <w:color w:val="auto"/>
              </w:rPr>
            </w:pPr>
          </w:p>
        </w:tc>
      </w:tr>
      <w:tr>
        <w:trPr>
          <w:trHeight w:val="229"/>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401(k) Plan</w:t>
            </w:r>
          </w:p>
        </w:tc>
        <w:tc>
          <w:tcPr>
            <w:tcW w:w="26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Puerto Rico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226,340,354</w:t>
            </w:r>
          </w:p>
        </w:tc>
        <w:tc>
          <w:tcPr>
            <w:tcW w:w="26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8,612,283</w:t>
            </w:r>
          </w:p>
        </w:tc>
      </w:tr>
      <w:tr>
        <w:trPr>
          <w:trHeight w:val="270"/>
        </w:trPr>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106,118,132</w:t>
            </w:r>
          </w:p>
        </w:tc>
        <w:tc>
          <w:tcPr>
            <w:tcW w:w="26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4,431,285</w:t>
            </w:r>
          </w:p>
        </w:tc>
      </w:tr>
      <w:tr>
        <w:trPr>
          <w:trHeight w:val="412"/>
        </w:trPr>
        <w:tc>
          <w:tcPr>
            <w:tcW w:w="26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332,458,486</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13,043,568</w:t>
            </w:r>
          </w:p>
        </w:tc>
      </w:tr>
      <w:tr>
        <w:trPr>
          <w:trHeight w:val="742"/>
        </w:trPr>
        <w:tc>
          <w:tcPr>
            <w:tcW w:w="26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1,680,616,201</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65,884,411</w:t>
            </w:r>
          </w:p>
        </w:tc>
      </w:tr>
      <w:tr>
        <w:trPr>
          <w:trHeight w:val="418"/>
        </w:trPr>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1,117,858</w:t>
            </w:r>
          </w:p>
        </w:tc>
        <w:tc>
          <w:tcPr>
            <w:tcW w:w="2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109,483</w:t>
            </w:r>
          </w:p>
        </w:tc>
      </w:tr>
      <w:tr>
        <w:trPr>
          <w:trHeight w:val="412"/>
        </w:trPr>
        <w:tc>
          <w:tcPr>
            <w:tcW w:w="26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2,014,192,545</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79,037,462</w:t>
            </w:r>
          </w:p>
        </w:tc>
      </w:tr>
      <w:tr>
        <w:trPr>
          <w:trHeight w:val="702"/>
        </w:trPr>
        <w:tc>
          <w:tcPr>
            <w:tcW w:w="26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500,070,531</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7,047,120</w:t>
            </w:r>
          </w:p>
        </w:tc>
      </w:tr>
      <w:tr>
        <w:trPr>
          <w:trHeight w:val="270"/>
        </w:trPr>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2,186,661</w:t>
            </w:r>
          </w:p>
        </w:tc>
        <w:tc>
          <w:tcPr>
            <w:tcW w:w="26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156,820</w:t>
            </w:r>
          </w:p>
        </w:tc>
      </w:tr>
      <w:tr>
        <w:trPr>
          <w:trHeight w:val="250"/>
        </w:trPr>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502,257,192</w:t>
            </w:r>
          </w:p>
        </w:tc>
        <w:tc>
          <w:tcPr>
            <w:tcW w:w="26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7,203,940</w:t>
            </w:r>
          </w:p>
        </w:tc>
      </w:tr>
      <w:tr>
        <w:trPr>
          <w:trHeight w:val="574"/>
        </w:trPr>
        <w:tc>
          <w:tcPr>
            <w:tcW w:w="26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1,511,935,353</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71,833,522</w:t>
            </w:r>
          </w:p>
        </w:tc>
      </w:tr>
      <w:tr>
        <w:trPr>
          <w:trHeight w:val="432"/>
        </w:trPr>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8,222,383,401</w:t>
            </w:r>
          </w:p>
        </w:tc>
        <w:tc>
          <w:tcPr>
            <w:tcW w:w="2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274,479,904</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9,734,318,754</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346,313,426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ectPr>
          <w:pgSz w:w="11900" w:h="16838" w:orient="portrait"/>
          <w:cols w:equalWidth="0" w:num="2">
            <w:col w:w="4380" w:space="220"/>
            <w:col w:w="4419"/>
          </w:cols>
          <w:pgMar w:left="1440" w:top="1252" w:right="1440" w:bottom="1440" w:gutter="0" w:footer="0" w:header="0"/>
          <w:type w:val="continuous"/>
        </w:sectPr>
      </w:pPr>
    </w:p>
    <w:p>
      <w:pPr>
        <w:ind w:left="400"/>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1252" w:right="1440"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2021 and 2020</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Description of the Plans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accompanying financial statements comprise the employee savings plans of Eli Lilly and Company (the Company) and certain of the Company’s U.S. and Puerto Rico affiliates that participate in The Lilly Employee Savings Plan Master Trust (the Master Trust).</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General</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Lilly Employee 401(k) Plan (the 401(k) Plan) was established for the benefit of eligible employees of Eli Lilly and Company and participating subsidiaries and affiliated companies. The Savings Plan for Lilly Affiliate Employees in Puerto Rico (the Puerto Rico Plan) was established for the benefit of resident eligible employees of, and certain employees within, the Commonwealth of Puerto Rico. The accompanying financial statements include the net assets and related activity of the 401(k) Plan and the Puerto Rico Plan.</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following description of the 401(k) Plan and the Puerto Rico Plan (collectively, the Plans) provides only general information. Participants should refer to the applicable plan documents and the Plans’ summary plan descriptions for more complete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Northern Trust Company and Banco Popular de Puerto Rico are the trustees of the 401(k) Plan and the Puerto Rico Plan, respectively. Alight Solutions, LLC is the recordkeeper of the Plans. The Company is the plan sponsor for the 401(k) Plan, and Lilly del Caribe, Inc. is the plan sponsor for the Puerto Rico Plan. The Employee Benefits Committee of the Company is the plan administrator for the Plans.</w:t>
      </w:r>
    </w:p>
    <w:p>
      <w:pPr>
        <w:spacing w:after="0" w:line="22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Full-time employees become eligible for participation in the Plans on the first day of employment. Seasonal, part-time, or other special-status employees must generally complete 1,000 hours of service within a 12-consecutive-month period to be eligible. The Plans allow for participant contributions from 1% to 50% of base compensation up to applicable regulatory limits. Participants have the option of enrolling in a program to increase their contribution rates automatically each year. Matching contributions by the Company are currently 100% of employee contributions up to the 6% employee contribution level, subject to applicable regulatory limits.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Contributions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Participants may designate that their contributions be invested in any of the investment options offered by the Plans. In addition, participants generally can buy and sell investments offered by the Plans, including the Eli Lilly and Company common stock fund (the Company Stock Fund), and transfer money, vested or nonvested, from any of the investment options into and out of any of the other investment options. Participants also are allowed to take payment of the Company Stock Fund dividends in lieu of having them reinvested in their participant accounts. Company matching contributions are allocated based on a participant’s investment elections for their own contributions.</w:t>
      </w:r>
    </w:p>
    <w:p>
      <w:pPr>
        <w:sectPr>
          <w:pgSz w:w="11900" w:h="16838" w:orient="portrait"/>
          <w:cols w:equalWidth="0" w:num="1">
            <w:col w:w="11240"/>
          </w:cols>
          <w:pgMar w:left="320" w:top="1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90"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2021 and 2020</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All participants are vested immediately in their own contributions. All participants with two credited years of service are vested in 100% of the Company’s matching contributions. Forfeitures of approximately $1,322,000 were applied to decrease the Company’s contributions during 2021 for the 401(k) Plan. Forfeitures of approximately $30,000 were applied to decrease the Company’s contributions during 2021 for the Puerto Rico Plan.</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Participant Loans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Participants may borrow from their accounts a minimum of $1,000 and a maximum of the least of (1) one-half of the amount of the participant’s vested account, (2) 90% of the portion of the participant’s account balance attributable to the participant’s pretax contributions and rollover account, and (3) $50,000 (all of which are reduced by any unpaid loan balance). The loans are collateralized by the participant’s vested account and bear interest at prime plus 1%. Should the participant terminate as an employee, the balance of the outstanding loan becomes due and payable. Related fees are recorded as administrative expenses and are expensed when they are incurred.</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Payment of Benefits</w:t>
      </w:r>
    </w:p>
    <w:p>
      <w:pPr>
        <w:spacing w:after="0" w:line="253"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Participants may elect to receive distributions upon termination in the form of one or more lump-sum payments or various installment annuities. Participants may also be eligible to take voluntary, in-service withdrawals, including hardship withdrawals, non-hardship withdrawals, and age 59 ½ withdrawals. Mandatory distributions are made in accordance with Plan provisions.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Plans are subject to and are intended to comply with the provisions of the Employee Retirement Income Security Act of 1974 (ERISA), as amended, and applicable IRS and Puerto Rico Treasury requirements. The Company has the right to terminate the Plans subject to the provisions of ERISA and the Plans, as established in the applicable plan documents. In the event the Plans are terminated,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2021 and 2020</w:t>
      </w:r>
    </w:p>
    <w:p>
      <w:pPr>
        <w:spacing w:after="0" w:line="200" w:lineRule="exact"/>
        <w:rPr>
          <w:sz w:val="20"/>
          <w:szCs w:val="20"/>
          <w:color w:val="auto"/>
        </w:rPr>
      </w:pPr>
    </w:p>
    <w:p>
      <w:pPr>
        <w:spacing w:after="0" w:line="34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participant’s account shall be nonforfeitable with respect to both the employee’s and the Company’s contributions, and the net assets are to be set aside for payment of withdrawals by participants.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Significant Accounting Policies</w:t>
      </w:r>
      <w:r>
        <w:rPr>
          <w:rFonts w:ascii="Arial" w:cs="Arial" w:eastAsia="Arial" w:hAnsi="Arial"/>
          <w:sz w:val="22"/>
          <w:szCs w:val="22"/>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Valuation and Income Recognition</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Investments held by the Master Trust are stated at fair value, except for fully benefit-responsive synthetic guaranteed investment contracts (synthetic GICs), as noted below.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22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Master Trust invests in fully benefit-responsive synthetic GICs, which are stated at contract value. Contract value represents contributions made under each contract, plus earnings, less participant withdrawals and administrative expenses. Participants may ordinarily direct the withdrawal or transfer of all or a portion of their investments at contract value.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from Participants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Notes receivable from participants represent participant loans that are recorded at their unpaid principal balances plus any accrued but unpaid interest. Interest income on notes receivable from participants is recorded when it is earned. No allowance for credit losses has been recorded as of December 31, 2021 and 2020. If a participant ceases to make loan repayments and the plan administrator deems the participant loan to be a distribution, the participant loan balance is reduced, and a benefit payment is recorded.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 and Basis of Accounting</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preparation of financial statements in conformity with U.S. generally accepted accounting principles (U.S. GAAP) requires management to make estimates that affect the amounts reported in the financial statements and accompanying notes and supplemental schedules. Actual results could differ from these estimates. The accompanying financial statements have been prepared on the accrual basis of accounting.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Master Trust</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Plans provide that both participant contributions and company matching contributions be held in a trust by an independent trustee for the benefit of participating employees. During 2021 and 2020, The Northern Trust Company maintained the accounting of the aggregate value of assets associated with each Plan participating in the Master Trust. The respective ownership interest of each Plan is determined using a unit-valuation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9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2021 and 2020</w:t>
      </w:r>
    </w:p>
    <w:p>
      <w:pPr>
        <w:spacing w:after="0" w:line="200" w:lineRule="exact"/>
        <w:rPr>
          <w:sz w:val="20"/>
          <w:szCs w:val="20"/>
          <w:color w:val="auto"/>
        </w:rPr>
      </w:pPr>
    </w:p>
    <w:p>
      <w:pPr>
        <w:spacing w:after="0" w:line="34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Purchases and sales of securities are recorded on a trade-date basis. Interest income is recorded as earned. Dividends are recorded on the ex-dividend date. Net appreciation includes gains and losses on investments bought and sold, as well as held during the year.</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Investment income, including net appreciation/depreciation in fair value of investments and expenses, is allocated to the participating plans based upon their pro rata share of the net assets of the Master Trust.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Net investment income for the Master Trust for the year ended December 31, 2021 is as follows:</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080" w:type="dxa"/>
            <w:vAlign w:val="bottom"/>
          </w:tcPr>
          <w:p>
            <w:pPr>
              <w:spacing w:after="0"/>
              <w:rPr>
                <w:sz w:val="20"/>
                <w:szCs w:val="20"/>
                <w:color w:val="auto"/>
              </w:rPr>
            </w:pPr>
            <w:r>
              <w:rPr>
                <w:rFonts w:ascii="Arial" w:cs="Arial" w:eastAsia="Arial" w:hAnsi="Arial"/>
                <w:sz w:val="20"/>
                <w:szCs w:val="20"/>
                <w:color w:val="auto"/>
              </w:rPr>
              <w:t>Net realized and unrealized gains and losses on investments</w:t>
            </w: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1,703,448,711</w:t>
            </w:r>
          </w:p>
        </w:tc>
      </w:tr>
      <w:tr>
        <w:trPr>
          <w:trHeight w:val="243"/>
        </w:trPr>
        <w:tc>
          <w:tcPr>
            <w:tcW w:w="6080" w:type="dxa"/>
            <w:vAlign w:val="bottom"/>
          </w:tcPr>
          <w:p>
            <w:pPr>
              <w:spacing w:after="0"/>
              <w:rPr>
                <w:sz w:val="20"/>
                <w:szCs w:val="20"/>
                <w:color w:val="auto"/>
              </w:rPr>
            </w:pPr>
            <w:r>
              <w:rPr>
                <w:rFonts w:ascii="Arial" w:cs="Arial" w:eastAsia="Arial" w:hAnsi="Arial"/>
                <w:sz w:val="20"/>
                <w:szCs w:val="20"/>
                <w:color w:val="auto"/>
              </w:rPr>
              <w:t>Interest income, net of expenses</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6,284,271</w:t>
            </w:r>
          </w:p>
        </w:tc>
      </w:tr>
      <w:tr>
        <w:trPr>
          <w:trHeight w:val="246"/>
        </w:trPr>
        <w:tc>
          <w:tcPr>
            <w:tcW w:w="6080" w:type="dxa"/>
            <w:vAlign w:val="bottom"/>
          </w:tcPr>
          <w:p>
            <w:pPr>
              <w:spacing w:after="0"/>
              <w:rPr>
                <w:sz w:val="20"/>
                <w:szCs w:val="20"/>
                <w:color w:val="auto"/>
              </w:rPr>
            </w:pPr>
            <w:r>
              <w:rPr>
                <w:rFonts w:ascii="Arial" w:cs="Arial" w:eastAsia="Arial" w:hAnsi="Arial"/>
                <w:sz w:val="20"/>
                <w:szCs w:val="20"/>
                <w:color w:val="auto"/>
              </w:rPr>
              <w:t>Dividend income</w:t>
            </w: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36,767,630</w:t>
            </w:r>
          </w:p>
        </w:tc>
      </w:tr>
      <w:tr>
        <w:trPr>
          <w:trHeight w:val="236"/>
        </w:trPr>
        <w:tc>
          <w:tcPr>
            <w:tcW w:w="6080" w:type="dxa"/>
            <w:vAlign w:val="bottom"/>
          </w:tcPr>
          <w:p>
            <w:pPr>
              <w:ind w:left="160"/>
              <w:spacing w:after="0"/>
              <w:rPr>
                <w:sz w:val="20"/>
                <w:szCs w:val="20"/>
                <w:color w:val="auto"/>
              </w:rPr>
            </w:pPr>
            <w:r>
              <w:rPr>
                <w:rFonts w:ascii="Arial" w:cs="Arial" w:eastAsia="Arial" w:hAnsi="Arial"/>
                <w:sz w:val="20"/>
                <w:szCs w:val="20"/>
                <w:color w:val="auto"/>
              </w:rPr>
              <w:t>Net investment income</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1,746,500,612</w:t>
            </w:r>
          </w:p>
        </w:tc>
      </w:tr>
      <w:tr>
        <w:trPr>
          <w:trHeight w:val="21"/>
        </w:trPr>
        <w:tc>
          <w:tcPr>
            <w:tcW w:w="6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interests in the net assets of the Master Trust of the 401(k) Plan and the Puerto Rico Plan are presented in the accompanying financial statements.</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Master Trust holds synthetic GICs with third-party financial service institutions. The synthetic GICs are wrap contracts paired with an underlying investment portfolio of common/collective trust funds that invest in average-quality, short/intermediate-term, fixed-income securities. A synthetic GIC credits the holder’s account with a stated crediting rate for a specified period of time. Investment gains and losses are amortized over the expected duration through the calculation of the crediting rate applicable to the Plans on a prospective basis. Synthetic GICs provide for a variable crediting rate, which typically resets at least quarterly, and the issuers of the wrap contract provide a guarantee that future adjustments to the crediting rate cannot result in a crediting rate less than zero.</w:t>
      </w:r>
    </w:p>
    <w:p>
      <w:pPr>
        <w:spacing w:after="0" w:line="23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crediting rate is primarily based on the current yield-to-maturity of the covered investments, plus or minus amortization of the difference between the market value and contract value of the covered investments over the expected duration at the time of computation. The crediting rate is impacted by the change in the annual effective yield-to-maturity of the underlying securities but is also affected by the differential between the contract value and the market value of the covered investments.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Generally, contract value withdrawals will be made pro rata based on the percentage of investments covered by each issuer. The terms of the wrap contracts generally provide for full contract value withdrawal only upon termination of the contract or total liquidation of the covered investments. Contract termination occurs whenever the contract value or market value of the covered investments reaches zero or upon certain events of default. If the contract terminates due to issuer default (other than a default occurring because of a decline in its rating), the issuer will generally be required to pay to the Plans the excess, if any, of contract value over market value on the date of termination. If the contract terminates when the market value equals zero, the issuer will pay the excess of contract value over market value to</w:t>
      </w:r>
    </w:p>
    <w:p>
      <w:pPr>
        <w:sectPr>
          <w:pgSz w:w="11900" w:h="16838" w:orient="portrait"/>
          <w:cols w:equalWidth="0" w:num="1">
            <w:col w:w="11240"/>
          </w:cols>
          <w:pgMar w:left="320" w:top="1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90"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2021 and 2020</w:t>
      </w:r>
    </w:p>
    <w:p>
      <w:pPr>
        <w:spacing w:after="0" w:line="200" w:lineRule="exact"/>
        <w:rPr>
          <w:sz w:val="20"/>
          <w:szCs w:val="20"/>
          <w:color w:val="auto"/>
        </w:rPr>
      </w:pPr>
    </w:p>
    <w:p>
      <w:pPr>
        <w:spacing w:after="0" w:line="34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Plans to the extent necessary for the Plans to satisfy outstanding contract value withdrawal requests. Contract termination also may occur by either party upon election and notice. However, such election by a contract issuer typically allows for a gradual asset risk wind-down generally over the portfolio’s duration and would maintain contract value on the Plans.</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Certain events, including (1) certain amendments to the Plans' documents (including complete or partial plan termination or merger with another plan), (2) changes to the Plans’ prohibition on competing investment options or deletion of equity wash provisions, (3) bankruptcy of the Plans' sponsors or other Plans' sponsor events that cause a significant withdrawal from the Plans, and (4) the failure of the Master Trust to qualify for exemption from federal income taxes or any required prohibited transaction exemption under ERISA, limit the ability of the Plans to transact contract value withdrawals from the wrap contracts. The plan administrator believes that the occurrence of any such event which would limit the Plans’ ability to transact contract value withdrawals is not probable of occurring.</w:t>
      </w: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synthetic GICs generally impose conditions on both the Plans and the issuer. If an event of default, as defined, occurs and is not cured, and the Plans are unable to negotiate continuing coverage or obtain a replacement investment contract, the Plans may experience losses if the value of the Plans’ assets no longer covered by the contract is below contract value. The combination of the default of an issuer and an inability to obtain replacement coverage could render the Plans unable to achieve their objective of maintaining a stable contract value. The plan administrator does not believe the occurrence of any such event has occurred or is probable of occurring.</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Fair Value Measurements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ASC 820 defines fair value, establishes a framework for measuring fair value, and expands disclosures about fair value measurements. Fair value is defined as the price that would be received to sell an asset or paid to transfer a liability in an orderly transaction between market participants at the measurement date (i.e., an exit price). ASC 820 includes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under ASC 820 are described below:</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Level 1 - Inputs to the valuation methodology are unadjusted quoted prices for identical assets or liabilities in active markets.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2 - Inputs to the valuation methodology include:</w:t>
      </w:r>
    </w:p>
    <w:p>
      <w:pPr>
        <w:spacing w:after="0" w:line="26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Quoted prices for similar assets and liabilities in active markets</w:t>
      </w:r>
    </w:p>
    <w:p>
      <w:pPr>
        <w:spacing w:after="0" w:line="24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Quoted prices for identical or similar assets or liabilities in markets that are not 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9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2021 and 2020</w:t>
      </w:r>
    </w:p>
    <w:p>
      <w:pPr>
        <w:spacing w:after="0" w:line="200" w:lineRule="exact"/>
        <w:rPr>
          <w:sz w:val="20"/>
          <w:szCs w:val="20"/>
          <w:color w:val="auto"/>
        </w:rPr>
      </w:pPr>
    </w:p>
    <w:p>
      <w:pPr>
        <w:spacing w:after="0" w:line="345" w:lineRule="exact"/>
        <w:rPr>
          <w:sz w:val="20"/>
          <w:szCs w:val="20"/>
          <w:color w:val="auto"/>
        </w:rPr>
      </w:pPr>
    </w:p>
    <w:p>
      <w:pPr>
        <w:ind w:left="660" w:hanging="328"/>
        <w:spacing w:after="0" w:line="26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Inputs other than quoted prices that are for the assets or liabilities (e.g., interest rate and yield curve quotes at commonly quoted intervals)</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color w:val="auto"/>
        </w:rPr>
        <w:t>Inputs that are derived principally from or corroborated by observable market data by correlation or other means</w:t>
      </w:r>
    </w:p>
    <w:p>
      <w:pPr>
        <w:spacing w:after="0" w:line="258" w:lineRule="exact"/>
        <w:rPr>
          <w:sz w:val="20"/>
          <w:szCs w:val="20"/>
          <w:color w:val="auto"/>
        </w:rPr>
      </w:pPr>
    </w:p>
    <w:p>
      <w:pPr>
        <w:ind w:left="340"/>
        <w:spacing w:after="0" w:line="263" w:lineRule="auto"/>
        <w:rPr>
          <w:sz w:val="20"/>
          <w:szCs w:val="20"/>
          <w:color w:val="auto"/>
        </w:rPr>
      </w:pPr>
      <w:r>
        <w:rPr>
          <w:rFonts w:ascii="Arial" w:cs="Arial" w:eastAsia="Arial" w:hAnsi="Arial"/>
          <w:sz w:val="22"/>
          <w:szCs w:val="22"/>
          <w:color w:val="auto"/>
        </w:rPr>
        <w:t>If the asset or liability has a specified (contractual) term, the Level 2 input must be observable for substantially the full term of the asset or liability.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3 - Inputs to the valuation methodology are unobservable and significant to the fair value measurement.</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level in the fair value hierarchy within which the fair value measurement is classified is determined based upon the lowest level of input that is significant to the fair value measurement in its entirety.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 description of the valuation techniques and inputs used for assets measured at fair value:</w:t>
      </w:r>
    </w:p>
    <w:p>
      <w:pPr>
        <w:spacing w:after="0" w:line="260" w:lineRule="exact"/>
        <w:rPr>
          <w:sz w:val="20"/>
          <w:szCs w:val="20"/>
          <w:color w:val="auto"/>
        </w:rPr>
      </w:pPr>
    </w:p>
    <w:p>
      <w:pPr>
        <w:ind w:left="660" w:hanging="328"/>
        <w:spacing w:after="0" w:line="343"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9"/>
          <w:szCs w:val="19"/>
          <w:color w:val="auto"/>
        </w:rPr>
        <w:t>Registered investment companies (mutual funds) - Valued at the net asset value (NAV) of shares held by the Master Trust at year end, as quoted in the active market, and are classified within Level 1 of the valuation hierarchy.</w:t>
      </w:r>
    </w:p>
    <w:p>
      <w:pPr>
        <w:spacing w:after="0" w:line="144" w:lineRule="exact"/>
        <w:rPr>
          <w:rFonts w:ascii="Arial" w:cs="Arial" w:eastAsia="Arial" w:hAnsi="Arial"/>
          <w:sz w:val="16"/>
          <w:szCs w:val="16"/>
          <w:color w:val="auto"/>
        </w:rPr>
      </w:pPr>
    </w:p>
    <w:p>
      <w:pPr>
        <w:jc w:val="both"/>
        <w:ind w:left="660" w:hanging="328"/>
        <w:spacing w:after="0" w:line="25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Self-directed brokerage accounts (represents mutual funds and exchange-traded funds) - Valued at the NAV of shares held by the Master Trust at year end, as quoted in the active market, and are classified within Level 1 of the valuation hierarchy.</w:t>
      </w:r>
    </w:p>
    <w:p>
      <w:pPr>
        <w:spacing w:after="0" w:line="212"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Eli Lilly and Company common stock and other common stock - Valued at the closing price reported on the New York Stock Exchange and are classified within Level 1 of the valuation hierarchy.</w:t>
      </w:r>
    </w:p>
    <w:p>
      <w:pPr>
        <w:spacing w:after="0" w:line="215" w:lineRule="exact"/>
        <w:rPr>
          <w:rFonts w:ascii="Arial" w:cs="Arial" w:eastAsia="Arial" w:hAnsi="Arial"/>
          <w:sz w:val="22"/>
          <w:szCs w:val="22"/>
          <w:color w:val="auto"/>
        </w:rPr>
      </w:pPr>
    </w:p>
    <w:p>
      <w:pPr>
        <w:jc w:val="both"/>
        <w:ind w:left="660" w:hanging="328"/>
        <w:spacing w:after="0" w:line="250"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Interest in common/collective trusts - Represents interests in pooled investment vehicles designed primarily for collective investment of employee benefit trusts. The fair value of the investments in this category has been estimated using the NAV per unit as a practical expedient provided by the fund managers. Redemption restrictions range from 1 to 30 days, and there were no unfunded commitments in this investment category.</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valuation methodologies described above may produce a fair value calculation that may not be indicative of net realizable value or reflective of future fair values. Furthermore, while the Plans believe their valuation methods are appropriate and consistent with those of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2021 and 2020.</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90"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December 31, 2021 and 2020</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the net assets of the Master Trust and the Master Trust's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2021, by level, within the fair value hierarchy:</w:t>
      </w:r>
    </w:p>
    <w:p>
      <w:pPr>
        <w:spacing w:after="0" w:line="268"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jc w:val="right"/>
              <w:ind w:right="308"/>
              <w:spacing w:after="0"/>
              <w:rPr>
                <w:sz w:val="20"/>
                <w:szCs w:val="20"/>
                <w:color w:val="auto"/>
              </w:rPr>
            </w:pPr>
            <w:r>
              <w:rPr>
                <w:rFonts w:ascii="Arial" w:cs="Arial" w:eastAsia="Arial" w:hAnsi="Arial"/>
                <w:sz w:val="14"/>
                <w:szCs w:val="14"/>
                <w:b w:val="1"/>
                <w:bCs w:val="1"/>
                <w:color w:val="auto"/>
              </w:rPr>
              <w:t>Master Trust</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6"/>
                <w:szCs w:val="16"/>
                <w:color w:val="auto"/>
              </w:rPr>
            </w:pPr>
          </w:p>
        </w:tc>
        <w:tc>
          <w:tcPr>
            <w:tcW w:w="16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3"/>
        </w:trPr>
        <w:tc>
          <w:tcPr>
            <w:tcW w:w="278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384,248,057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384,248,057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ind w:left="11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120"/>
              <w:spacing w:after="0"/>
              <w:rPr>
                <w:sz w:val="20"/>
                <w:szCs w:val="20"/>
                <w:color w:val="auto"/>
              </w:rPr>
            </w:pPr>
            <w:r>
              <w:rPr>
                <w:rFonts w:ascii="Arial" w:cs="Arial" w:eastAsia="Arial" w:hAnsi="Arial"/>
                <w:sz w:val="14"/>
                <w:szCs w:val="14"/>
                <w:color w:val="auto"/>
              </w:rPr>
              <w:t>Self-directed brokerage accounts</w:t>
            </w:r>
          </w:p>
        </w:tc>
        <w:tc>
          <w:tcPr>
            <w:tcW w:w="6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286,398,337</w:t>
            </w:r>
          </w:p>
        </w:tc>
        <w:tc>
          <w:tcPr>
            <w:tcW w:w="2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286,398,337</w:t>
            </w:r>
          </w:p>
        </w:tc>
        <w:tc>
          <w:tcPr>
            <w:tcW w:w="280" w:type="dxa"/>
            <w:vAlign w:val="bottom"/>
          </w:tcPr>
          <w:p>
            <w:pPr>
              <w:spacing w:after="0"/>
              <w:rPr>
                <w:sz w:val="16"/>
                <w:szCs w:val="16"/>
                <w:color w:val="auto"/>
              </w:rPr>
            </w:pPr>
          </w:p>
        </w:tc>
        <w:tc>
          <w:tcPr>
            <w:tcW w:w="1360" w:type="dxa"/>
            <w:vAlign w:val="bottom"/>
          </w:tcPr>
          <w:p>
            <w:pPr>
              <w:ind w:left="1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120"/>
              <w:spacing w:after="0"/>
              <w:rPr>
                <w:sz w:val="20"/>
                <w:szCs w:val="20"/>
                <w:color w:val="auto"/>
              </w:rPr>
            </w:pPr>
            <w:r>
              <w:rPr>
                <w:rFonts w:ascii="Arial" w:cs="Arial" w:eastAsia="Arial" w:hAnsi="Arial"/>
                <w:sz w:val="14"/>
                <w:szCs w:val="14"/>
                <w:color w:val="auto"/>
              </w:rPr>
              <w:t>Eli Lilly and Company common stock</w:t>
            </w:r>
          </w:p>
        </w:tc>
        <w:tc>
          <w:tcPr>
            <w:tcW w:w="6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1,468,085,821</w:t>
            </w:r>
          </w:p>
        </w:tc>
        <w:tc>
          <w:tcPr>
            <w:tcW w:w="2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1,468,085,821</w:t>
            </w:r>
          </w:p>
        </w:tc>
        <w:tc>
          <w:tcPr>
            <w:tcW w:w="280" w:type="dxa"/>
            <w:vAlign w:val="bottom"/>
          </w:tcPr>
          <w:p>
            <w:pPr>
              <w:spacing w:after="0"/>
              <w:rPr>
                <w:sz w:val="16"/>
                <w:szCs w:val="16"/>
                <w:color w:val="auto"/>
              </w:rPr>
            </w:pPr>
          </w:p>
        </w:tc>
        <w:tc>
          <w:tcPr>
            <w:tcW w:w="1360" w:type="dxa"/>
            <w:vAlign w:val="bottom"/>
          </w:tcPr>
          <w:p>
            <w:pPr>
              <w:ind w:left="1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780" w:type="dxa"/>
            <w:vAlign w:val="bottom"/>
          </w:tcPr>
          <w:p>
            <w:pPr>
              <w:ind w:left="120"/>
              <w:spacing w:after="0"/>
              <w:rPr>
                <w:sz w:val="20"/>
                <w:szCs w:val="20"/>
                <w:color w:val="auto"/>
              </w:rPr>
            </w:pPr>
            <w:r>
              <w:rPr>
                <w:rFonts w:ascii="Arial" w:cs="Arial" w:eastAsia="Arial" w:hAnsi="Arial"/>
                <w:sz w:val="14"/>
                <w:szCs w:val="14"/>
                <w:color w:val="auto"/>
              </w:rPr>
              <w:t>Other common stock</w:t>
            </w:r>
          </w:p>
        </w:tc>
        <w:tc>
          <w:tcPr>
            <w:tcW w:w="64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131,826,881</w:t>
            </w:r>
          </w:p>
        </w:tc>
        <w:tc>
          <w:tcPr>
            <w:tcW w:w="28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131,826,881</w:t>
            </w:r>
          </w:p>
        </w:tc>
        <w:tc>
          <w:tcPr>
            <w:tcW w:w="280" w:type="dxa"/>
            <w:vAlign w:val="bottom"/>
          </w:tcPr>
          <w:p>
            <w:pPr>
              <w:spacing w:after="0"/>
              <w:rPr>
                <w:sz w:val="16"/>
                <w:szCs w:val="16"/>
                <w:color w:val="auto"/>
              </w:rPr>
            </w:pP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280"/>
              <w:spacing w:after="0"/>
              <w:rPr>
                <w:sz w:val="20"/>
                <w:szCs w:val="20"/>
                <w:color w:val="auto"/>
              </w:rPr>
            </w:pPr>
            <w:r>
              <w:rPr>
                <w:rFonts w:ascii="Arial" w:cs="Arial" w:eastAsia="Arial" w:hAnsi="Arial"/>
                <w:sz w:val="14"/>
                <w:szCs w:val="14"/>
                <w:color w:val="auto"/>
              </w:rPr>
              <w:t>Total</w:t>
            </w:r>
          </w:p>
        </w:tc>
        <w:tc>
          <w:tcPr>
            <w:tcW w:w="6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2,270,559,096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2,270,559,096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420" w:type="dxa"/>
            <w:vAlign w:val="bottom"/>
            <w:gridSpan w:val="2"/>
            <w:vMerge w:val="restart"/>
          </w:tcPr>
          <w:p>
            <w:pPr>
              <w:ind w:left="200"/>
              <w:spacing w:after="0"/>
              <w:rPr>
                <w:sz w:val="20"/>
                <w:szCs w:val="20"/>
                <w:color w:val="auto"/>
              </w:rPr>
            </w:pPr>
            <w:r>
              <w:rPr>
                <w:rFonts w:ascii="Arial" w:cs="Arial" w:eastAsia="Arial" w:hAnsi="Arial"/>
                <w:sz w:val="14"/>
                <w:szCs w:val="14"/>
                <w:color w:val="auto"/>
                <w:w w:val="94"/>
              </w:rPr>
              <w:t>Interest in common/collective trusts, measured at NAV</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6,782,130,495</w:t>
            </w: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3420" w:type="dxa"/>
            <w:vAlign w:val="bottom"/>
            <w:gridSpan w:val="2"/>
            <w:vMerge w:val="continue"/>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80" w:type="dxa"/>
            <w:vAlign w:val="bottom"/>
          </w:tcPr>
          <w:p>
            <w:pPr>
              <w:ind w:left="280"/>
              <w:spacing w:after="0" w:line="122" w:lineRule="exact"/>
              <w:rPr>
                <w:sz w:val="20"/>
                <w:szCs w:val="20"/>
                <w:color w:val="auto"/>
              </w:rPr>
            </w:pPr>
            <w:r>
              <w:rPr>
                <w:rFonts w:ascii="Arial" w:cs="Arial" w:eastAsia="Arial" w:hAnsi="Arial"/>
                <w:sz w:val="14"/>
                <w:szCs w:val="14"/>
                <w:color w:val="auto"/>
              </w:rPr>
              <w:t>Total Master Trust investments</w:t>
            </w:r>
          </w:p>
        </w:tc>
        <w:tc>
          <w:tcPr>
            <w:tcW w:w="64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9,052,689,591</w:t>
            </w:r>
          </w:p>
        </w:tc>
        <w:tc>
          <w:tcPr>
            <w:tcW w:w="2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80" w:type="dxa"/>
            <w:vAlign w:val="bottom"/>
          </w:tcPr>
          <w:p>
            <w:pPr>
              <w:ind w:left="600"/>
              <w:spacing w:after="0"/>
              <w:rPr>
                <w:sz w:val="20"/>
                <w:szCs w:val="20"/>
                <w:color w:val="auto"/>
              </w:rPr>
            </w:pPr>
            <w:r>
              <w:rPr>
                <w:rFonts w:ascii="Arial" w:cs="Arial" w:eastAsia="Arial" w:hAnsi="Arial"/>
                <w:sz w:val="14"/>
                <w:szCs w:val="14"/>
                <w:color w:val="auto"/>
              </w:rPr>
              <w:t>at fair value</w:t>
            </w:r>
          </w:p>
        </w:tc>
        <w:tc>
          <w:tcPr>
            <w:tcW w:w="6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line="142" w:lineRule="exact"/>
              <w:rPr>
                <w:sz w:val="20"/>
                <w:szCs w:val="20"/>
                <w:color w:val="auto"/>
              </w:rPr>
            </w:pPr>
            <w:r>
              <w:rPr>
                <w:rFonts w:ascii="Arial" w:cs="Arial" w:eastAsia="Arial" w:hAnsi="Arial"/>
                <w:sz w:val="14"/>
                <w:szCs w:val="14"/>
                <w:color w:val="auto"/>
              </w:rPr>
              <w:t>Investments at contract value –</w:t>
            </w:r>
          </w:p>
        </w:tc>
        <w:tc>
          <w:tcPr>
            <w:tcW w:w="64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998,096,251</w:t>
            </w: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320"/>
              <w:spacing w:after="0"/>
              <w:rPr>
                <w:sz w:val="20"/>
                <w:szCs w:val="20"/>
                <w:color w:val="auto"/>
              </w:rPr>
            </w:pPr>
            <w:r>
              <w:rPr>
                <w:rFonts w:ascii="Arial" w:cs="Arial" w:eastAsia="Arial" w:hAnsi="Arial"/>
                <w:sz w:val="14"/>
                <w:szCs w:val="14"/>
                <w:color w:val="auto"/>
              </w:rPr>
              <w:t>Synthetic GICs</w:t>
            </w:r>
          </w:p>
        </w:tc>
        <w:tc>
          <w:tcPr>
            <w:tcW w:w="64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280"/>
              <w:spacing w:after="0"/>
              <w:rPr>
                <w:sz w:val="20"/>
                <w:szCs w:val="20"/>
                <w:color w:val="auto"/>
              </w:rPr>
            </w:pPr>
            <w:r>
              <w:rPr>
                <w:rFonts w:ascii="Arial" w:cs="Arial" w:eastAsia="Arial" w:hAnsi="Arial"/>
                <w:sz w:val="14"/>
                <w:szCs w:val="14"/>
                <w:color w:val="auto"/>
              </w:rPr>
              <w:t>Total Master Trust investments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10,050,785,842</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90" w:right="339" w:bottom="1440" w:gutter="0" w:footer="0" w:header="0"/>
        </w:sectPr>
      </w:pPr>
    </w:p>
    <w:bookmarkStart w:id="14" w:name="page15"/>
    <w:bookmarkEnd w:id="14"/>
    <w:p>
      <w:pPr>
        <w:jc w:val="center"/>
        <w:ind w:right="-9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December 31, 2021 and 2020</w:t>
      </w:r>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Arial" w:cs="Arial" w:eastAsia="Arial" w:hAnsi="Arial"/>
          <w:sz w:val="21"/>
          <w:szCs w:val="21"/>
          <w:color w:val="auto"/>
        </w:rPr>
        <w:t>The following table sets forth the net assets of the Master Trust and the Master Trust's assets carried at fair value as of</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December 31, 2020, by level, within the fair value hierarchy</w:t>
      </w:r>
      <w:r>
        <w:rPr>
          <w:rFonts w:ascii="Arial" w:cs="Arial" w:eastAsia="Arial" w:hAnsi="Arial"/>
          <w:sz w:val="17"/>
          <w:szCs w:val="17"/>
          <w:color w:val="auto"/>
        </w:rPr>
        <w: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jc w:val="right"/>
              <w:ind w:right="308"/>
              <w:spacing w:after="0"/>
              <w:rPr>
                <w:sz w:val="20"/>
                <w:szCs w:val="20"/>
                <w:color w:val="auto"/>
              </w:rPr>
            </w:pPr>
            <w:r>
              <w:rPr>
                <w:rFonts w:ascii="Arial" w:cs="Arial" w:eastAsia="Arial" w:hAnsi="Arial"/>
                <w:sz w:val="14"/>
                <w:szCs w:val="14"/>
                <w:b w:val="1"/>
                <w:bCs w:val="1"/>
                <w:color w:val="auto"/>
              </w:rPr>
              <w:t>Master Trust</w:t>
            </w: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6"/>
                <w:szCs w:val="16"/>
                <w:color w:val="auto"/>
              </w:rPr>
            </w:pPr>
          </w:p>
        </w:tc>
        <w:tc>
          <w:tcPr>
            <w:tcW w:w="16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3"/>
        </w:trPr>
        <w:tc>
          <w:tcPr>
            <w:tcW w:w="2700" w:type="dxa"/>
            <w:vAlign w:val="bottom"/>
          </w:tcPr>
          <w:p>
            <w:pPr>
              <w:spacing w:after="0"/>
              <w:rPr>
                <w:sz w:val="20"/>
                <w:szCs w:val="20"/>
                <w:color w:val="auto"/>
              </w:rPr>
            </w:pPr>
            <w:r>
              <w:rPr>
                <w:rFonts w:ascii="Arial" w:cs="Arial" w:eastAsia="Arial" w:hAnsi="Arial"/>
                <w:sz w:val="14"/>
                <w:szCs w:val="14"/>
                <w:color w:val="auto"/>
              </w:rPr>
              <w:t>nvestments at fair value:</w:t>
            </w: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40"/>
              <w:spacing w:after="0"/>
              <w:rPr>
                <w:sz w:val="20"/>
                <w:szCs w:val="20"/>
                <w:color w:val="auto"/>
              </w:rPr>
            </w:pPr>
            <w:r>
              <w:rPr>
                <w:rFonts w:ascii="Arial" w:cs="Arial" w:eastAsia="Arial" w:hAnsi="Arial"/>
                <w:sz w:val="14"/>
                <w:szCs w:val="14"/>
                <w:color w:val="auto"/>
              </w:rPr>
              <w:t>Registered investment companies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476,858,186</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476,858,186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00" w:type="dxa"/>
            <w:vAlign w:val="bottom"/>
          </w:tcPr>
          <w:p>
            <w:pPr>
              <w:ind w:left="40"/>
              <w:spacing w:after="0"/>
              <w:rPr>
                <w:sz w:val="20"/>
                <w:szCs w:val="20"/>
                <w:color w:val="auto"/>
              </w:rPr>
            </w:pPr>
            <w:r>
              <w:rPr>
                <w:rFonts w:ascii="Arial" w:cs="Arial" w:eastAsia="Arial" w:hAnsi="Arial"/>
                <w:sz w:val="14"/>
                <w:szCs w:val="14"/>
                <w:color w:val="auto"/>
              </w:rPr>
              <w:t>Self-directed brokerage accounts</w:t>
            </w:r>
          </w:p>
        </w:tc>
        <w:tc>
          <w:tcPr>
            <w:tcW w:w="6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253,972,497</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253,972,497</w:t>
            </w:r>
          </w:p>
        </w:tc>
        <w:tc>
          <w:tcPr>
            <w:tcW w:w="280" w:type="dxa"/>
            <w:vAlign w:val="bottom"/>
          </w:tcPr>
          <w:p>
            <w:pPr>
              <w:spacing w:after="0"/>
              <w:rPr>
                <w:sz w:val="16"/>
                <w:szCs w:val="16"/>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80" w:type="dxa"/>
            <w:vAlign w:val="bottom"/>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00" w:type="dxa"/>
            <w:vAlign w:val="bottom"/>
          </w:tcPr>
          <w:p>
            <w:pPr>
              <w:ind w:left="40"/>
              <w:spacing w:after="0"/>
              <w:rPr>
                <w:sz w:val="20"/>
                <w:szCs w:val="20"/>
                <w:color w:val="auto"/>
              </w:rPr>
            </w:pPr>
            <w:r>
              <w:rPr>
                <w:rFonts w:ascii="Arial" w:cs="Arial" w:eastAsia="Arial" w:hAnsi="Arial"/>
                <w:sz w:val="14"/>
                <w:szCs w:val="14"/>
                <w:color w:val="auto"/>
              </w:rPr>
              <w:t>Eli Lilly and Company common stock</w:t>
            </w:r>
          </w:p>
        </w:tc>
        <w:tc>
          <w:tcPr>
            <w:tcW w:w="6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968,264,814</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968,264,814</w:t>
            </w:r>
          </w:p>
        </w:tc>
        <w:tc>
          <w:tcPr>
            <w:tcW w:w="280" w:type="dxa"/>
            <w:vAlign w:val="bottom"/>
          </w:tcPr>
          <w:p>
            <w:pPr>
              <w:spacing w:after="0"/>
              <w:rPr>
                <w:sz w:val="16"/>
                <w:szCs w:val="16"/>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80" w:type="dxa"/>
            <w:vAlign w:val="bottom"/>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700" w:type="dxa"/>
            <w:vAlign w:val="bottom"/>
          </w:tcPr>
          <w:p>
            <w:pPr>
              <w:ind w:left="40"/>
              <w:spacing w:after="0"/>
              <w:rPr>
                <w:sz w:val="20"/>
                <w:szCs w:val="20"/>
                <w:color w:val="auto"/>
              </w:rPr>
            </w:pPr>
            <w:r>
              <w:rPr>
                <w:rFonts w:ascii="Arial" w:cs="Arial" w:eastAsia="Arial" w:hAnsi="Arial"/>
                <w:sz w:val="14"/>
                <w:szCs w:val="14"/>
                <w:color w:val="auto"/>
              </w:rPr>
              <w:t>Other common stock</w:t>
            </w:r>
          </w:p>
        </w:tc>
        <w:tc>
          <w:tcPr>
            <w:tcW w:w="640" w:type="dxa"/>
            <w:vAlign w:val="bottom"/>
          </w:tcPr>
          <w:p>
            <w:pPr>
              <w:spacing w:after="0"/>
              <w:rPr>
                <w:sz w:val="16"/>
                <w:szCs w:val="16"/>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98,724,496</w:t>
            </w:r>
          </w:p>
        </w:tc>
        <w:tc>
          <w:tcPr>
            <w:tcW w:w="26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98,724,496</w:t>
            </w:r>
          </w:p>
        </w:tc>
        <w:tc>
          <w:tcPr>
            <w:tcW w:w="280" w:type="dxa"/>
            <w:vAlign w:val="bottom"/>
          </w:tcPr>
          <w:p>
            <w:pPr>
              <w:spacing w:after="0"/>
              <w:rPr>
                <w:sz w:val="16"/>
                <w:szCs w:val="16"/>
                <w:color w:val="auto"/>
              </w:rPr>
            </w:pPr>
          </w:p>
        </w:tc>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8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00" w:type="dxa"/>
            <w:vAlign w:val="bottom"/>
          </w:tcPr>
          <w:p>
            <w:pPr>
              <w:ind w:left="200"/>
              <w:spacing w:after="0"/>
              <w:rPr>
                <w:sz w:val="20"/>
                <w:szCs w:val="20"/>
                <w:color w:val="auto"/>
              </w:rPr>
            </w:pPr>
            <w:r>
              <w:rPr>
                <w:rFonts w:ascii="Arial" w:cs="Arial" w:eastAsia="Arial" w:hAnsi="Arial"/>
                <w:sz w:val="14"/>
                <w:szCs w:val="14"/>
                <w:color w:val="auto"/>
              </w:rPr>
              <w:t>Total</w:t>
            </w:r>
          </w:p>
        </w:tc>
        <w:tc>
          <w:tcPr>
            <w:tcW w:w="6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1,797,819,993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1,797,819,993</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340" w:type="dxa"/>
            <w:vAlign w:val="bottom"/>
            <w:gridSpan w:val="2"/>
            <w:vMerge w:val="restart"/>
          </w:tcPr>
          <w:p>
            <w:pPr>
              <w:ind w:left="120"/>
              <w:spacing w:after="0"/>
              <w:rPr>
                <w:sz w:val="20"/>
                <w:szCs w:val="20"/>
                <w:color w:val="auto"/>
              </w:rPr>
            </w:pPr>
            <w:r>
              <w:rPr>
                <w:rFonts w:ascii="Arial" w:cs="Arial" w:eastAsia="Arial" w:hAnsi="Arial"/>
                <w:sz w:val="14"/>
                <w:szCs w:val="14"/>
                <w:color w:val="auto"/>
                <w:w w:val="94"/>
              </w:rPr>
              <w:t>Interest in common/collective trusts, measured at NAV</w:t>
            </w: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5,681,355,879</w:t>
            </w:r>
          </w:p>
        </w:tc>
        <w:tc>
          <w:tcPr>
            <w:tcW w:w="2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3340" w:type="dxa"/>
            <w:vAlign w:val="bottom"/>
            <w:gridSpan w:val="2"/>
            <w:vMerge w:val="continue"/>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200"/>
              <w:spacing w:after="0" w:line="122" w:lineRule="exact"/>
              <w:rPr>
                <w:sz w:val="20"/>
                <w:szCs w:val="20"/>
                <w:color w:val="auto"/>
              </w:rPr>
            </w:pPr>
            <w:r>
              <w:rPr>
                <w:rFonts w:ascii="Arial" w:cs="Arial" w:eastAsia="Arial" w:hAnsi="Arial"/>
                <w:sz w:val="14"/>
                <w:szCs w:val="14"/>
                <w:color w:val="auto"/>
              </w:rPr>
              <w:t>Total Master Trust investments</w:t>
            </w:r>
          </w:p>
        </w:tc>
        <w:tc>
          <w:tcPr>
            <w:tcW w:w="640" w:type="dxa"/>
            <w:vAlign w:val="bottom"/>
          </w:tcPr>
          <w:p>
            <w:pPr>
              <w:spacing w:after="0"/>
              <w:rPr>
                <w:sz w:val="10"/>
                <w:szCs w:val="10"/>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7,479,175,872</w:t>
            </w:r>
          </w:p>
        </w:tc>
        <w:tc>
          <w:tcPr>
            <w:tcW w:w="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520"/>
              <w:spacing w:after="0"/>
              <w:rPr>
                <w:sz w:val="20"/>
                <w:szCs w:val="20"/>
                <w:color w:val="auto"/>
              </w:rPr>
            </w:pPr>
            <w:r>
              <w:rPr>
                <w:rFonts w:ascii="Arial" w:cs="Arial" w:eastAsia="Arial" w:hAnsi="Arial"/>
                <w:sz w:val="14"/>
                <w:szCs w:val="14"/>
                <w:color w:val="auto"/>
              </w:rPr>
              <w:t>at fair value</w:t>
            </w:r>
          </w:p>
        </w:tc>
        <w:tc>
          <w:tcPr>
            <w:tcW w:w="6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line="142" w:lineRule="exact"/>
              <w:rPr>
                <w:sz w:val="20"/>
                <w:szCs w:val="20"/>
                <w:color w:val="auto"/>
              </w:rPr>
            </w:pPr>
            <w:r>
              <w:rPr>
                <w:rFonts w:ascii="Arial" w:cs="Arial" w:eastAsia="Arial" w:hAnsi="Arial"/>
                <w:sz w:val="14"/>
                <w:szCs w:val="14"/>
                <w:color w:val="auto"/>
              </w:rPr>
              <w:t>nvestments at contract value –</w:t>
            </w:r>
          </w:p>
        </w:tc>
        <w:tc>
          <w:tcPr>
            <w:tcW w:w="640" w:type="dxa"/>
            <w:vAlign w:val="bottom"/>
          </w:tcPr>
          <w:p>
            <w:pPr>
              <w:spacing w:after="0"/>
              <w:rPr>
                <w:sz w:val="12"/>
                <w:szCs w:val="12"/>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982,950,906</w:t>
            </w: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240"/>
              <w:spacing w:after="0"/>
              <w:rPr>
                <w:sz w:val="20"/>
                <w:szCs w:val="20"/>
                <w:color w:val="auto"/>
              </w:rPr>
            </w:pPr>
            <w:r>
              <w:rPr>
                <w:rFonts w:ascii="Arial" w:cs="Arial" w:eastAsia="Arial" w:hAnsi="Arial"/>
                <w:sz w:val="14"/>
                <w:szCs w:val="14"/>
                <w:color w:val="auto"/>
              </w:rPr>
              <w:t>Synthetic GICs</w:t>
            </w:r>
          </w:p>
        </w:tc>
        <w:tc>
          <w:tcPr>
            <w:tcW w:w="64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200"/>
              <w:spacing w:after="0"/>
              <w:rPr>
                <w:sz w:val="20"/>
                <w:szCs w:val="20"/>
                <w:color w:val="auto"/>
              </w:rPr>
            </w:pPr>
            <w:r>
              <w:rPr>
                <w:rFonts w:ascii="Arial" w:cs="Arial" w:eastAsia="Arial" w:hAnsi="Arial"/>
                <w:sz w:val="14"/>
                <w:szCs w:val="14"/>
                <w:color w:val="auto"/>
              </w:rPr>
              <w:t>Total Master Trust investments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8,462,126,778</w:t>
            </w: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Note 5 - Income Tax Status</w:t>
      </w:r>
    </w:p>
    <w:p>
      <w:pPr>
        <w:spacing w:after="0" w:line="266" w:lineRule="exact"/>
        <w:rPr>
          <w:sz w:val="20"/>
          <w:szCs w:val="20"/>
          <w:color w:val="auto"/>
        </w:rPr>
      </w:pPr>
    </w:p>
    <w:p>
      <w:pPr>
        <w:jc w:val="both"/>
        <w:ind w:left="100"/>
        <w:spacing w:after="0" w:line="294" w:lineRule="auto"/>
        <w:rPr>
          <w:sz w:val="20"/>
          <w:szCs w:val="20"/>
          <w:color w:val="auto"/>
        </w:rPr>
      </w:pPr>
      <w:r>
        <w:rPr>
          <w:rFonts w:ascii="Arial" w:cs="Arial" w:eastAsia="Arial" w:hAnsi="Arial"/>
          <w:sz w:val="19"/>
          <w:szCs w:val="19"/>
          <w:color w:val="auto"/>
        </w:rPr>
        <w:t>The 401(k) Plan has received a determination letter from the IRS dated June 13, 2017, confirming generally that the 401(k) Plan meets the qualification requirements under Section 401(a) of the Internal Revenue Code (the Code) and, therefore, the related trust is exempt from taxation. Subsequent to the effective date of the determination letter, the 401(k) Plan was amended. Once qualified, the 401(k) Plan is required to operate in conformity with the Code to maintain its qualification. The plan administrator believes that the 401(k) Plan is being operated in compliance with applicable requirements of the Code and, therefore, believes that the 401(k) Plan remains qualified and the related trust is tax exempt.</w:t>
      </w:r>
    </w:p>
    <w:p>
      <w:pPr>
        <w:spacing w:after="0" w:line="176" w:lineRule="exact"/>
        <w:rPr>
          <w:sz w:val="20"/>
          <w:szCs w:val="20"/>
          <w:color w:val="auto"/>
        </w:rPr>
      </w:pPr>
    </w:p>
    <w:p>
      <w:pPr>
        <w:jc w:val="both"/>
        <w:ind w:left="100"/>
        <w:spacing w:after="0" w:line="261" w:lineRule="auto"/>
        <w:rPr>
          <w:sz w:val="20"/>
          <w:szCs w:val="20"/>
          <w:color w:val="auto"/>
        </w:rPr>
      </w:pPr>
      <w:r>
        <w:rPr>
          <w:rFonts w:ascii="Arial" w:cs="Arial" w:eastAsia="Arial" w:hAnsi="Arial"/>
          <w:sz w:val="21"/>
          <w:szCs w:val="21"/>
          <w:color w:val="auto"/>
        </w:rPr>
        <w:t>The Puerto Rico Plan received a determination letter from the Commonwealth of Puerto Rico’s Department of Treasury dated July 19, 2021, confirming generally that the Puerto Rico Plan meets the qualification requirements of Section 1081.01 of the Puerto Rico Internal Revenue Code of 2011 (the Puerto Rico Code). Once qualified, the Puerto Rico Plan is required to operate in conformity with the Puerto Rico Code to maintain its qualification. The plan administrator believes that the Puerto Rico Plan is being operated in compliance with applicable requirements of the Puerto Rico Code and, therefore, believes that the Puerto Rico Plan is qualified and the related trust is tax exempt.</w:t>
      </w:r>
    </w:p>
    <w:p>
      <w:pPr>
        <w:spacing w:after="0" w:line="220" w:lineRule="exact"/>
        <w:rPr>
          <w:sz w:val="20"/>
          <w:szCs w:val="20"/>
          <w:color w:val="auto"/>
        </w:rPr>
      </w:pPr>
    </w:p>
    <w:p>
      <w:pPr>
        <w:jc w:val="both"/>
        <w:ind w:left="100"/>
        <w:spacing w:after="0" w:line="250" w:lineRule="auto"/>
        <w:rPr>
          <w:sz w:val="20"/>
          <w:szCs w:val="20"/>
          <w:color w:val="auto"/>
        </w:rPr>
      </w:pPr>
      <w:r>
        <w:rPr>
          <w:rFonts w:ascii="Arial" w:cs="Arial" w:eastAsia="Arial" w:hAnsi="Arial"/>
          <w:sz w:val="22"/>
          <w:szCs w:val="22"/>
          <w:color w:val="auto"/>
        </w:rPr>
        <w:t>Accounting principles generally accepted in the United States require plan management to evaluate tax positions taken by the Plans and recognize a tax liability if the Plans have taken an uncertain position that more likely than not would not be sustained upon examination by the IRS. Plan management has analyzed the tax positions taken by the Plans and has concluded that there are no uncertain positions taken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20" w:top="19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2021 and 2020</w:t>
      </w:r>
    </w:p>
    <w:p>
      <w:pPr>
        <w:spacing w:after="0" w:line="200" w:lineRule="exact"/>
        <w:rPr>
          <w:sz w:val="20"/>
          <w:szCs w:val="20"/>
          <w:color w:val="auto"/>
        </w:rPr>
      </w:pPr>
    </w:p>
    <w:p>
      <w:pPr>
        <w:spacing w:after="0" w:line="34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expected to be taken. The Plans are subject to routine audits by taxing jurisdictions; however, there are currently no audits for any tax periods in progress.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Risks and Uncertainties</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Plans invest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Transactions with Related Parties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Plans invest in the common stock of the Company. During 2021, the 401(k) Plan received approximately $17,693,000 in cash dividends from the Company on the common stock of the Company owned by the 401(k) Plan. During 2021, the Puerto Rico Plan received approximately $1,065,000 in cash dividends from the Company on the common stock of the Company owned by the Puerto Rico Plan. Certain plan assets are in investments managed by The Northern Trust Company. These transactions qualify as party-in interest transactions; however, they are exempt from the prohibited transaction rules under ERISA and applicable regulatory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9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2021 and 2020</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Reconciliation of the Financial Statements to Form 5500</w:t>
      </w:r>
    </w:p>
    <w:p>
      <w:pPr>
        <w:spacing w:after="0" w:line="266"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The following are reconciliations of net assets available for benefits as of December 31, 2021 and 2020, and the net increase in net assets available for benefits for the year ended December 31, 2021, with the corresponding amounts in the Form 5500.</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59"/>
        </w:trPr>
        <w:tc>
          <w:tcPr>
            <w:tcW w:w="6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260" w:type="dxa"/>
            <w:vAlign w:val="bottom"/>
            <w:tcBorders>
              <w:bottom w:val="single" w:sz="8" w:color="auto"/>
            </w:tcBorders>
            <w:gridSpan w:val="4"/>
          </w:tcPr>
          <w:p>
            <w:pPr>
              <w:jc w:val="right"/>
              <w:ind w:right="1401"/>
              <w:spacing w:after="0"/>
              <w:rPr>
                <w:sz w:val="20"/>
                <w:szCs w:val="20"/>
                <w:color w:val="auto"/>
              </w:rPr>
            </w:pPr>
            <w:r>
              <w:rPr>
                <w:rFonts w:ascii="Arial" w:cs="Arial" w:eastAsia="Arial" w:hAnsi="Arial"/>
                <w:sz w:val="20"/>
                <w:szCs w:val="20"/>
                <w:b w:val="1"/>
                <w:bCs w:val="1"/>
                <w:color w:val="auto"/>
              </w:rPr>
              <w:t>December 31, 2021</w:t>
            </w:r>
          </w:p>
        </w:tc>
      </w:tr>
      <w:tr>
        <w:trPr>
          <w:trHeight w:val="250"/>
        </w:trPr>
        <w:tc>
          <w:tcPr>
            <w:tcW w:w="6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gridSpan w:val="2"/>
          </w:tcPr>
          <w:p>
            <w:pPr>
              <w:ind w:left="200"/>
              <w:spacing w:after="0"/>
              <w:rPr>
                <w:sz w:val="20"/>
                <w:szCs w:val="20"/>
                <w:color w:val="auto"/>
              </w:rPr>
            </w:pPr>
            <w:r>
              <w:rPr>
                <w:rFonts w:ascii="Arial" w:cs="Arial" w:eastAsia="Arial" w:hAnsi="Arial"/>
                <w:sz w:val="20"/>
                <w:szCs w:val="20"/>
                <w:b w:val="1"/>
                <w:bCs w:val="1"/>
                <w:color w:val="auto"/>
              </w:rPr>
              <w:t>401(k) Plan</w:t>
            </w:r>
          </w:p>
        </w:tc>
        <w:tc>
          <w:tcPr>
            <w:tcW w:w="240" w:type="dxa"/>
            <w:vAlign w:val="bottom"/>
          </w:tcPr>
          <w:p>
            <w:pPr>
              <w:spacing w:after="0"/>
              <w:rPr>
                <w:sz w:val="21"/>
                <w:szCs w:val="21"/>
                <w:color w:val="auto"/>
              </w:rPr>
            </w:pPr>
          </w:p>
        </w:tc>
        <w:tc>
          <w:tcPr>
            <w:tcW w:w="1960" w:type="dxa"/>
            <w:vAlign w:val="bottom"/>
          </w:tcPr>
          <w:p>
            <w:pPr>
              <w:jc w:val="right"/>
              <w:ind w:right="301"/>
              <w:spacing w:after="0"/>
              <w:rPr>
                <w:sz w:val="20"/>
                <w:szCs w:val="20"/>
                <w:color w:val="auto"/>
              </w:rPr>
            </w:pPr>
            <w:r>
              <w:rPr>
                <w:rFonts w:ascii="Arial" w:cs="Arial" w:eastAsia="Arial" w:hAnsi="Arial"/>
                <w:sz w:val="20"/>
                <w:szCs w:val="20"/>
                <w:b w:val="1"/>
                <w:bCs w:val="1"/>
                <w:color w:val="auto"/>
                <w:w w:val="96"/>
              </w:rPr>
              <w:t>Puerto Rico Plan</w:t>
            </w:r>
          </w:p>
        </w:tc>
      </w:tr>
      <w:tr>
        <w:trPr>
          <w:trHeight w:val="496"/>
        </w:trPr>
        <w:tc>
          <w:tcPr>
            <w:tcW w:w="6480" w:type="dxa"/>
            <w:vAlign w:val="bottom"/>
          </w:tcPr>
          <w:p>
            <w:pPr>
              <w:spacing w:after="0"/>
              <w:rPr>
                <w:sz w:val="20"/>
                <w:szCs w:val="20"/>
                <w:color w:val="auto"/>
              </w:rPr>
            </w:pPr>
            <w:r>
              <w:rPr>
                <w:rFonts w:ascii="Arial" w:cs="Arial" w:eastAsia="Arial" w:hAnsi="Arial"/>
                <w:sz w:val="20"/>
                <w:szCs w:val="20"/>
                <w:color w:val="auto"/>
              </w:rPr>
              <w:t>Net assets available for benefits at year end, as reported in the</w:t>
            </w:r>
          </w:p>
        </w:tc>
        <w:tc>
          <w:tcPr>
            <w:tcW w:w="3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r>
      <w:tr>
        <w:trPr>
          <w:trHeight w:val="243"/>
        </w:trPr>
        <w:tc>
          <w:tcPr>
            <w:tcW w:w="6480" w:type="dxa"/>
            <w:vAlign w:val="bottom"/>
          </w:tcPr>
          <w:p>
            <w:pPr>
              <w:ind w:left="140"/>
              <w:spacing w:after="0"/>
              <w:rPr>
                <w:sz w:val="20"/>
                <w:szCs w:val="20"/>
                <w:color w:val="auto"/>
              </w:rPr>
            </w:pPr>
            <w:r>
              <w:rPr>
                <w:rFonts w:ascii="Arial" w:cs="Arial" w:eastAsia="Arial" w:hAnsi="Arial"/>
                <w:sz w:val="20"/>
                <w:szCs w:val="20"/>
                <w:color w:val="auto"/>
              </w:rPr>
              <w:t>accompanying financial statements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9,734,318,754</w:t>
            </w:r>
          </w:p>
        </w:tc>
        <w:tc>
          <w:tcPr>
            <w:tcW w:w="32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346,313,426</w:t>
            </w:r>
          </w:p>
        </w:tc>
      </w:tr>
      <w:tr>
        <w:trPr>
          <w:trHeight w:val="246"/>
        </w:trPr>
        <w:tc>
          <w:tcPr>
            <w:tcW w:w="648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3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(3,125,654)</w:t>
            </w: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(62,692)</w:t>
            </w:r>
          </w:p>
        </w:tc>
      </w:tr>
      <w:tr>
        <w:trPr>
          <w:trHeight w:val="236"/>
        </w:trPr>
        <w:tc>
          <w:tcPr>
            <w:tcW w:w="6480" w:type="dxa"/>
            <w:vAlign w:val="bottom"/>
          </w:tcPr>
          <w:p>
            <w:pPr>
              <w:spacing w:after="0"/>
              <w:rPr>
                <w:sz w:val="20"/>
                <w:szCs w:val="20"/>
                <w:color w:val="auto"/>
              </w:rPr>
            </w:pPr>
            <w:r>
              <w:rPr>
                <w:rFonts w:ascii="Arial" w:cs="Arial" w:eastAsia="Arial" w:hAnsi="Arial"/>
                <w:sz w:val="20"/>
                <w:szCs w:val="20"/>
                <w:color w:val="auto"/>
              </w:rPr>
              <w:t>Net assets available for benefits per Form 5500</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9,731,193,100</w:t>
            </w:r>
          </w:p>
        </w:tc>
        <w:tc>
          <w:tcPr>
            <w:tcW w:w="32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346,250,734</w:t>
            </w:r>
          </w:p>
        </w:tc>
      </w:tr>
      <w:tr>
        <w:trPr>
          <w:trHeight w:val="21"/>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259"/>
        </w:trPr>
        <w:tc>
          <w:tcPr>
            <w:tcW w:w="6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260" w:type="dxa"/>
            <w:vAlign w:val="bottom"/>
            <w:tcBorders>
              <w:bottom w:val="single" w:sz="8" w:color="auto"/>
            </w:tcBorders>
            <w:gridSpan w:val="4"/>
          </w:tcPr>
          <w:p>
            <w:pPr>
              <w:jc w:val="right"/>
              <w:ind w:right="1401"/>
              <w:spacing w:after="0"/>
              <w:rPr>
                <w:sz w:val="20"/>
                <w:szCs w:val="20"/>
                <w:color w:val="auto"/>
              </w:rPr>
            </w:pPr>
            <w:r>
              <w:rPr>
                <w:rFonts w:ascii="Arial" w:cs="Arial" w:eastAsia="Arial" w:hAnsi="Arial"/>
                <w:sz w:val="20"/>
                <w:szCs w:val="20"/>
                <w:b w:val="1"/>
                <w:bCs w:val="1"/>
                <w:color w:val="auto"/>
              </w:rPr>
              <w:t>December 31, 2020</w:t>
            </w:r>
          </w:p>
        </w:tc>
      </w:tr>
      <w:tr>
        <w:trPr>
          <w:trHeight w:val="250"/>
        </w:trPr>
        <w:tc>
          <w:tcPr>
            <w:tcW w:w="6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gridSpan w:val="2"/>
          </w:tcPr>
          <w:p>
            <w:pPr>
              <w:ind w:left="200"/>
              <w:spacing w:after="0"/>
              <w:rPr>
                <w:sz w:val="20"/>
                <w:szCs w:val="20"/>
                <w:color w:val="auto"/>
              </w:rPr>
            </w:pPr>
            <w:r>
              <w:rPr>
                <w:rFonts w:ascii="Arial" w:cs="Arial" w:eastAsia="Arial" w:hAnsi="Arial"/>
                <w:sz w:val="20"/>
                <w:szCs w:val="20"/>
                <w:b w:val="1"/>
                <w:bCs w:val="1"/>
                <w:color w:val="auto"/>
              </w:rPr>
              <w:t>401(k) Plan</w:t>
            </w:r>
          </w:p>
        </w:tc>
        <w:tc>
          <w:tcPr>
            <w:tcW w:w="240" w:type="dxa"/>
            <w:vAlign w:val="bottom"/>
          </w:tcPr>
          <w:p>
            <w:pPr>
              <w:spacing w:after="0"/>
              <w:rPr>
                <w:sz w:val="21"/>
                <w:szCs w:val="21"/>
                <w:color w:val="auto"/>
              </w:rPr>
            </w:pPr>
          </w:p>
        </w:tc>
        <w:tc>
          <w:tcPr>
            <w:tcW w:w="1960" w:type="dxa"/>
            <w:vAlign w:val="bottom"/>
          </w:tcPr>
          <w:p>
            <w:pPr>
              <w:jc w:val="right"/>
              <w:ind w:right="301"/>
              <w:spacing w:after="0"/>
              <w:rPr>
                <w:sz w:val="20"/>
                <w:szCs w:val="20"/>
                <w:color w:val="auto"/>
              </w:rPr>
            </w:pPr>
            <w:r>
              <w:rPr>
                <w:rFonts w:ascii="Arial" w:cs="Arial" w:eastAsia="Arial" w:hAnsi="Arial"/>
                <w:sz w:val="20"/>
                <w:szCs w:val="20"/>
                <w:b w:val="1"/>
                <w:bCs w:val="1"/>
                <w:color w:val="auto"/>
                <w:w w:val="96"/>
              </w:rPr>
              <w:t>Puerto Rico Plan</w:t>
            </w:r>
          </w:p>
        </w:tc>
      </w:tr>
      <w:tr>
        <w:trPr>
          <w:trHeight w:val="496"/>
        </w:trPr>
        <w:tc>
          <w:tcPr>
            <w:tcW w:w="6480" w:type="dxa"/>
            <w:vAlign w:val="bottom"/>
          </w:tcPr>
          <w:p>
            <w:pPr>
              <w:spacing w:after="0"/>
              <w:rPr>
                <w:sz w:val="20"/>
                <w:szCs w:val="20"/>
                <w:color w:val="auto"/>
              </w:rPr>
            </w:pPr>
            <w:r>
              <w:rPr>
                <w:rFonts w:ascii="Arial" w:cs="Arial" w:eastAsia="Arial" w:hAnsi="Arial"/>
                <w:sz w:val="20"/>
                <w:szCs w:val="20"/>
                <w:color w:val="auto"/>
              </w:rPr>
              <w:t>Net assets available for benefits at year end, as reported in the</w:t>
            </w:r>
          </w:p>
        </w:tc>
        <w:tc>
          <w:tcPr>
            <w:tcW w:w="3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r>
      <w:tr>
        <w:trPr>
          <w:trHeight w:val="243"/>
        </w:trPr>
        <w:tc>
          <w:tcPr>
            <w:tcW w:w="6480" w:type="dxa"/>
            <w:vAlign w:val="bottom"/>
          </w:tcPr>
          <w:p>
            <w:pPr>
              <w:ind w:left="140"/>
              <w:spacing w:after="0"/>
              <w:rPr>
                <w:sz w:val="20"/>
                <w:szCs w:val="20"/>
                <w:color w:val="auto"/>
              </w:rPr>
            </w:pPr>
            <w:r>
              <w:rPr>
                <w:rFonts w:ascii="Arial" w:cs="Arial" w:eastAsia="Arial" w:hAnsi="Arial"/>
                <w:sz w:val="20"/>
                <w:szCs w:val="20"/>
                <w:color w:val="auto"/>
              </w:rPr>
              <w:t>accompanying financial statements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8,222,383,401</w:t>
            </w:r>
          </w:p>
        </w:tc>
        <w:tc>
          <w:tcPr>
            <w:tcW w:w="32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274,479,904</w:t>
            </w:r>
          </w:p>
        </w:tc>
      </w:tr>
      <w:tr>
        <w:trPr>
          <w:trHeight w:val="246"/>
        </w:trPr>
        <w:tc>
          <w:tcPr>
            <w:tcW w:w="648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3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(1,675,720)</w:t>
            </w: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(125,531)</w:t>
            </w:r>
          </w:p>
        </w:tc>
      </w:tr>
      <w:tr>
        <w:trPr>
          <w:trHeight w:val="237"/>
        </w:trPr>
        <w:tc>
          <w:tcPr>
            <w:tcW w:w="6480" w:type="dxa"/>
            <w:vAlign w:val="bottom"/>
          </w:tcPr>
          <w:p>
            <w:pPr>
              <w:spacing w:after="0"/>
              <w:rPr>
                <w:sz w:val="20"/>
                <w:szCs w:val="20"/>
                <w:color w:val="auto"/>
              </w:rPr>
            </w:pPr>
            <w:r>
              <w:rPr>
                <w:rFonts w:ascii="Arial" w:cs="Arial" w:eastAsia="Arial" w:hAnsi="Arial"/>
                <w:sz w:val="20"/>
                <w:szCs w:val="20"/>
                <w:color w:val="auto"/>
              </w:rPr>
              <w:t>Net assets available for benefits per Form 5500</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8,220,707,681</w:t>
            </w:r>
          </w:p>
        </w:tc>
        <w:tc>
          <w:tcPr>
            <w:tcW w:w="32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274,354,373</w:t>
            </w:r>
          </w:p>
        </w:tc>
      </w:tr>
      <w:tr>
        <w:trPr>
          <w:trHeight w:val="20"/>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68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06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20"/>
                <w:szCs w:val="20"/>
                <w:b w:val="1"/>
                <w:bCs w:val="1"/>
                <w:color w:val="auto"/>
              </w:rPr>
              <w:t>Year Ended December 31, 2021</w:t>
            </w:r>
          </w:p>
        </w:tc>
        <w:tc>
          <w:tcPr>
            <w:tcW w:w="0" w:type="dxa"/>
            <w:vAlign w:val="bottom"/>
          </w:tcPr>
          <w:p>
            <w:pPr>
              <w:spacing w:after="0"/>
              <w:rPr>
                <w:sz w:val="1"/>
                <w:szCs w:val="1"/>
                <w:color w:val="auto"/>
              </w:rPr>
            </w:pPr>
          </w:p>
        </w:tc>
      </w:tr>
      <w:tr>
        <w:trPr>
          <w:trHeight w:val="250"/>
        </w:trPr>
        <w:tc>
          <w:tcPr>
            <w:tcW w:w="6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gridSpan w:val="2"/>
          </w:tcPr>
          <w:p>
            <w:pPr>
              <w:ind w:left="220"/>
              <w:spacing w:after="0"/>
              <w:rPr>
                <w:sz w:val="20"/>
                <w:szCs w:val="20"/>
                <w:color w:val="auto"/>
              </w:rPr>
            </w:pPr>
            <w:r>
              <w:rPr>
                <w:rFonts w:ascii="Arial" w:cs="Arial" w:eastAsia="Arial" w:hAnsi="Arial"/>
                <w:sz w:val="20"/>
                <w:szCs w:val="20"/>
                <w:b w:val="1"/>
                <w:bCs w:val="1"/>
                <w:color w:val="auto"/>
              </w:rPr>
              <w:t>401(k) Plan</w:t>
            </w:r>
          </w:p>
        </w:tc>
        <w:tc>
          <w:tcPr>
            <w:tcW w:w="180" w:type="dxa"/>
            <w:vAlign w:val="bottom"/>
          </w:tcPr>
          <w:p>
            <w:pPr>
              <w:spacing w:after="0"/>
              <w:rPr>
                <w:sz w:val="21"/>
                <w:szCs w:val="21"/>
                <w:color w:val="auto"/>
              </w:rPr>
            </w:pPr>
          </w:p>
        </w:tc>
        <w:tc>
          <w:tcPr>
            <w:tcW w:w="1760" w:type="dxa"/>
            <w:vAlign w:val="bottom"/>
          </w:tcPr>
          <w:p>
            <w:pPr>
              <w:jc w:val="right"/>
              <w:ind w:right="161"/>
              <w:spacing w:after="0"/>
              <w:rPr>
                <w:sz w:val="20"/>
                <w:szCs w:val="20"/>
                <w:color w:val="auto"/>
              </w:rPr>
            </w:pPr>
            <w:r>
              <w:rPr>
                <w:rFonts w:ascii="Arial" w:cs="Arial" w:eastAsia="Arial" w:hAnsi="Arial"/>
                <w:sz w:val="20"/>
                <w:szCs w:val="20"/>
                <w:b w:val="1"/>
                <w:bCs w:val="1"/>
                <w:color w:val="auto"/>
                <w:w w:val="92"/>
              </w:rPr>
              <w:t>Puerto Rico Plan</w:t>
            </w:r>
          </w:p>
        </w:tc>
        <w:tc>
          <w:tcPr>
            <w:tcW w:w="0" w:type="dxa"/>
            <w:vAlign w:val="bottom"/>
          </w:tcPr>
          <w:p>
            <w:pPr>
              <w:spacing w:after="0"/>
              <w:rPr>
                <w:sz w:val="1"/>
                <w:szCs w:val="1"/>
                <w:color w:val="auto"/>
              </w:rPr>
            </w:pPr>
          </w:p>
        </w:tc>
      </w:tr>
      <w:tr>
        <w:trPr>
          <w:trHeight w:val="445"/>
        </w:trPr>
        <w:tc>
          <w:tcPr>
            <w:tcW w:w="6800" w:type="dxa"/>
            <w:vAlign w:val="bottom"/>
          </w:tcPr>
          <w:p>
            <w:pPr>
              <w:spacing w:after="0"/>
              <w:rPr>
                <w:sz w:val="20"/>
                <w:szCs w:val="20"/>
                <w:color w:val="auto"/>
              </w:rPr>
            </w:pPr>
            <w:r>
              <w:rPr>
                <w:rFonts w:ascii="Arial" w:cs="Arial" w:eastAsia="Arial" w:hAnsi="Arial"/>
                <w:sz w:val="20"/>
                <w:szCs w:val="20"/>
                <w:color w:val="auto"/>
              </w:rPr>
              <w:t>Net increase in net assets available for benefits, as</w:t>
            </w:r>
          </w:p>
        </w:tc>
        <w:tc>
          <w:tcPr>
            <w:tcW w:w="360" w:type="dxa"/>
            <w:vAlign w:val="bottom"/>
            <w:tcBorders>
              <w:top w:val="single" w:sz="8" w:color="auto"/>
            </w:tcBorders>
            <w:vMerge w:val="restart"/>
          </w:tcPr>
          <w:p>
            <w:pPr>
              <w:jc w:val="right"/>
              <w:ind w:right="14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1,511,935,353</w:t>
            </w:r>
          </w:p>
        </w:tc>
        <w:tc>
          <w:tcPr>
            <w:tcW w:w="340" w:type="dxa"/>
            <w:vAlign w:val="bottom"/>
          </w:tcPr>
          <w:p>
            <w:pPr>
              <w:spacing w:after="0"/>
              <w:rPr>
                <w:sz w:val="24"/>
                <w:szCs w:val="2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71,833,522</w:t>
            </w:r>
          </w:p>
        </w:tc>
        <w:tc>
          <w:tcPr>
            <w:tcW w:w="0" w:type="dxa"/>
            <w:vAlign w:val="bottom"/>
          </w:tcPr>
          <w:p>
            <w:pPr>
              <w:spacing w:after="0"/>
              <w:rPr>
                <w:sz w:val="1"/>
                <w:szCs w:val="1"/>
                <w:color w:val="auto"/>
              </w:rPr>
            </w:pPr>
          </w:p>
        </w:tc>
      </w:tr>
      <w:tr>
        <w:trPr>
          <w:trHeight w:val="240"/>
        </w:trPr>
        <w:tc>
          <w:tcPr>
            <w:tcW w:w="6800" w:type="dxa"/>
            <w:vAlign w:val="bottom"/>
          </w:tcPr>
          <w:p>
            <w:pPr>
              <w:ind w:left="160"/>
              <w:spacing w:after="0"/>
              <w:rPr>
                <w:sz w:val="20"/>
                <w:szCs w:val="20"/>
                <w:color w:val="auto"/>
              </w:rPr>
            </w:pPr>
            <w:r>
              <w:rPr>
                <w:rFonts w:ascii="Arial" w:cs="Arial" w:eastAsia="Arial" w:hAnsi="Arial"/>
                <w:sz w:val="20"/>
                <w:szCs w:val="20"/>
                <w:color w:val="auto"/>
              </w:rPr>
              <w:t>reported in the accompanying financial statements</w:t>
            </w:r>
          </w:p>
        </w:tc>
        <w:tc>
          <w:tcPr>
            <w:tcW w:w="36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20"/>
                <w:szCs w:val="20"/>
                <w:color w:val="auto"/>
              </w:rPr>
              <w:t>Distributions accrued on Form 5500 at December 31, 2021</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(3,125,654)</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(62,692)</w:t>
            </w:r>
          </w:p>
        </w:tc>
        <w:tc>
          <w:tcPr>
            <w:tcW w:w="0" w:type="dxa"/>
            <w:vAlign w:val="bottom"/>
          </w:tcPr>
          <w:p>
            <w:pPr>
              <w:spacing w:after="0"/>
              <w:rPr>
                <w:sz w:val="1"/>
                <w:szCs w:val="1"/>
                <w:color w:val="auto"/>
              </w:rPr>
            </w:pPr>
          </w:p>
        </w:tc>
      </w:tr>
      <w:tr>
        <w:trPr>
          <w:trHeight w:val="246"/>
        </w:trPr>
        <w:tc>
          <w:tcPr>
            <w:tcW w:w="6800" w:type="dxa"/>
            <w:vAlign w:val="bottom"/>
          </w:tcPr>
          <w:p>
            <w:pPr>
              <w:spacing w:after="0"/>
              <w:rPr>
                <w:sz w:val="20"/>
                <w:szCs w:val="20"/>
                <w:color w:val="auto"/>
              </w:rPr>
            </w:pPr>
            <w:r>
              <w:rPr>
                <w:rFonts w:ascii="Arial" w:cs="Arial" w:eastAsia="Arial" w:hAnsi="Arial"/>
                <w:sz w:val="20"/>
                <w:szCs w:val="20"/>
                <w:color w:val="auto"/>
              </w:rPr>
              <w:t>Distributions accrued on Form 5500 at December 31, 2020</w:t>
            </w:r>
          </w:p>
        </w:tc>
        <w:tc>
          <w:tcPr>
            <w:tcW w:w="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1,675,720</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125,531</w:t>
            </w:r>
          </w:p>
        </w:tc>
        <w:tc>
          <w:tcPr>
            <w:tcW w:w="0" w:type="dxa"/>
            <w:vAlign w:val="bottom"/>
          </w:tcPr>
          <w:p>
            <w:pPr>
              <w:spacing w:after="0"/>
              <w:rPr>
                <w:sz w:val="1"/>
                <w:szCs w:val="1"/>
                <w:color w:val="auto"/>
              </w:rPr>
            </w:pPr>
          </w:p>
        </w:tc>
      </w:tr>
      <w:tr>
        <w:trPr>
          <w:trHeight w:val="169"/>
        </w:trPr>
        <w:tc>
          <w:tcPr>
            <w:tcW w:w="6800" w:type="dxa"/>
            <w:vAlign w:val="bottom"/>
          </w:tcPr>
          <w:p>
            <w:pPr>
              <w:spacing w:after="0" w:line="169" w:lineRule="exact"/>
              <w:rPr>
                <w:sz w:val="20"/>
                <w:szCs w:val="20"/>
                <w:color w:val="auto"/>
              </w:rPr>
            </w:pPr>
            <w:r>
              <w:rPr>
                <w:rFonts w:ascii="Arial" w:cs="Arial" w:eastAsia="Arial" w:hAnsi="Arial"/>
                <w:sz w:val="19"/>
                <w:szCs w:val="19"/>
                <w:color w:val="auto"/>
              </w:rPr>
              <w:t>Net increase in net assets available for benefits, as</w:t>
            </w:r>
          </w:p>
        </w:tc>
        <w:tc>
          <w:tcPr>
            <w:tcW w:w="360" w:type="dxa"/>
            <w:vAlign w:val="bottom"/>
            <w:vMerge w:val="restart"/>
          </w:tcPr>
          <w:p>
            <w:pPr>
              <w:jc w:val="right"/>
              <w:ind w:right="141"/>
              <w:spacing w:after="0"/>
              <w:rPr>
                <w:sz w:val="20"/>
                <w:szCs w:val="20"/>
                <w:color w:val="auto"/>
              </w:rPr>
            </w:pPr>
            <w:r>
              <w:rPr>
                <w:rFonts w:ascii="Arial" w:cs="Arial" w:eastAsia="Arial" w:hAnsi="Arial"/>
                <w:sz w:val="20"/>
                <w:szCs w:val="20"/>
                <w:color w:val="auto"/>
                <w:w w:val="89"/>
              </w:rPr>
              <w:t>$</w:t>
            </w:r>
          </w:p>
        </w:tc>
        <w:tc>
          <w:tcPr>
            <w:tcW w:w="1780" w:type="dxa"/>
            <w:vAlign w:val="bottom"/>
            <w:vMerge w:val="restart"/>
          </w:tcPr>
          <w:p>
            <w:pPr>
              <w:jc w:val="right"/>
              <w:spacing w:after="0"/>
              <w:rPr>
                <w:sz w:val="20"/>
                <w:szCs w:val="20"/>
                <w:color w:val="auto"/>
              </w:rPr>
            </w:pPr>
            <w:r>
              <w:rPr>
                <w:rFonts w:ascii="Arial" w:cs="Arial" w:eastAsia="Arial" w:hAnsi="Arial"/>
                <w:sz w:val="20"/>
                <w:szCs w:val="20"/>
                <w:color w:val="auto"/>
              </w:rPr>
              <w:t>1,510,485,419</w:t>
            </w:r>
          </w:p>
        </w:tc>
        <w:tc>
          <w:tcPr>
            <w:tcW w:w="3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vMerge w:val="restart"/>
          </w:tcPr>
          <w:p>
            <w:pPr>
              <w:jc w:val="right"/>
              <w:spacing w:after="0"/>
              <w:rPr>
                <w:sz w:val="20"/>
                <w:szCs w:val="20"/>
                <w:color w:val="auto"/>
              </w:rPr>
            </w:pPr>
            <w:r>
              <w:rPr>
                <w:rFonts w:ascii="Arial" w:cs="Arial" w:eastAsia="Arial" w:hAnsi="Arial"/>
                <w:sz w:val="20"/>
                <w:szCs w:val="20"/>
                <w:color w:val="auto"/>
              </w:rPr>
              <w:t>71,896,361</w:t>
            </w:r>
          </w:p>
        </w:tc>
        <w:tc>
          <w:tcPr>
            <w:tcW w:w="0" w:type="dxa"/>
            <w:vAlign w:val="bottom"/>
          </w:tcPr>
          <w:p>
            <w:pPr>
              <w:spacing w:after="0"/>
              <w:rPr>
                <w:sz w:val="1"/>
                <w:szCs w:val="1"/>
                <w:color w:val="auto"/>
              </w:rPr>
            </w:pPr>
          </w:p>
        </w:tc>
      </w:tr>
      <w:tr>
        <w:trPr>
          <w:trHeight w:val="221"/>
        </w:trPr>
        <w:tc>
          <w:tcPr>
            <w:tcW w:w="6800" w:type="dxa"/>
            <w:vAlign w:val="bottom"/>
          </w:tcPr>
          <w:p>
            <w:pPr>
              <w:ind w:left="160"/>
              <w:spacing w:after="0" w:line="216" w:lineRule="exact"/>
              <w:rPr>
                <w:sz w:val="20"/>
                <w:szCs w:val="20"/>
                <w:color w:val="auto"/>
              </w:rPr>
            </w:pPr>
            <w:r>
              <w:rPr>
                <w:rFonts w:ascii="Arial" w:cs="Arial" w:eastAsia="Arial" w:hAnsi="Arial"/>
                <w:sz w:val="20"/>
                <w:szCs w:val="20"/>
                <w:color w:val="auto"/>
              </w:rPr>
              <w:t>reported on the Form 5500</w:t>
            </w:r>
          </w:p>
        </w:tc>
        <w:tc>
          <w:tcPr>
            <w:tcW w:w="36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90"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31"/>
          <w:szCs w:val="31"/>
          <w:color w:val="auto"/>
        </w:rPr>
        <w:t>Supplemental Schedules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1440" w:right="1440" w:bottom="1440" w:gutter="0" w:footer="0" w:header="0"/>
          <w:type w:val="continuous"/>
        </w:sectPr>
      </w:pPr>
    </w:p>
    <w:bookmarkStart w:id="18" w:name="page19"/>
    <w:bookmarkEnd w:id="18"/>
    <w:p>
      <w:pPr>
        <w:jc w:val="center"/>
        <w:ind w:right="20"/>
        <w:spacing w:after="0"/>
        <w:rPr>
          <w:sz w:val="20"/>
          <w:szCs w:val="20"/>
          <w:color w:val="auto"/>
        </w:rPr>
      </w:pPr>
      <w:r>
        <w:rPr>
          <w:rFonts w:ascii="Arial" w:cs="Arial" w:eastAsia="Arial" w:hAnsi="Arial"/>
          <w:sz w:val="25"/>
          <w:szCs w:val="25"/>
          <w:color w:val="auto"/>
        </w:rPr>
        <w:t>The Lilly Employee 401(k) Plan</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EIN 35-0470950 Plan No. 002</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Schedule H, Line 4i – Schedule of Assets</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(Held at End of Year)</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Pr>
          <w:p>
            <w:pPr>
              <w:spacing w:after="0"/>
              <w:rPr>
                <w:sz w:val="21"/>
                <w:szCs w:val="21"/>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Description of</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3440" w:type="dxa"/>
            <w:vAlign w:val="bottom"/>
          </w:tcPr>
          <w:p>
            <w:pPr>
              <w:spacing w:after="0"/>
              <w:rPr>
                <w:sz w:val="21"/>
                <w:szCs w:val="21"/>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Investment, including</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3440" w:type="dxa"/>
            <w:vAlign w:val="bottom"/>
          </w:tcPr>
          <w:p>
            <w:pPr>
              <w:spacing w:after="0"/>
              <w:rPr>
                <w:sz w:val="21"/>
                <w:szCs w:val="21"/>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93"/>
              </w:rPr>
              <w:t>Maturity Date, Rate of</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3440" w:type="dxa"/>
            <w:vAlign w:val="bottom"/>
          </w:tcPr>
          <w:p>
            <w:pPr>
              <w:jc w:val="center"/>
              <w:ind w:left="241"/>
              <w:spacing w:after="0"/>
              <w:rPr>
                <w:sz w:val="20"/>
                <w:szCs w:val="20"/>
                <w:color w:val="auto"/>
              </w:rPr>
            </w:pPr>
            <w:r>
              <w:rPr>
                <w:rFonts w:ascii="Arial" w:cs="Arial" w:eastAsia="Arial" w:hAnsi="Arial"/>
                <w:sz w:val="20"/>
                <w:szCs w:val="20"/>
                <w:b w:val="1"/>
                <w:bCs w:val="1"/>
                <w:color w:val="auto"/>
                <w:w w:val="89"/>
              </w:rPr>
              <w:t>Identity of Issuer, Borrower,</w:t>
            </w: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Interest, Par, or</w:t>
            </w:r>
          </w:p>
        </w:tc>
        <w:tc>
          <w:tcPr>
            <w:tcW w:w="720" w:type="dxa"/>
            <w:vAlign w:val="bottom"/>
          </w:tcPr>
          <w:p>
            <w:pPr>
              <w:spacing w:after="0"/>
              <w:rPr>
                <w:sz w:val="21"/>
                <w:szCs w:val="21"/>
                <w:color w:val="auto"/>
              </w:rPr>
            </w:pPr>
          </w:p>
        </w:tc>
        <w:tc>
          <w:tcPr>
            <w:tcW w:w="1860" w:type="dxa"/>
            <w:vAlign w:val="bottom"/>
          </w:tcPr>
          <w:p>
            <w:pPr>
              <w:jc w:val="center"/>
              <w:ind w:right="361"/>
              <w:spacing w:after="0"/>
              <w:rPr>
                <w:sz w:val="20"/>
                <w:szCs w:val="20"/>
                <w:color w:val="auto"/>
              </w:rPr>
            </w:pPr>
            <w:r>
              <w:rPr>
                <w:rFonts w:ascii="Arial" w:cs="Arial" w:eastAsia="Arial" w:hAnsi="Arial"/>
                <w:sz w:val="20"/>
                <w:szCs w:val="20"/>
                <w:b w:val="1"/>
                <w:bCs w:val="1"/>
                <w:color w:val="auto"/>
                <w:w w:val="94"/>
              </w:rPr>
              <w:t>Current</w:t>
            </w:r>
          </w:p>
        </w:tc>
      </w:tr>
      <w:tr>
        <w:trPr>
          <w:trHeight w:val="252"/>
        </w:trPr>
        <w:tc>
          <w:tcPr>
            <w:tcW w:w="3440" w:type="dxa"/>
            <w:vAlign w:val="bottom"/>
            <w:tcBorders>
              <w:bottom w:val="single" w:sz="8" w:color="auto"/>
            </w:tcBorders>
          </w:tcPr>
          <w:p>
            <w:pPr>
              <w:jc w:val="center"/>
              <w:ind w:left="241"/>
              <w:spacing w:after="0"/>
              <w:rPr>
                <w:sz w:val="20"/>
                <w:szCs w:val="20"/>
                <w:color w:val="auto"/>
              </w:rPr>
            </w:pPr>
            <w:r>
              <w:rPr>
                <w:rFonts w:ascii="Arial" w:cs="Arial" w:eastAsia="Arial" w:hAnsi="Arial"/>
                <w:sz w:val="20"/>
                <w:szCs w:val="20"/>
                <w:b w:val="1"/>
                <w:bCs w:val="1"/>
                <w:color w:val="auto"/>
                <w:w w:val="89"/>
              </w:rPr>
              <w:t>Lessor, or Similar Party</w:t>
            </w:r>
          </w:p>
        </w:tc>
        <w:tc>
          <w:tcPr>
            <w:tcW w:w="3080" w:type="dxa"/>
            <w:vAlign w:val="bottom"/>
            <w:tcBorders>
              <w:bottom w:val="single" w:sz="8" w:color="auto"/>
            </w:tcBorders>
          </w:tcPr>
          <w:p>
            <w:pPr>
              <w:jc w:val="center"/>
              <w:ind w:left="501"/>
              <w:spacing w:after="0"/>
              <w:rPr>
                <w:sz w:val="20"/>
                <w:szCs w:val="20"/>
                <w:color w:val="auto"/>
              </w:rPr>
            </w:pPr>
            <w:r>
              <w:rPr>
                <w:rFonts w:ascii="Arial" w:cs="Arial" w:eastAsia="Arial" w:hAnsi="Arial"/>
                <w:sz w:val="20"/>
                <w:szCs w:val="20"/>
                <w:b w:val="1"/>
                <w:bCs w:val="1"/>
                <w:color w:val="auto"/>
                <w:w w:val="93"/>
              </w:rPr>
              <w:t>Maturity Value</w:t>
            </w:r>
          </w:p>
        </w:tc>
        <w:tc>
          <w:tcPr>
            <w:tcW w:w="7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ind w:right="361"/>
              <w:spacing w:after="0"/>
              <w:rPr>
                <w:sz w:val="20"/>
                <w:szCs w:val="20"/>
                <w:color w:val="auto"/>
              </w:rPr>
            </w:pPr>
            <w:r>
              <w:rPr>
                <w:rFonts w:ascii="Arial" w:cs="Arial" w:eastAsia="Arial" w:hAnsi="Arial"/>
                <w:sz w:val="20"/>
                <w:szCs w:val="20"/>
                <w:b w:val="1"/>
                <w:bCs w:val="1"/>
                <w:color w:val="auto"/>
                <w:w w:val="89"/>
              </w:rPr>
              <w:t>Value</w:t>
            </w:r>
          </w:p>
        </w:tc>
      </w:tr>
      <w:tr>
        <w:trPr>
          <w:trHeight w:val="530"/>
        </w:trPr>
        <w:tc>
          <w:tcPr>
            <w:tcW w:w="3440" w:type="dxa"/>
            <w:vAlign w:val="bottom"/>
          </w:tcPr>
          <w:p>
            <w:pPr>
              <w:spacing w:after="0"/>
              <w:rPr>
                <w:sz w:val="20"/>
                <w:szCs w:val="20"/>
                <w:color w:val="auto"/>
              </w:rPr>
            </w:pPr>
            <w:r>
              <w:rPr>
                <w:rFonts w:ascii="Arial" w:cs="Arial" w:eastAsia="Arial" w:hAnsi="Arial"/>
                <w:sz w:val="20"/>
                <w:szCs w:val="20"/>
                <w:color w:val="auto"/>
              </w:rPr>
              <w:t>Loans to participants*</w:t>
            </w:r>
          </w:p>
        </w:tc>
        <w:tc>
          <w:tcPr>
            <w:tcW w:w="3080" w:type="dxa"/>
            <w:vAlign w:val="bottom"/>
          </w:tcPr>
          <w:p>
            <w:pPr>
              <w:ind w:left="360"/>
              <w:spacing w:after="0"/>
              <w:rPr>
                <w:sz w:val="20"/>
                <w:szCs w:val="20"/>
                <w:color w:val="auto"/>
              </w:rPr>
            </w:pPr>
            <w:r>
              <w:rPr>
                <w:rFonts w:ascii="Arial" w:cs="Arial" w:eastAsia="Arial" w:hAnsi="Arial"/>
                <w:sz w:val="20"/>
                <w:szCs w:val="20"/>
                <w:color w:val="auto"/>
              </w:rPr>
              <w:t>Interest rates ranging</w:t>
            </w:r>
          </w:p>
        </w:tc>
        <w:tc>
          <w:tcPr>
            <w:tcW w:w="72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22,350,660</w:t>
            </w:r>
          </w:p>
        </w:tc>
      </w:tr>
      <w:tr>
        <w:trPr>
          <w:trHeight w:val="250"/>
        </w:trPr>
        <w:tc>
          <w:tcPr>
            <w:tcW w:w="3440" w:type="dxa"/>
            <w:vAlign w:val="bottom"/>
          </w:tcPr>
          <w:p>
            <w:pPr>
              <w:spacing w:after="0"/>
              <w:rPr>
                <w:sz w:val="21"/>
                <w:szCs w:val="21"/>
                <w:color w:val="auto"/>
              </w:rPr>
            </w:pPr>
          </w:p>
        </w:tc>
        <w:tc>
          <w:tcPr>
            <w:tcW w:w="3080" w:type="dxa"/>
            <w:vAlign w:val="bottom"/>
          </w:tcPr>
          <w:p>
            <w:pPr>
              <w:ind w:left="500"/>
              <w:spacing w:after="0"/>
              <w:rPr>
                <w:sz w:val="20"/>
                <w:szCs w:val="20"/>
                <w:color w:val="auto"/>
              </w:rPr>
            </w:pPr>
            <w:r>
              <w:rPr>
                <w:rFonts w:ascii="Arial" w:cs="Arial" w:eastAsia="Arial" w:hAnsi="Arial"/>
                <w:sz w:val="20"/>
                <w:szCs w:val="20"/>
                <w:color w:val="auto"/>
              </w:rPr>
              <w:t>from 4.25% to 10.00%</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499"/>
        </w:trPr>
        <w:tc>
          <w:tcPr>
            <w:tcW w:w="3440" w:type="dxa"/>
            <w:vAlign w:val="bottom"/>
          </w:tcPr>
          <w:p>
            <w:pPr>
              <w:spacing w:after="0"/>
              <w:rPr>
                <w:sz w:val="20"/>
                <w:szCs w:val="20"/>
                <w:color w:val="auto"/>
              </w:rPr>
            </w:pPr>
            <w:r>
              <w:rPr>
                <w:rFonts w:ascii="Arial" w:cs="Arial" w:eastAsia="Arial" w:hAnsi="Arial"/>
                <w:sz w:val="20"/>
                <w:szCs w:val="20"/>
                <w:color w:val="auto"/>
              </w:rPr>
              <w:t>*Parties in interest</w:t>
            </w:r>
          </w:p>
        </w:tc>
        <w:tc>
          <w:tcPr>
            <w:tcW w:w="3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100"/>
          </w:cols>
          <w:pgMar w:left="1400" w:top="919" w:right="1399" w:bottom="1440" w:gutter="0" w:footer="0" w:header="0"/>
        </w:sectPr>
      </w:pPr>
    </w:p>
    <w:bookmarkStart w:id="19" w:name="page20"/>
    <w:bookmarkEnd w:id="19"/>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EIN 98-0167031 Plan No. 004</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Schedule H, Line 4i – Schedule of Assets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(Held at End of Year)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60" w:type="dxa"/>
            <w:vAlign w:val="bottom"/>
          </w:tcPr>
          <w:p>
            <w:pPr>
              <w:spacing w:after="0"/>
              <w:rPr>
                <w:sz w:val="21"/>
                <w:szCs w:val="21"/>
                <w:color w:val="auto"/>
              </w:rPr>
            </w:pPr>
          </w:p>
        </w:tc>
        <w:tc>
          <w:tcPr>
            <w:tcW w:w="3080" w:type="dxa"/>
            <w:vAlign w:val="bottom"/>
          </w:tcPr>
          <w:p>
            <w:pPr>
              <w:jc w:val="center"/>
              <w:ind w:left="481"/>
              <w:spacing w:after="0"/>
              <w:rPr>
                <w:sz w:val="20"/>
                <w:szCs w:val="20"/>
                <w:color w:val="auto"/>
              </w:rPr>
            </w:pPr>
            <w:r>
              <w:rPr>
                <w:rFonts w:ascii="Arial" w:cs="Arial" w:eastAsia="Arial" w:hAnsi="Arial"/>
                <w:sz w:val="20"/>
                <w:szCs w:val="20"/>
                <w:b w:val="1"/>
                <w:bCs w:val="1"/>
                <w:color w:val="auto"/>
                <w:w w:val="87"/>
              </w:rPr>
              <w:t>Description of</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3460" w:type="dxa"/>
            <w:vAlign w:val="bottom"/>
          </w:tcPr>
          <w:p>
            <w:pPr>
              <w:spacing w:after="0"/>
              <w:rPr>
                <w:sz w:val="21"/>
                <w:szCs w:val="21"/>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Investment, including</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3460" w:type="dxa"/>
            <w:vAlign w:val="bottom"/>
          </w:tcPr>
          <w:p>
            <w:pPr>
              <w:spacing w:after="0"/>
              <w:rPr>
                <w:sz w:val="21"/>
                <w:szCs w:val="21"/>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93"/>
              </w:rPr>
              <w:t>Maturity Date, Rate of</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3460" w:type="dxa"/>
            <w:vAlign w:val="bottom"/>
          </w:tcPr>
          <w:p>
            <w:pPr>
              <w:jc w:val="center"/>
              <w:ind w:left="221"/>
              <w:spacing w:after="0"/>
              <w:rPr>
                <w:sz w:val="20"/>
                <w:szCs w:val="20"/>
                <w:color w:val="auto"/>
              </w:rPr>
            </w:pPr>
            <w:r>
              <w:rPr>
                <w:rFonts w:ascii="Arial" w:cs="Arial" w:eastAsia="Arial" w:hAnsi="Arial"/>
                <w:sz w:val="20"/>
                <w:szCs w:val="20"/>
                <w:b w:val="1"/>
                <w:bCs w:val="1"/>
                <w:color w:val="auto"/>
                <w:w w:val="89"/>
              </w:rPr>
              <w:t>Identity of Issuer, Borrower,</w:t>
            </w:r>
          </w:p>
        </w:tc>
        <w:tc>
          <w:tcPr>
            <w:tcW w:w="3080" w:type="dxa"/>
            <w:vAlign w:val="bottom"/>
          </w:tcPr>
          <w:p>
            <w:pPr>
              <w:jc w:val="center"/>
              <w:ind w:left="481"/>
              <w:spacing w:after="0"/>
              <w:rPr>
                <w:sz w:val="20"/>
                <w:szCs w:val="20"/>
                <w:color w:val="auto"/>
              </w:rPr>
            </w:pPr>
            <w:r>
              <w:rPr>
                <w:rFonts w:ascii="Arial" w:cs="Arial" w:eastAsia="Arial" w:hAnsi="Arial"/>
                <w:sz w:val="20"/>
                <w:szCs w:val="20"/>
                <w:b w:val="1"/>
                <w:bCs w:val="1"/>
                <w:color w:val="auto"/>
                <w:w w:val="91"/>
              </w:rPr>
              <w:t>Interest, Par, or</w:t>
            </w:r>
          </w:p>
        </w:tc>
        <w:tc>
          <w:tcPr>
            <w:tcW w:w="720" w:type="dxa"/>
            <w:vAlign w:val="bottom"/>
          </w:tcPr>
          <w:p>
            <w:pPr>
              <w:spacing w:after="0"/>
              <w:rPr>
                <w:sz w:val="21"/>
                <w:szCs w:val="21"/>
                <w:color w:val="auto"/>
              </w:rPr>
            </w:pPr>
          </w:p>
        </w:tc>
        <w:tc>
          <w:tcPr>
            <w:tcW w:w="1860" w:type="dxa"/>
            <w:vAlign w:val="bottom"/>
          </w:tcPr>
          <w:p>
            <w:pPr>
              <w:jc w:val="center"/>
              <w:ind w:right="361"/>
              <w:spacing w:after="0"/>
              <w:rPr>
                <w:sz w:val="20"/>
                <w:szCs w:val="20"/>
                <w:color w:val="auto"/>
              </w:rPr>
            </w:pPr>
            <w:r>
              <w:rPr>
                <w:rFonts w:ascii="Arial" w:cs="Arial" w:eastAsia="Arial" w:hAnsi="Arial"/>
                <w:sz w:val="20"/>
                <w:szCs w:val="20"/>
                <w:b w:val="1"/>
                <w:bCs w:val="1"/>
                <w:color w:val="auto"/>
                <w:w w:val="94"/>
              </w:rPr>
              <w:t>Current</w:t>
            </w:r>
          </w:p>
        </w:tc>
      </w:tr>
      <w:tr>
        <w:trPr>
          <w:trHeight w:val="252"/>
        </w:trPr>
        <w:tc>
          <w:tcPr>
            <w:tcW w:w="3460" w:type="dxa"/>
            <w:vAlign w:val="bottom"/>
            <w:tcBorders>
              <w:bottom w:val="single" w:sz="8" w:color="auto"/>
            </w:tcBorders>
          </w:tcPr>
          <w:p>
            <w:pPr>
              <w:jc w:val="center"/>
              <w:ind w:left="241"/>
              <w:spacing w:after="0"/>
              <w:rPr>
                <w:sz w:val="20"/>
                <w:szCs w:val="20"/>
                <w:color w:val="auto"/>
              </w:rPr>
            </w:pPr>
            <w:r>
              <w:rPr>
                <w:rFonts w:ascii="Arial" w:cs="Arial" w:eastAsia="Arial" w:hAnsi="Arial"/>
                <w:sz w:val="20"/>
                <w:szCs w:val="20"/>
                <w:b w:val="1"/>
                <w:bCs w:val="1"/>
                <w:color w:val="auto"/>
                <w:w w:val="90"/>
              </w:rPr>
              <w:t>Lessor, or Similar Party</w:t>
            </w:r>
          </w:p>
        </w:tc>
        <w:tc>
          <w:tcPr>
            <w:tcW w:w="3080" w:type="dxa"/>
            <w:vAlign w:val="bottom"/>
            <w:tcBorders>
              <w:bottom w:val="single" w:sz="8" w:color="auto"/>
            </w:tcBorders>
          </w:tcPr>
          <w:p>
            <w:pPr>
              <w:jc w:val="center"/>
              <w:ind w:left="481"/>
              <w:spacing w:after="0"/>
              <w:rPr>
                <w:sz w:val="20"/>
                <w:szCs w:val="20"/>
                <w:color w:val="auto"/>
              </w:rPr>
            </w:pPr>
            <w:r>
              <w:rPr>
                <w:rFonts w:ascii="Arial" w:cs="Arial" w:eastAsia="Arial" w:hAnsi="Arial"/>
                <w:sz w:val="20"/>
                <w:szCs w:val="20"/>
                <w:b w:val="1"/>
                <w:bCs w:val="1"/>
                <w:color w:val="auto"/>
                <w:w w:val="95"/>
              </w:rPr>
              <w:t>Maturity Value</w:t>
            </w:r>
          </w:p>
        </w:tc>
        <w:tc>
          <w:tcPr>
            <w:tcW w:w="7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ind w:right="361"/>
              <w:spacing w:after="0"/>
              <w:rPr>
                <w:sz w:val="20"/>
                <w:szCs w:val="20"/>
                <w:color w:val="auto"/>
              </w:rPr>
            </w:pPr>
            <w:r>
              <w:rPr>
                <w:rFonts w:ascii="Arial" w:cs="Arial" w:eastAsia="Arial" w:hAnsi="Arial"/>
                <w:sz w:val="20"/>
                <w:szCs w:val="20"/>
                <w:b w:val="1"/>
                <w:bCs w:val="1"/>
                <w:color w:val="auto"/>
                <w:w w:val="89"/>
              </w:rPr>
              <w:t>Value</w:t>
            </w:r>
          </w:p>
        </w:tc>
      </w:tr>
      <w:tr>
        <w:trPr>
          <w:trHeight w:val="530"/>
        </w:trPr>
        <w:tc>
          <w:tcPr>
            <w:tcW w:w="3460" w:type="dxa"/>
            <w:vAlign w:val="bottom"/>
          </w:tcPr>
          <w:p>
            <w:pPr>
              <w:ind w:left="20"/>
              <w:spacing w:after="0"/>
              <w:rPr>
                <w:sz w:val="20"/>
                <w:szCs w:val="20"/>
                <w:color w:val="auto"/>
              </w:rPr>
            </w:pPr>
            <w:r>
              <w:rPr>
                <w:rFonts w:ascii="Arial" w:cs="Arial" w:eastAsia="Arial" w:hAnsi="Arial"/>
                <w:sz w:val="20"/>
                <w:szCs w:val="20"/>
                <w:color w:val="auto"/>
              </w:rPr>
              <w:t>Loans to participants*</w:t>
            </w:r>
          </w:p>
        </w:tc>
        <w:tc>
          <w:tcPr>
            <w:tcW w:w="3080" w:type="dxa"/>
            <w:vAlign w:val="bottom"/>
          </w:tcPr>
          <w:p>
            <w:pPr>
              <w:ind w:left="360"/>
              <w:spacing w:after="0"/>
              <w:rPr>
                <w:sz w:val="20"/>
                <w:szCs w:val="20"/>
                <w:color w:val="auto"/>
              </w:rPr>
            </w:pPr>
            <w:r>
              <w:rPr>
                <w:rFonts w:ascii="Arial" w:cs="Arial" w:eastAsia="Arial" w:hAnsi="Arial"/>
                <w:sz w:val="20"/>
                <w:szCs w:val="20"/>
                <w:color w:val="auto"/>
              </w:rPr>
              <w:t>Interest rates ranging</w:t>
            </w:r>
          </w:p>
        </w:tc>
        <w:tc>
          <w:tcPr>
            <w:tcW w:w="72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2,189,013</w:t>
            </w:r>
          </w:p>
        </w:tc>
      </w:tr>
      <w:tr>
        <w:trPr>
          <w:trHeight w:val="250"/>
        </w:trPr>
        <w:tc>
          <w:tcPr>
            <w:tcW w:w="3460" w:type="dxa"/>
            <w:vAlign w:val="bottom"/>
          </w:tcPr>
          <w:p>
            <w:pPr>
              <w:spacing w:after="0"/>
              <w:rPr>
                <w:sz w:val="21"/>
                <w:szCs w:val="21"/>
                <w:color w:val="auto"/>
              </w:rPr>
            </w:pPr>
          </w:p>
        </w:tc>
        <w:tc>
          <w:tcPr>
            <w:tcW w:w="3080" w:type="dxa"/>
            <w:vAlign w:val="bottom"/>
          </w:tcPr>
          <w:p>
            <w:pPr>
              <w:ind w:left="500"/>
              <w:spacing w:after="0"/>
              <w:rPr>
                <w:sz w:val="20"/>
                <w:szCs w:val="20"/>
                <w:color w:val="auto"/>
              </w:rPr>
            </w:pPr>
            <w:r>
              <w:rPr>
                <w:rFonts w:ascii="Arial" w:cs="Arial" w:eastAsia="Arial" w:hAnsi="Arial"/>
                <w:sz w:val="20"/>
                <w:szCs w:val="20"/>
                <w:color w:val="auto"/>
              </w:rPr>
              <w:t>from 4.25% to 9.50%</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500"/>
        </w:trPr>
        <w:tc>
          <w:tcPr>
            <w:tcW w:w="3460" w:type="dxa"/>
            <w:vAlign w:val="bottom"/>
          </w:tcPr>
          <w:p>
            <w:pPr>
              <w:ind w:left="20"/>
              <w:spacing w:after="0"/>
              <w:rPr>
                <w:sz w:val="20"/>
                <w:szCs w:val="20"/>
                <w:color w:val="auto"/>
              </w:rPr>
            </w:pPr>
            <w:r>
              <w:rPr>
                <w:rFonts w:ascii="Arial" w:cs="Arial" w:eastAsia="Arial" w:hAnsi="Arial"/>
                <w:sz w:val="20"/>
                <w:szCs w:val="20"/>
                <w:color w:val="auto"/>
              </w:rPr>
              <w:t>*Parties in interest</w:t>
            </w:r>
          </w:p>
        </w:tc>
        <w:tc>
          <w:tcPr>
            <w:tcW w:w="3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120"/>
          </w:cols>
          <w:pgMar w:left="1380" w:top="1440"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120"/>
          </w:cols>
          <w:pgMar w:left="1380" w:top="1440" w:right="1399" w:bottom="1440" w:gutter="0" w:footer="0" w:header="0"/>
          <w:type w:val="continuous"/>
        </w:sectPr>
      </w:pPr>
    </w:p>
    <w:bookmarkStart w:id="20" w:name="page21"/>
    <w:bookmarkEnd w:id="20"/>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361" w:lineRule="exact"/>
        <w:rPr>
          <w:sz w:val="20"/>
          <w:szCs w:val="20"/>
          <w:color w:val="auto"/>
        </w:rPr>
      </w:pPr>
    </w:p>
    <w:p>
      <w:pPr>
        <w:spacing w:after="0" w:line="461" w:lineRule="auto"/>
        <w:rPr>
          <w:sz w:val="20"/>
          <w:szCs w:val="20"/>
          <w:color w:val="auto"/>
        </w:rPr>
      </w:pPr>
      <w:r>
        <w:rPr>
          <w:rFonts w:ascii="Arial" w:cs="Arial" w:eastAsia="Arial" w:hAnsi="Arial"/>
          <w:sz w:val="19"/>
          <w:szCs w:val="19"/>
          <w:color w:val="auto"/>
        </w:rPr>
        <w:t>The Plans. Pursuant to the requirements of the Securities Exchange Act of 1934, the trustees (or other persons who administer the Plans) have duly caused this annual report to be signed on its behalf by the undersigned hereunto duly authorized.</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320" w:type="dxa"/>
            <w:vAlign w:val="bottom"/>
          </w:tcPr>
          <w:p>
            <w:pPr>
              <w:spacing w:after="0"/>
              <w:rPr>
                <w:sz w:val="23"/>
                <w:szCs w:val="23"/>
                <w:color w:val="auto"/>
              </w:rPr>
            </w:pPr>
          </w:p>
        </w:tc>
        <w:tc>
          <w:tcPr>
            <w:tcW w:w="6980" w:type="dxa"/>
            <w:vAlign w:val="bottom"/>
            <w:gridSpan w:val="3"/>
          </w:tcPr>
          <w:p>
            <w:pPr>
              <w:ind w:left="1580"/>
              <w:spacing w:after="0"/>
              <w:rPr>
                <w:sz w:val="20"/>
                <w:szCs w:val="20"/>
                <w:color w:val="auto"/>
              </w:rPr>
            </w:pPr>
            <w:r>
              <w:rPr>
                <w:rFonts w:ascii="Arial" w:cs="Arial" w:eastAsia="Arial" w:hAnsi="Arial"/>
                <w:sz w:val="22"/>
                <w:szCs w:val="22"/>
                <w:color w:val="auto"/>
              </w:rPr>
              <w:t>The Lilly Employee 401(k) Plan</w:t>
            </w:r>
          </w:p>
        </w:tc>
      </w:tr>
      <w:tr>
        <w:trPr>
          <w:trHeight w:val="543"/>
        </w:trPr>
        <w:tc>
          <w:tcPr>
            <w:tcW w:w="3320" w:type="dxa"/>
            <w:vAlign w:val="bottom"/>
          </w:tcPr>
          <w:p>
            <w:pPr>
              <w:spacing w:after="0"/>
              <w:rPr>
                <w:sz w:val="20"/>
                <w:szCs w:val="20"/>
                <w:color w:val="auto"/>
              </w:rPr>
            </w:pPr>
            <w:r>
              <w:rPr>
                <w:rFonts w:ascii="Arial" w:cs="Arial" w:eastAsia="Arial" w:hAnsi="Arial"/>
                <w:sz w:val="22"/>
                <w:szCs w:val="22"/>
                <w:color w:val="auto"/>
              </w:rPr>
              <w:t>Date: June 27, 2022</w:t>
            </w:r>
          </w:p>
        </w:tc>
        <w:tc>
          <w:tcPr>
            <w:tcW w:w="6980" w:type="dxa"/>
            <w:vAlign w:val="bottom"/>
            <w:gridSpan w:val="3"/>
          </w:tcPr>
          <w:p>
            <w:pPr>
              <w:ind w:left="1580"/>
              <w:spacing w:after="0"/>
              <w:rPr>
                <w:sz w:val="20"/>
                <w:szCs w:val="20"/>
                <w:color w:val="auto"/>
              </w:rPr>
            </w:pPr>
            <w:r>
              <w:rPr>
                <w:rFonts w:ascii="Arial" w:cs="Arial" w:eastAsia="Arial" w:hAnsi="Arial"/>
                <w:sz w:val="22"/>
                <w:szCs w:val="22"/>
                <w:color w:val="auto"/>
              </w:rPr>
              <w:t>By: /s/ Stacey M. Roberson</w:t>
            </w:r>
          </w:p>
        </w:tc>
      </w:tr>
      <w:tr>
        <w:trPr>
          <w:trHeight w:val="20"/>
        </w:trPr>
        <w:tc>
          <w:tcPr>
            <w:tcW w:w="3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96"/>
        </w:trPr>
        <w:tc>
          <w:tcPr>
            <w:tcW w:w="3320" w:type="dxa"/>
            <w:vAlign w:val="bottom"/>
          </w:tcPr>
          <w:p>
            <w:pPr>
              <w:spacing w:after="0"/>
              <w:rPr>
                <w:sz w:val="24"/>
                <w:szCs w:val="24"/>
                <w:color w:val="auto"/>
              </w:rPr>
            </w:pPr>
          </w:p>
        </w:tc>
        <w:tc>
          <w:tcPr>
            <w:tcW w:w="6980" w:type="dxa"/>
            <w:vAlign w:val="bottom"/>
            <w:gridSpan w:val="3"/>
          </w:tcPr>
          <w:p>
            <w:pPr>
              <w:ind w:left="1920"/>
              <w:spacing w:after="0"/>
              <w:rPr>
                <w:sz w:val="20"/>
                <w:szCs w:val="20"/>
                <w:color w:val="auto"/>
              </w:rPr>
            </w:pPr>
            <w:r>
              <w:rPr>
                <w:rFonts w:ascii="Arial" w:cs="Arial" w:eastAsia="Arial" w:hAnsi="Arial"/>
                <w:sz w:val="22"/>
                <w:szCs w:val="22"/>
                <w:color w:val="auto"/>
              </w:rPr>
              <w:t>Stacey M. Roberson</w:t>
            </w:r>
          </w:p>
        </w:tc>
      </w:tr>
      <w:tr>
        <w:trPr>
          <w:trHeight w:val="274"/>
        </w:trPr>
        <w:tc>
          <w:tcPr>
            <w:tcW w:w="3320" w:type="dxa"/>
            <w:vAlign w:val="bottom"/>
          </w:tcPr>
          <w:p>
            <w:pPr>
              <w:spacing w:after="0"/>
              <w:rPr>
                <w:sz w:val="23"/>
                <w:szCs w:val="23"/>
                <w:color w:val="auto"/>
              </w:rPr>
            </w:pPr>
          </w:p>
        </w:tc>
        <w:tc>
          <w:tcPr>
            <w:tcW w:w="6980" w:type="dxa"/>
            <w:vAlign w:val="bottom"/>
            <w:gridSpan w:val="3"/>
          </w:tcPr>
          <w:p>
            <w:pPr>
              <w:ind w:left="1920"/>
              <w:spacing w:after="0"/>
              <w:rPr>
                <w:sz w:val="20"/>
                <w:szCs w:val="20"/>
                <w:color w:val="auto"/>
              </w:rPr>
            </w:pPr>
            <w:r>
              <w:rPr>
                <w:rFonts w:ascii="Arial" w:cs="Arial" w:eastAsia="Arial" w:hAnsi="Arial"/>
                <w:sz w:val="22"/>
                <w:szCs w:val="22"/>
                <w:color w:val="auto"/>
              </w:rPr>
              <w:t>Employee Benefits Committee Member</w:t>
            </w:r>
          </w:p>
        </w:tc>
      </w:tr>
      <w:tr>
        <w:trPr>
          <w:trHeight w:val="715"/>
        </w:trPr>
        <w:tc>
          <w:tcPr>
            <w:tcW w:w="3320" w:type="dxa"/>
            <w:vAlign w:val="bottom"/>
          </w:tcPr>
          <w:p>
            <w:pPr>
              <w:spacing w:after="0"/>
              <w:rPr>
                <w:sz w:val="24"/>
                <w:szCs w:val="24"/>
                <w:color w:val="auto"/>
              </w:rPr>
            </w:pPr>
          </w:p>
        </w:tc>
        <w:tc>
          <w:tcPr>
            <w:tcW w:w="6980" w:type="dxa"/>
            <w:vAlign w:val="bottom"/>
            <w:gridSpan w:val="3"/>
          </w:tcPr>
          <w:p>
            <w:pPr>
              <w:ind w:left="1580"/>
              <w:spacing w:after="0"/>
              <w:rPr>
                <w:sz w:val="20"/>
                <w:szCs w:val="20"/>
                <w:color w:val="auto"/>
              </w:rPr>
            </w:pPr>
            <w:r>
              <w:rPr>
                <w:rFonts w:ascii="Arial" w:cs="Arial" w:eastAsia="Arial" w:hAnsi="Arial"/>
                <w:sz w:val="22"/>
                <w:szCs w:val="22"/>
                <w:color w:val="auto"/>
                <w:w w:val="91"/>
              </w:rPr>
              <w:t>The Savings Plan for Lilly Affiliate Employees in Puerto Rico</w:t>
            </w:r>
          </w:p>
        </w:tc>
      </w:tr>
      <w:tr>
        <w:trPr>
          <w:trHeight w:val="314"/>
        </w:trPr>
        <w:tc>
          <w:tcPr>
            <w:tcW w:w="3320" w:type="dxa"/>
            <w:vAlign w:val="bottom"/>
          </w:tcPr>
          <w:p>
            <w:pPr>
              <w:spacing w:after="0"/>
              <w:rPr>
                <w:sz w:val="20"/>
                <w:szCs w:val="20"/>
                <w:color w:val="auto"/>
              </w:rPr>
            </w:pPr>
            <w:r>
              <w:rPr>
                <w:rFonts w:ascii="Arial" w:cs="Arial" w:eastAsia="Arial" w:hAnsi="Arial"/>
                <w:sz w:val="22"/>
                <w:szCs w:val="22"/>
                <w:color w:val="auto"/>
              </w:rPr>
              <w:t>Date: June 27, 2022</w:t>
            </w:r>
          </w:p>
        </w:tc>
        <w:tc>
          <w:tcPr>
            <w:tcW w:w="6980" w:type="dxa"/>
            <w:vAlign w:val="bottom"/>
            <w:gridSpan w:val="3"/>
          </w:tcPr>
          <w:p>
            <w:pPr>
              <w:ind w:left="1580"/>
              <w:spacing w:after="0"/>
              <w:rPr>
                <w:sz w:val="20"/>
                <w:szCs w:val="20"/>
                <w:color w:val="auto"/>
              </w:rPr>
            </w:pPr>
            <w:r>
              <w:rPr>
                <w:rFonts w:ascii="Arial" w:cs="Arial" w:eastAsia="Arial" w:hAnsi="Arial"/>
                <w:sz w:val="22"/>
                <w:szCs w:val="22"/>
                <w:color w:val="auto"/>
              </w:rPr>
              <w:t>By: /s/ Stacey M. Roberson</w:t>
            </w:r>
          </w:p>
        </w:tc>
      </w:tr>
      <w:tr>
        <w:trPr>
          <w:trHeight w:val="20"/>
        </w:trPr>
        <w:tc>
          <w:tcPr>
            <w:tcW w:w="3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96"/>
        </w:trPr>
        <w:tc>
          <w:tcPr>
            <w:tcW w:w="3320" w:type="dxa"/>
            <w:vAlign w:val="bottom"/>
          </w:tcPr>
          <w:p>
            <w:pPr>
              <w:spacing w:after="0"/>
              <w:rPr>
                <w:sz w:val="24"/>
                <w:szCs w:val="24"/>
                <w:color w:val="auto"/>
              </w:rPr>
            </w:pPr>
          </w:p>
        </w:tc>
        <w:tc>
          <w:tcPr>
            <w:tcW w:w="6980" w:type="dxa"/>
            <w:vAlign w:val="bottom"/>
            <w:gridSpan w:val="3"/>
          </w:tcPr>
          <w:p>
            <w:pPr>
              <w:ind w:left="1920"/>
              <w:spacing w:after="0"/>
              <w:rPr>
                <w:sz w:val="20"/>
                <w:szCs w:val="20"/>
                <w:color w:val="auto"/>
              </w:rPr>
            </w:pPr>
            <w:r>
              <w:rPr>
                <w:rFonts w:ascii="Arial" w:cs="Arial" w:eastAsia="Arial" w:hAnsi="Arial"/>
                <w:sz w:val="22"/>
                <w:szCs w:val="22"/>
                <w:color w:val="auto"/>
              </w:rPr>
              <w:t>Stacey M. Roberson</w:t>
            </w:r>
          </w:p>
        </w:tc>
      </w:tr>
      <w:tr>
        <w:trPr>
          <w:trHeight w:val="274"/>
        </w:trPr>
        <w:tc>
          <w:tcPr>
            <w:tcW w:w="3320" w:type="dxa"/>
            <w:vAlign w:val="bottom"/>
          </w:tcPr>
          <w:p>
            <w:pPr>
              <w:spacing w:after="0"/>
              <w:rPr>
                <w:sz w:val="23"/>
                <w:szCs w:val="23"/>
                <w:color w:val="auto"/>
              </w:rPr>
            </w:pPr>
          </w:p>
        </w:tc>
        <w:tc>
          <w:tcPr>
            <w:tcW w:w="6980" w:type="dxa"/>
            <w:vAlign w:val="bottom"/>
            <w:gridSpan w:val="3"/>
          </w:tcPr>
          <w:p>
            <w:pPr>
              <w:ind w:left="1920"/>
              <w:spacing w:after="0"/>
              <w:rPr>
                <w:sz w:val="20"/>
                <w:szCs w:val="20"/>
                <w:color w:val="auto"/>
              </w:rPr>
            </w:pPr>
            <w:r>
              <w:rPr>
                <w:rFonts w:ascii="Arial" w:cs="Arial" w:eastAsia="Arial" w:hAnsi="Arial"/>
                <w:sz w:val="22"/>
                <w:szCs w:val="22"/>
                <w:color w:val="auto"/>
              </w:rPr>
              <w:t>Employee Benefits Committee Member</w:t>
            </w:r>
          </w:p>
        </w:tc>
      </w:tr>
      <w:tr>
        <w:trPr>
          <w:trHeight w:val="867"/>
        </w:trPr>
        <w:tc>
          <w:tcPr>
            <w:tcW w:w="3320" w:type="dxa"/>
            <w:vAlign w:val="bottom"/>
          </w:tcPr>
          <w:p>
            <w:pPr>
              <w:spacing w:after="0"/>
              <w:rPr>
                <w:sz w:val="24"/>
                <w:szCs w:val="24"/>
                <w:color w:val="auto"/>
              </w:rPr>
            </w:pPr>
          </w:p>
        </w:tc>
        <w:tc>
          <w:tcPr>
            <w:tcW w:w="3960" w:type="dxa"/>
            <w:vAlign w:val="bottom"/>
            <w:gridSpan w:val="2"/>
          </w:tcPr>
          <w:p>
            <w:pPr>
              <w:ind w:left="2200"/>
              <w:spacing w:after="0"/>
              <w:rPr>
                <w:sz w:val="20"/>
                <w:szCs w:val="20"/>
                <w:color w:val="auto"/>
              </w:rPr>
            </w:pPr>
            <w:r>
              <w:rPr>
                <w:rFonts w:ascii="Arial" w:cs="Arial" w:eastAsia="Arial" w:hAnsi="Arial"/>
                <w:sz w:val="18"/>
                <w:szCs w:val="18"/>
                <w:color w:val="auto"/>
              </w:rPr>
              <w:t>21</w:t>
            </w:r>
          </w:p>
        </w:tc>
        <w:tc>
          <w:tcPr>
            <w:tcW w:w="3020" w:type="dxa"/>
            <w:vAlign w:val="bottom"/>
          </w:tcPr>
          <w:p>
            <w:pPr>
              <w:spacing w:after="0"/>
              <w:rPr>
                <w:sz w:val="24"/>
                <w:szCs w:val="24"/>
                <w:color w:val="auto"/>
              </w:rPr>
            </w:pPr>
          </w:p>
        </w:tc>
      </w:tr>
    </w:tbl>
    <w:p>
      <w:pPr>
        <w:sectPr>
          <w:pgSz w:w="11900" w:h="16838" w:orient="portrait"/>
          <w:cols w:equalWidth="0" w:num="1">
            <w:col w:w="11220"/>
          </w:cols>
          <w:pgMar w:left="320" w:top="949" w:right="359" w:bottom="1440" w:gutter="0" w:footer="0" w:header="0"/>
        </w:sectPr>
      </w:pPr>
    </w:p>
    <w:bookmarkStart w:id="21" w:name="page22"/>
    <w:bookmarkEnd w:id="21"/>
    <w:p>
      <w:pPr>
        <w:jc w:val="right"/>
        <w:ind w:right="3879"/>
        <w:spacing w:after="0"/>
        <w:rPr>
          <w:sz w:val="20"/>
          <w:szCs w:val="20"/>
          <w:color w:val="auto"/>
        </w:rPr>
      </w:pPr>
      <w:r>
        <w:rPr>
          <w:rFonts w:ascii="Arial" w:cs="Arial" w:eastAsia="Arial" w:hAnsi="Arial"/>
          <w:sz w:val="22"/>
          <w:szCs w:val="22"/>
          <w:b w:val="1"/>
          <w:bCs w:val="1"/>
          <w:color w:val="auto"/>
        </w:rPr>
        <w:t>Exhibit Index</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11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366" w:lineRule="exact"/>
        <w:rPr>
          <w:sz w:val="20"/>
          <w:szCs w:val="20"/>
          <w:color w:val="auto"/>
        </w:rPr>
      </w:pPr>
    </w:p>
    <w:p>
      <w:pPr>
        <w:ind w:left="760" w:hanging="752"/>
        <w:spacing w:after="0"/>
        <w:tabs>
          <w:tab w:leader="none" w:pos="760" w:val="left"/>
        </w:tabs>
        <w:numPr>
          <w:ilvl w:val="0"/>
          <w:numId w:val="6"/>
        </w:numPr>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Consent of Independent Registered Public Accounting Firm</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139"/>
          </w:cols>
          <w:pgMar w:left="320" w:top="949"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We consent to the incorporation by reference in the Registration Statements (Form S-8 Nos. 333-172422 and 333-258801) pertaining to The Lilly Employee 401(k) Plan and The Savings Plan for Lilly Affiliate Employees in Puerto Rico of Eli Lilly and Company of our report dated June 27, 2022, with respect to the financial statements and schedules of The Lilly Employee 401(k) Plan and The Savings Plan for Lilly Affiliate Employees in Puerto Rico included in this Annual Report (Form 11-K) for the year ended December 31, 2021.</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June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940"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We consent to the incorporation by reference in the Registration Statements (Form S-8 Nos. 333-172422 and 333-258801) pertaining to The Lilly Employee 401(k) Plan and The Savings Plan for Lilly Affiliate Employees in Puerto Rico of Eli Lilly and Company of our report dated June 27, 2022, with respect to the financial statements and schedules of The Lilly Employee 401(k) Plan and The Savings Plan for Lilly Affiliate Employees in Puerto Rico included in this Annual Report (Form 11-K) for the year ended December 31, 2021.</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June 27, 2022</w:t>
      </w:r>
    </w:p>
    <w:sectPr>
      <w:pgSz w:w="11900" w:h="16838" w:orient="portrait"/>
      <w:cols w:equalWidth="0" w:num="1">
        <w:col w:w="11240"/>
      </w:cols>
      <w:pgMar w:left="320" w:top="9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2022-06-27T19:00:38Z</dcterms:created>
  <dcterms:modified xsi:type="dcterms:W3CDTF">2022-06-27T19:00:38Z</dcterms:modified>
</cp:coreProperties>
</file>