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001-06351</w:t>
        </w:r>
      </w:hyperlink>
    </w:p>
    <w:p>
      <w:pPr>
        <w:spacing w:after="0" w:line="136" w:lineRule="exact"/>
        <w:rPr>
          <w:sz w:val="24"/>
          <w:szCs w:val="24"/>
          <w:color w:val="auto"/>
        </w:rPr>
      </w:pPr>
    </w:p>
    <w:p>
      <w:pPr>
        <w:ind w:left="3100"/>
        <w:spacing w:after="0"/>
        <w:tabs>
          <w:tab w:leader="none" w:pos="396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ELI LILLY &amp; Co</w:t>
        </w:r>
      </w:hyperlink>
    </w:p>
    <w:p>
      <w:pPr>
        <w:spacing w:after="0" w:line="57"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540"/>
        <w:spacing w:after="0"/>
        <w:tabs>
          <w:tab w:leader="none" w:pos="40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Lilly Corporate Center</w:t>
      </w:r>
    </w:p>
    <w:p>
      <w:pPr>
        <w:spacing w:after="0" w:line="62"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color w:val="0000FF"/>
        </w:rPr>
        <w:t>Indianapolis INDIANA 46285</w:t>
      </w:r>
    </w:p>
    <w:p>
      <w:pPr>
        <w:spacing w:after="0" w:line="63" w:lineRule="exact"/>
        <w:rPr>
          <w:sz w:val="24"/>
          <w:szCs w:val="24"/>
          <w:color w:val="auto"/>
        </w:rPr>
      </w:pPr>
    </w:p>
    <w:tbl>
      <w:tblPr>
        <w:tblLayout w:type="fixed"/>
        <w:tblInd w:w="2540" w:type="dxa"/>
        <w:tblCellMar>
          <w:top w:w="0" w:type="dxa"/>
          <w:left w:w="0" w:type="dxa"/>
          <w:bottom w:w="0" w:type="dxa"/>
          <w:right w:w="0" w:type="dxa"/>
        </w:tblCellMar>
      </w:tblPr>
      <w:tr>
        <w:trPr>
          <w:trHeight w:val="232"/>
        </w:trPr>
        <w:tc>
          <w:tcPr>
            <w:tcW w:w="2660" w:type="dxa"/>
            <w:vAlign w:val="bottom"/>
          </w:tcPr>
          <w:p>
            <w:pPr>
              <w:spacing w:after="0"/>
              <w:rPr>
                <w:sz w:val="20"/>
                <w:szCs w:val="20"/>
                <w:color w:val="auto"/>
              </w:rPr>
            </w:pPr>
            <w:r>
              <w:rPr>
                <w:rFonts w:ascii="Arial" w:cs="Arial" w:eastAsia="Arial" w:hAnsi="Arial"/>
                <w:sz w:val="18"/>
                <w:szCs w:val="18"/>
                <w:color w:val="auto"/>
              </w:rPr>
              <w:t>Telephone number:</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(317) 276-2000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33020</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1.625% Notes Due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8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NEW YORK STOCK EXCHANGE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0000FF"/>
              </w:rPr>
              <w:t>2026-06-02</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By</w:t>
            </w:r>
          </w:p>
        </w:tc>
        <w:tc>
          <w:tcPr>
            <w:tcW w:w="262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Tyler Mastronardi</w:t>
            </w:r>
          </w:p>
        </w:tc>
        <w:tc>
          <w:tcPr>
            <w:tcW w:w="260" w:type="dxa"/>
            <w:vAlign w:val="bottom"/>
          </w:tcPr>
          <w:p>
            <w:pPr>
              <w:spacing w:after="0"/>
              <w:rPr>
                <w:sz w:val="21"/>
                <w:szCs w:val="21"/>
                <w:color w:val="auto"/>
              </w:rPr>
            </w:pPr>
          </w:p>
        </w:tc>
        <w:tc>
          <w:tcPr>
            <w:tcW w:w="208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Analyst, Market Watch</w:t>
            </w:r>
          </w:p>
        </w:tc>
      </w:tr>
      <w:tr>
        <w:trPr>
          <w:trHeight w:val="252"/>
        </w:trPr>
        <w:tc>
          <w:tcPr>
            <w:tcW w:w="2060" w:type="dxa"/>
            <w:vAlign w:val="bottom"/>
            <w:tcBorders>
              <w:top w:val="single" w:sz="8" w:color="auto"/>
            </w:tcBorders>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62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line="236" w:lineRule="auto"/>
        <w:rPr>
          <w:sz w:val="20"/>
          <w:szCs w:val="20"/>
          <w:color w:val="auto"/>
        </w:rPr>
      </w:pPr>
      <w:r>
        <w:rPr>
          <w:rFonts w:ascii="Times New Roman" w:cs="Times New Roman" w:eastAsia="Times New Roman" w:hAnsi="Times New Roman"/>
          <w:sz w:val="22"/>
          <w:szCs w:val="22"/>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June 15, 2026, pursuant to the provisions of Rule 12d2-2 (a). [ X ] 17 CFR 240.12d2-2(a)(2) That the entire class of this security was redeemed or paid at maturity or retirement on June 02, 2026. The Exchange also notifies the Securities and Exchange Commission that as a result of the above indicated conditions this security was suspended from trading on June 02, 2026.</w:t>
      </w:r>
    </w:p>
    <w:sectPr>
      <w:pgSz w:w="11900" w:h="16838" w:orient="portrait"/>
      <w:cols w:equalWidth="0" w:num="1">
        <w:col w:w="11160"/>
      </w:cols>
      <w:pgMar w:left="320" w:top="11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06351" TargetMode="External"/><Relationship Id="rId11" Type="http://schemas.openxmlformats.org/officeDocument/2006/relationships/hyperlink" Target="http://www.sec.gov/cgi-bin/browse-edgar?action=getcompany&amp;CIK=00000594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2026-06-02T08:17:45Z</dcterms:created>
  <dcterms:modified xsi:type="dcterms:W3CDTF">2026-06-02T08:17:45Z</dcterms:modified>
</cp:coreProperties>
</file>