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001-06351</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1900" w:type="dxa"/>
        <w:tblCellMar>
          <w:top w:w="0" w:type="dxa"/>
          <w:left w:w="0" w:type="dxa"/>
          <w:bottom w:w="0" w:type="dxa"/>
          <w:right w:w="0" w:type="dxa"/>
        </w:tblCellMar>
      </w:tblPr>
      <w:tr>
        <w:trPr>
          <w:trHeight w:val="190"/>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203"/>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Lilly Corporate Center, Indianapolis, Indiana 46285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15"/>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LLY25</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2"/>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0.500% Notes due 2033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2043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1.125% Notes due 2051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LLY51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203"/>
        </w:trPr>
        <w:tc>
          <w:tcPr>
            <w:tcW w:w="3000" w:type="dxa"/>
            <w:vAlign w:val="bottom"/>
            <w:gridSpan w:val="2"/>
          </w:tcPr>
          <w:p>
            <w:pPr>
              <w:spacing w:after="0"/>
              <w:rPr>
                <w:sz w:val="20"/>
                <w:szCs w:val="20"/>
                <w:color w:val="auto"/>
              </w:rPr>
            </w:pPr>
            <w:r>
              <w:rPr>
                <w:rFonts w:ascii="Arial" w:cs="Arial" w:eastAsia="Arial" w:hAnsi="Arial"/>
                <w:sz w:val="14"/>
                <w:szCs w:val="14"/>
                <w:color w:val="auto"/>
              </w:rPr>
              <w:t>1.375% Notes due 2061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LLY61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35" w:lineRule="exact"/>
        <w:rPr>
          <w:sz w:val="24"/>
          <w:szCs w:val="24"/>
          <w:color w:val="auto"/>
        </w:rPr>
      </w:pPr>
    </w:p>
    <w:p>
      <w:pPr>
        <w:ind w:right="3680"/>
        <w:spacing w:after="0" w:line="199"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40"/>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8" w:lineRule="exact"/>
        <w:rPr>
          <w:sz w:val="24"/>
          <w:szCs w:val="24"/>
          <w:color w:val="auto"/>
        </w:rPr>
      </w:pPr>
    </w:p>
    <w:p>
      <w:pPr>
        <w:ind w:right="100"/>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w w:val="94"/>
              </w:rPr>
              <w:t xml:space="preserve">Large accelerated filer </w:t>
            </w:r>
            <w:r>
              <w:rPr>
                <w:rFonts w:ascii="MS PGothic" w:cs="MS PGothic" w:eastAsia="MS PGothic" w:hAnsi="MS PGothic"/>
                <w:sz w:val="13"/>
                <w:szCs w:val="13"/>
                <w:color w:val="auto"/>
                <w:w w:val="94"/>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4940" w:type="dxa"/>
            <w:vAlign w:val="bottom"/>
          </w:tcPr>
          <w:p>
            <w:pPr>
              <w:spacing w:after="0"/>
              <w:rPr>
                <w:sz w:val="18"/>
                <w:szCs w:val="18"/>
                <w:color w:val="auto"/>
              </w:rPr>
            </w:pP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73" w:lineRule="exact"/>
        <w:rPr>
          <w:sz w:val="24"/>
          <w:szCs w:val="24"/>
          <w:color w:val="auto"/>
        </w:rPr>
      </w:pPr>
    </w:p>
    <w:p>
      <w:pPr>
        <w:ind w:right="36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34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580"/>
        <w:spacing w:after="0" w:line="17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240"/>
        <w:spacing w:after="0" w:line="281" w:lineRule="auto"/>
        <w:rPr>
          <w:sz w:val="20"/>
          <w:szCs w:val="20"/>
          <w:color w:val="auto"/>
        </w:rPr>
      </w:pPr>
      <w:r>
        <w:rPr>
          <w:rFonts w:ascii="Arial" w:cs="Arial" w:eastAsia="Arial" w:hAnsi="Arial"/>
          <w:sz w:val="13"/>
          <w:szCs w:val="13"/>
          <w:color w:val="auto"/>
        </w:rPr>
        <w:t>Aggregate market value of the common equity held by non-affiliates computed by reference to the price at which the common equity was last sold as of the last business day of the Registrant's most recently completed second fiscal quarter: approximately $769,792,000,000.</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Number of shares of common stock outstanding as of February 14, 2025: 948,169,999</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for the 2025 Annual Meeting of Shareholders have been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2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54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9"/>
              </w:rPr>
              <w:t>For the Year Ended December 31, 2024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 w:type="dxa"/>
            <w:vAlign w:val="bottom"/>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color w:val="0000FF"/>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9"/>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1.</w:t>
            </w:r>
          </w:p>
        </w:tc>
        <w:tc>
          <w:tcPr>
            <w:tcW w:w="700" w:type="dxa"/>
            <w:vAlign w:val="bottom"/>
            <w:gridSpan w:val="2"/>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060" w:type="dxa"/>
            <w:vAlign w:val="bottom"/>
            <w:gridSpan w:val="22"/>
          </w:tcPr>
          <w:p>
            <w:pPr>
              <w:spacing w:after="0"/>
              <w:rPr>
                <w:sz w:val="24"/>
                <w:szCs w:val="24"/>
                <w:color w:val="auto"/>
              </w:rPr>
            </w:pPr>
          </w:p>
        </w:tc>
        <w:tc>
          <w:tcPr>
            <w:tcW w:w="720" w:type="dxa"/>
            <w:vAlign w:val="bottom"/>
            <w:gridSpan w:val="6"/>
          </w:tcPr>
          <w:p>
            <w:pPr>
              <w:jc w:val="center"/>
              <w:ind w:left="450"/>
              <w:spacing w:after="0"/>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1A.</w:t>
            </w:r>
          </w:p>
        </w:tc>
        <w:tc>
          <w:tcPr>
            <w:tcW w:w="620" w:type="dxa"/>
            <w:vAlign w:val="bottom"/>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1B.</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1C.</w:t>
            </w:r>
          </w:p>
        </w:tc>
        <w:tc>
          <w:tcPr>
            <w:tcW w:w="620" w:type="dxa"/>
            <w:vAlign w:val="bottom"/>
          </w:tcPr>
          <w:p>
            <w:pPr>
              <w:spacing w:after="0"/>
              <w:rPr>
                <w:sz w:val="18"/>
                <w:szCs w:val="18"/>
                <w:color w:val="auto"/>
              </w:rPr>
            </w:pP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540" w:type="dxa"/>
            <w:vAlign w:val="bottom"/>
            <w:gridSpan w:val="12"/>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rPr>
              <w:t>Item 2.</w:t>
            </w:r>
          </w:p>
        </w:tc>
        <w:tc>
          <w:tcPr>
            <w:tcW w:w="6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700" w:type="dxa"/>
            <w:vAlign w:val="bottom"/>
            <w:gridSpan w:val="18"/>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3.</w:t>
            </w: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300" w:type="dxa"/>
            <w:vAlign w:val="bottom"/>
            <w:gridSpan w:val="16"/>
          </w:tcPr>
          <w:p>
            <w:pPr>
              <w:spacing w:after="0"/>
              <w:rPr>
                <w:sz w:val="18"/>
                <w:szCs w:val="18"/>
                <w:color w:val="auto"/>
              </w:rPr>
            </w:pP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II</w:t>
            </w:r>
          </w:p>
        </w:tc>
        <w:tc>
          <w:tcPr>
            <w:tcW w:w="80" w:type="dxa"/>
            <w:vAlign w:val="bottom"/>
            <w:tcBorders>
              <w:top w:val="single" w:sz="8" w:color="0000FF"/>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 Equity</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Securities</w:t>
            </w:r>
          </w:p>
        </w:tc>
        <w:tc>
          <w:tcPr>
            <w:tcW w:w="7560" w:type="dxa"/>
            <w:vAlign w:val="bottom"/>
            <w:tcBorders>
              <w:top w:val="single" w:sz="8" w:color="0000FF"/>
            </w:tcBorders>
            <w:gridSpan w:val="20"/>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6.</w:t>
            </w:r>
          </w:p>
        </w:tc>
        <w:tc>
          <w:tcPr>
            <w:tcW w:w="700" w:type="dxa"/>
            <w:vAlign w:val="bottom"/>
            <w:gridSpan w:val="2"/>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7920" w:type="dxa"/>
            <w:vAlign w:val="bottom"/>
            <w:gridSpan w:val="20"/>
          </w:tcPr>
          <w:p>
            <w:pPr>
              <w:spacing w:after="0"/>
              <w:rPr>
                <w:sz w:val="19"/>
                <w:szCs w:val="19"/>
                <w:color w:val="auto"/>
              </w:rPr>
            </w:pPr>
          </w:p>
        </w:tc>
        <w:tc>
          <w:tcPr>
            <w:tcW w:w="520" w:type="dxa"/>
            <w:vAlign w:val="bottom"/>
            <w:gridSpan w:val="3"/>
          </w:tcPr>
          <w:p>
            <w:pPr>
              <w:spacing w:after="0"/>
              <w:rPr>
                <w:sz w:val="19"/>
                <w:szCs w:val="19"/>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41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7.</w:t>
            </w:r>
          </w:p>
        </w:tc>
        <w:tc>
          <w:tcPr>
            <w:tcW w:w="700" w:type="dxa"/>
            <w:vAlign w:val="bottom"/>
            <w:gridSpan w:val="2"/>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Results of Operations and Financial Condition</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7A.</w:t>
            </w:r>
          </w:p>
        </w:tc>
        <w:tc>
          <w:tcPr>
            <w:tcW w:w="880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gridSpan w:val="7"/>
          </w:tcPr>
          <w:p>
            <w:pPr>
              <w:jc w:val="center"/>
              <w:ind w:left="370"/>
              <w:spacing w:after="0"/>
              <w:rPr>
                <w:sz w:val="20"/>
                <w:szCs w:val="20"/>
                <w:color w:val="auto"/>
              </w:rPr>
            </w:pPr>
            <w:r>
              <w:rPr>
                <w:rFonts w:ascii="Arial" w:cs="Arial" w:eastAsia="Arial" w:hAnsi="Arial"/>
                <w:sz w:val="18"/>
                <w:szCs w:val="18"/>
                <w:color w:val="0000FF"/>
                <w:w w:val="99"/>
              </w:rPr>
              <w:t>57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Arial" w:cs="Arial" w:eastAsia="Arial" w:hAnsi="Arial"/>
                <w:sz w:val="18"/>
                <w:szCs w:val="18"/>
                <w:color w:val="0000FF"/>
                <w:w w:val="94"/>
              </w:rPr>
              <w:t>Item 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4080" w:type="dxa"/>
            <w:vAlign w:val="bottom"/>
            <w:gridSpan w:val="7"/>
          </w:tcPr>
          <w:p>
            <w:pPr>
              <w:spacing w:after="0"/>
              <w:rPr>
                <w:sz w:val="18"/>
                <w:szCs w:val="18"/>
                <w:color w:val="auto"/>
              </w:rPr>
            </w:pPr>
          </w:p>
        </w:tc>
        <w:tc>
          <w:tcPr>
            <w:tcW w:w="520" w:type="dxa"/>
            <w:vAlign w:val="bottom"/>
            <w:gridSpan w:val="3"/>
          </w:tcPr>
          <w:p>
            <w:pPr>
              <w:spacing w:after="0"/>
              <w:rPr>
                <w:sz w:val="18"/>
                <w:szCs w:val="18"/>
                <w:color w:val="auto"/>
              </w:rPr>
            </w:pPr>
          </w:p>
        </w:tc>
        <w:tc>
          <w:tcPr>
            <w:tcW w:w="260" w:type="dxa"/>
            <w:vAlign w:val="bottom"/>
            <w:gridSpan w:val="4"/>
          </w:tcPr>
          <w:p>
            <w:pPr>
              <w:jc w:val="center"/>
              <w:ind w:right="60"/>
              <w:spacing w:after="0"/>
              <w:rPr>
                <w:sz w:val="20"/>
                <w:szCs w:val="20"/>
                <w:color w:val="auto"/>
              </w:rPr>
            </w:pPr>
            <w:r>
              <w:rPr>
                <w:rFonts w:ascii="Arial" w:cs="Arial" w:eastAsia="Arial" w:hAnsi="Arial"/>
                <w:sz w:val="18"/>
                <w:szCs w:val="18"/>
                <w:color w:val="0000FF"/>
                <w:w w:val="99"/>
              </w:rPr>
              <w:t>58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9.</w:t>
            </w:r>
          </w:p>
        </w:tc>
        <w:tc>
          <w:tcPr>
            <w:tcW w:w="700" w:type="dxa"/>
            <w:vAlign w:val="bottom"/>
            <w:gridSpan w:val="2"/>
          </w:tcPr>
          <w:p>
            <w:pPr>
              <w:spacing w:after="0"/>
              <w:rPr>
                <w:sz w:val="18"/>
                <w:szCs w:val="18"/>
                <w:color w:val="auto"/>
              </w:rPr>
            </w:pPr>
          </w:p>
        </w:tc>
        <w:tc>
          <w:tcPr>
            <w:tcW w:w="71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660" w:type="dxa"/>
            <w:vAlign w:val="bottom"/>
            <w:gridSpan w:val="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Item 9A.</w:t>
            </w:r>
          </w:p>
        </w:tc>
        <w:tc>
          <w:tcPr>
            <w:tcW w:w="62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9"/>
              </w:rPr>
              <w:t>Item 9B.</w:t>
            </w:r>
          </w:p>
        </w:tc>
        <w:tc>
          <w:tcPr>
            <w:tcW w:w="620" w:type="dxa"/>
            <w:vAlign w:val="bottom"/>
          </w:tcPr>
          <w:p>
            <w:pPr>
              <w:spacing w:after="0"/>
              <w:rPr>
                <w:sz w:val="18"/>
                <w:szCs w:val="18"/>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8"/>
                <w:szCs w:val="18"/>
                <w:color w:val="0000FF"/>
                <w:w w:val="88"/>
              </w:rPr>
              <w:t>Item 9C.</w:t>
            </w:r>
          </w:p>
        </w:tc>
        <w:tc>
          <w:tcPr>
            <w:tcW w:w="620" w:type="dxa"/>
            <w:vAlign w:val="bottom"/>
          </w:tcPr>
          <w:p>
            <w:pPr>
              <w:spacing w:after="0"/>
              <w:rPr>
                <w:sz w:val="19"/>
                <w:szCs w:val="19"/>
                <w:color w:val="auto"/>
              </w:rPr>
            </w:pPr>
          </w:p>
        </w:tc>
        <w:tc>
          <w:tcPr>
            <w:tcW w:w="88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Part III</w:t>
            </w:r>
          </w:p>
        </w:tc>
        <w:tc>
          <w:tcPr>
            <w:tcW w:w="6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10.</w:t>
            </w:r>
          </w:p>
        </w:tc>
        <w:tc>
          <w:tcPr>
            <w:tcW w:w="880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Item 11.</w:t>
            </w:r>
          </w:p>
        </w:tc>
        <w:tc>
          <w:tcPr>
            <w:tcW w:w="6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60" w:type="dxa"/>
            <w:vAlign w:val="bottom"/>
            <w:tcBorders>
              <w:top w:val="single" w:sz="8" w:color="0000FF"/>
            </w:tcBorders>
            <w:gridSpan w:val="5"/>
          </w:tcPr>
          <w:p>
            <w:pPr>
              <w:spacing w:after="0"/>
              <w:rPr>
                <w:sz w:val="18"/>
                <w:szCs w:val="18"/>
                <w:color w:val="auto"/>
              </w:rPr>
            </w:pPr>
          </w:p>
        </w:tc>
        <w:tc>
          <w:tcPr>
            <w:tcW w:w="424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300" w:type="dxa"/>
            <w:vAlign w:val="bottom"/>
            <w:tcBorders>
              <w:top w:val="single" w:sz="8" w:color="0000FF"/>
            </w:tcBorders>
            <w:gridSpan w:val="5"/>
          </w:tcPr>
          <w:p>
            <w:pPr>
              <w:jc w:val="center"/>
              <w:spacing w:after="0"/>
              <w:rPr>
                <w:sz w:val="20"/>
                <w:szCs w:val="20"/>
                <w:color w:val="auto"/>
              </w:rPr>
            </w:pPr>
            <w:r>
              <w:rPr>
                <w:rFonts w:ascii="Arial" w:cs="Arial" w:eastAsia="Arial" w:hAnsi="Arial"/>
                <w:sz w:val="18"/>
                <w:szCs w:val="18"/>
                <w:color w:val="0000FF"/>
                <w:w w:val="99"/>
              </w:rPr>
              <w:t>115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12.</w:t>
            </w:r>
          </w:p>
        </w:tc>
        <w:tc>
          <w:tcPr>
            <w:tcW w:w="880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13.</w:t>
            </w:r>
          </w:p>
        </w:tc>
        <w:tc>
          <w:tcPr>
            <w:tcW w:w="88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14.</w:t>
            </w:r>
          </w:p>
        </w:tc>
        <w:tc>
          <w:tcPr>
            <w:tcW w:w="880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880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880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840" w:type="dxa"/>
            <w:vAlign w:val="bottom"/>
            <w:gridSpan w:val="8"/>
          </w:tcPr>
          <w:p>
            <w:pPr>
              <w:jc w:val="center"/>
              <w:ind w:left="330"/>
              <w:spacing w:after="0"/>
              <w:rPr>
                <w:sz w:val="20"/>
                <w:szCs w:val="20"/>
                <w:color w:val="auto"/>
              </w:rPr>
            </w:pPr>
            <w:r>
              <w:rPr>
                <w:rFonts w:ascii="Arial" w:cs="Arial" w:eastAsia="Arial" w:hAnsi="Arial"/>
                <w:sz w:val="18"/>
                <w:szCs w:val="18"/>
                <w:color w:val="0000FF"/>
                <w:w w:val="99"/>
              </w:rPr>
              <w:t>118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9"/>
        </w:trPr>
        <w:tc>
          <w:tcPr>
            <w:tcW w:w="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Borders>
              <w:top w:val="single" w:sz="8" w:color="0000FF"/>
            </w:tcBorders>
            <w:gridSpan w:val="8"/>
          </w:tcPr>
          <w:p>
            <w:pPr>
              <w:spacing w:after="0"/>
              <w:rPr>
                <w:sz w:val="24"/>
                <w:szCs w:val="24"/>
                <w:color w:val="auto"/>
              </w:rPr>
            </w:pPr>
          </w:p>
        </w:tc>
        <w:tc>
          <w:tcPr>
            <w:tcW w:w="2880" w:type="dxa"/>
            <w:vAlign w:val="bottom"/>
            <w:gridSpan w:val="7"/>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or competitive products;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may exacerbate competitive, regulatory, litigation, cybersecurity, and other risks;</w:t>
      </w:r>
    </w:p>
    <w:p>
      <w:pPr>
        <w:spacing w:after="0" w:line="1" w:lineRule="exact"/>
        <w:rPr>
          <w:rFonts w:ascii="Arial" w:cs="Arial" w:eastAsia="Arial" w:hAnsi="Arial"/>
          <w:sz w:val="18"/>
          <w:szCs w:val="18"/>
          <w:color w:val="auto"/>
        </w:rPr>
      </w:pPr>
    </w:p>
    <w:p>
      <w:pPr>
        <w:ind w:left="340" w:right="260" w:hanging="332"/>
        <w:spacing w:after="0" w:line="298" w:lineRule="auto"/>
        <w:tabs>
          <w:tab w:leader="none" w:pos="33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global macroeconomic conditions, including uneven economic growth or downturns or uncertainty, trade disruptions, international tension, conflicts, regional dependencies, or other costs, uncertainties, and risks related to engaging in business globally;</w:t>
      </w: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All trademarks or trade names referred to in this Annual Report on Form 10-K are the property of the company, or, to the extent trademarks or trade names belonging to other companies are referenced in this Annual Report on Form 10-K, the property of their respective owners. Solely for convenience, the trademarks and trade names in this Annual Report on Form 10-K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Business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depends on our ability to continually discover or acquire, develop, and commercialize innovative medicines.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in Europe and Asia. Our products are sold in approximately 95 countries.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Cardiometabolic</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Basaglar</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a long-acting human insulin analog for the</w:t>
            </w:r>
          </w:p>
        </w:tc>
      </w:tr>
      <w:tr>
        <w:trPr>
          <w:trHeight w:val="252"/>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Health products</w:t>
            </w:r>
          </w:p>
        </w:tc>
        <w:tc>
          <w:tcPr>
            <w:tcW w:w="2340" w:type="dxa"/>
            <w:vAlign w:val="bottom"/>
            <w:tcBorders>
              <w:bottom w:val="single" w:sz="8" w:color="auto"/>
              <w:right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treatment of diabetes.</w:t>
            </w:r>
          </w:p>
        </w:tc>
      </w:tr>
      <w:tr>
        <w:trPr>
          <w:trHeight w:val="220"/>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Humalog, Humalog Mix</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Human insulin analogs for the treatment of diabetes.</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75/25, Humalog U-100,</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Humalog U-200, Humalog</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Mix 50/50, insulin lispro,</w:t>
            </w:r>
          </w:p>
        </w:tc>
        <w:tc>
          <w:tcPr>
            <w:tcW w:w="6900" w:type="dxa"/>
            <w:vAlign w:val="bottom"/>
            <w:tcBorders>
              <w:right w:val="single" w:sz="8" w:color="auto"/>
            </w:tcBorders>
          </w:tcPr>
          <w:p>
            <w:pPr>
              <w:spacing w:after="0"/>
              <w:rPr>
                <w:sz w:val="18"/>
                <w:szCs w:val="18"/>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protamine, 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insulin lispro mix 75/25</w:t>
            </w:r>
          </w:p>
        </w:tc>
        <w:tc>
          <w:tcPr>
            <w:tcW w:w="6900" w:type="dxa"/>
            <w:vAlign w:val="bottom"/>
            <w:tcBorders>
              <w:right w:val="single" w:sz="8" w:color="auto"/>
            </w:tcBorders>
          </w:tcPr>
          <w:p>
            <w:pPr>
              <w:spacing w:after="0"/>
              <w:rPr>
                <w:sz w:val="20"/>
                <w:szCs w:val="20"/>
                <w:color w:val="auto"/>
              </w:rPr>
            </w:pPr>
          </w:p>
        </w:tc>
      </w:tr>
      <w:tr>
        <w:trPr>
          <w:trHeight w:val="441"/>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Human insulins of recombinant DNA origin for the treatment of diabetes.</w:t>
            </w:r>
          </w:p>
        </w:tc>
      </w:tr>
      <w:tr>
        <w:trPr>
          <w:trHeight w:val="218"/>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 xml:space="preserve">Humulin N, Humulin R, </w:t>
            </w:r>
            <w:r>
              <w:rPr>
                <w:rFonts w:ascii="Arial" w:cs="Arial" w:eastAsia="Arial" w:hAnsi="Arial"/>
                <w:sz w:val="18"/>
                <w:szCs w:val="18"/>
                <w:color w:val="auto"/>
              </w:rPr>
              <w:t>and</w:t>
            </w:r>
          </w:p>
        </w:tc>
        <w:tc>
          <w:tcPr>
            <w:tcW w:w="6900" w:type="dxa"/>
            <w:vAlign w:val="bottom"/>
            <w:tcBorders>
              <w:right w:val="single" w:sz="8" w:color="auto"/>
            </w:tcBorders>
          </w:tcPr>
          <w:p>
            <w:pPr>
              <w:spacing w:after="0"/>
              <w:rPr>
                <w:sz w:val="18"/>
                <w:szCs w:val="18"/>
                <w:color w:val="auto"/>
              </w:rPr>
            </w:pPr>
          </w:p>
        </w:tc>
      </w:tr>
      <w:tr>
        <w:trPr>
          <w:trHeight w:val="237"/>
        </w:trPr>
        <w:tc>
          <w:tcPr>
            <w:tcW w:w="180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Humulin U-500</w:t>
            </w:r>
          </w:p>
        </w:tc>
        <w:tc>
          <w:tcPr>
            <w:tcW w:w="6900" w:type="dxa"/>
            <w:vAlign w:val="bottom"/>
            <w:tcBorders>
              <w:right w:val="single" w:sz="8" w:color="auto"/>
            </w:tcBorders>
          </w:tcPr>
          <w:p>
            <w:pPr>
              <w:spacing w:after="0"/>
              <w:rPr>
                <w:sz w:val="20"/>
                <w:szCs w:val="20"/>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Jardiance</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Boehringer Ingelheim, for the treatment of type 2 diabetes; to reduce</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the risk of cardiovascular death in adult patients with type 2 diabetes and established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cardiovascular disease; to reduce the risk of cardiovascular death and hospitalizations for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heart failure in adults; and to reduce the risk of sustained decline in estimated glomerular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filtration rate (eGFR), end-stage kidney disease, cardiovascular death and hospitalization</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adults with chronic kidney disease (CKD) at risk of progression.</w:t>
            </w:r>
          </w:p>
        </w:tc>
      </w:tr>
      <w:tr>
        <w:trPr>
          <w:trHeight w:val="445"/>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Mounjaro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 glucose-dependent insulinotropic polypeptide and glucagon-like peptide-1 receptor</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agonist, for the treatment of adults with type 2 diabetes in combination with diet and</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exercise to improve glycemic control.</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type 2 diabetes in adults and pediatric patients 10 years of age and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older; and to reduce the risk of major adverse cardiovascular events in adult patients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type 2 diabetes and established cardiovascular disease or multiple cardiovascular risk</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factors.</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Zepbound</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with obesity or overweight with at least one weight-related</w:t>
            </w:r>
          </w:p>
        </w:tc>
      </w:tr>
      <w:tr>
        <w:trPr>
          <w:trHeight w:val="202"/>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comorbid condition in combination with a reduced-calorie diet and increased physical</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activity; and for the treatment of moderate to severe obstructive sleep apnea in adults with</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obesity in combination with a reduced-calorie diet and increased physical activity (relevant</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indications marketed under Mounjaro in various markets outside the U.S.).</w:t>
            </w:r>
          </w:p>
        </w:tc>
      </w:tr>
      <w:tr>
        <w:trPr>
          <w:trHeight w:val="446"/>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80"/>
          </w:cols>
          <w:pgMar w:left="320" w:top="877" w:right="3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c>
          <w:tcPr>
            <w:tcW w:w="200" w:type="dxa"/>
            <w:vAlign w:val="bottom"/>
          </w:tcPr>
          <w:p>
            <w:pPr>
              <w:spacing w:after="0"/>
              <w:rPr>
                <w:sz w:val="24"/>
                <w:szCs w:val="24"/>
                <w:color w:val="auto"/>
              </w:rPr>
            </w:pPr>
          </w:p>
        </w:tc>
      </w:tr>
      <w:tr>
        <w:trPr>
          <w:trHeight w:val="207"/>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Oncology products</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Cyramza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another agent as a second-line treatment</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advanced or metastatic gastric cancer or gastro-esophageal junction adenocarcinoma;</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combination with another agent as a second-line treatment of metastatic non-small cell</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lung cancer (NSCLC); in combination with another agent as a second-line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metastatic colorectal cancer; as a monotherapy as a second-line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hepatocellular carcinoma; and in combination with another agent as a first-line treatment</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adult patients with metastatic NSCLC with activating epidermal growth factor receptor</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(EGFR) mutations.</w:t>
            </w:r>
          </w:p>
        </w:tc>
        <w:tc>
          <w:tcPr>
            <w:tcW w:w="200" w:type="dxa"/>
            <w:vAlign w:val="bottom"/>
          </w:tcPr>
          <w:p>
            <w:pPr>
              <w:spacing w:after="0"/>
              <w:rPr>
                <w:sz w:val="19"/>
                <w:szCs w:val="19"/>
                <w:color w:val="auto"/>
              </w:rPr>
            </w:pP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Erbitux</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Indicated both as monotherapy and in combination with another agent for the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certain types of colorectal cancers; and as monotherapy, in combination with</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chemotherapy, or in combination with radiation therapy for the treatment of certain types of</w:t>
            </w:r>
          </w:p>
        </w:tc>
        <w:tc>
          <w:tcPr>
            <w:tcW w:w="200" w:type="dxa"/>
            <w:vAlign w:val="bottom"/>
          </w:tcPr>
          <w:p>
            <w:pPr>
              <w:spacing w:after="0"/>
              <w:rPr>
                <w:sz w:val="18"/>
                <w:szCs w:val="18"/>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head and neck cancers.</w:t>
            </w:r>
          </w:p>
        </w:tc>
        <w:tc>
          <w:tcPr>
            <w:tcW w:w="200" w:type="dxa"/>
            <w:vAlign w:val="bottom"/>
          </w:tcPr>
          <w:p>
            <w:pPr>
              <w:spacing w:after="0"/>
              <w:rPr>
                <w:sz w:val="19"/>
                <w:szCs w:val="19"/>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Jaypirca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relapsed or refractory mantle cell lymphoma (MCL)</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after at least two lines of systemic therapy, including a BTK inhibitor; and for the treatment</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of adult patients with chronic lymphocytic leukemia or small lymphocytic lymphoma who</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have received at least two prior lines of therapy, including a BTK inhibitor and a BCL-2</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inhibitor.</w:t>
            </w:r>
          </w:p>
        </w:tc>
        <w:tc>
          <w:tcPr>
            <w:tcW w:w="200" w:type="dxa"/>
            <w:vAlign w:val="bottom"/>
          </w:tcPr>
          <w:p>
            <w:pPr>
              <w:spacing w:after="0"/>
              <w:rPr>
                <w:sz w:val="19"/>
                <w:szCs w:val="19"/>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Retevmo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metastatic NSCLC with a rearranged during transfection (RET) gene</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fusion in adult patients; for the treatment of advanced metastatic medullary thyroid cancer</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with a RET mutation who require systemic therapy in adult and pediatric patients; for the</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advanced or metastatic thyroid cancer with a RET gene fusion in adult and</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pediatric patients who require systemic therapy and are radioactive iodine-refractory; and</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patients with locally advanced or metastatic solid tumors with a</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RET gene fusion who have progressed on or following prior systemic treatment or who</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have no satisfactory alternative treatment options.</w:t>
            </w:r>
          </w:p>
        </w:tc>
        <w:tc>
          <w:tcPr>
            <w:tcW w:w="200" w:type="dxa"/>
            <w:vAlign w:val="bottom"/>
          </w:tcPr>
          <w:p>
            <w:pPr>
              <w:spacing w:after="0"/>
              <w:rPr>
                <w:sz w:val="19"/>
                <w:szCs w:val="19"/>
                <w:color w:val="auto"/>
              </w:rPr>
            </w:pPr>
          </w:p>
        </w:tc>
      </w:tr>
      <w:tr>
        <w:trPr>
          <w:trHeight w:val="43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Tyvyt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Innovent Biologics, Inc., for the treatment of relapsed or refractory</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classic Hodgkin's lymphoma; for the first-line treatment of non-squamous NSCLC in</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combination with Alimta and another agent; for the first-line treatment of squamous</w:t>
            </w:r>
          </w:p>
        </w:tc>
        <w:tc>
          <w:tcPr>
            <w:tcW w:w="200" w:type="dxa"/>
            <w:vAlign w:val="bottom"/>
          </w:tcPr>
          <w:p>
            <w:pPr>
              <w:spacing w:after="0"/>
              <w:rPr>
                <w:sz w:val="18"/>
                <w:szCs w:val="18"/>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NSCLC in combination with two other agents; for the first-line treatment of hepatocellular</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carcinoma in combination with another agent; for the first-line treatment of esophageal</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squamous cell carcinoma in combination with certain other agents; for the first-line</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gastric cancer in combination with two other agents; and, in combination with</w:t>
            </w:r>
          </w:p>
        </w:tc>
        <w:tc>
          <w:tcPr>
            <w:tcW w:w="200" w:type="dxa"/>
            <w:vAlign w:val="bottom"/>
          </w:tcPr>
          <w:p>
            <w:pPr>
              <w:spacing w:after="0"/>
              <w:rPr>
                <w:sz w:val="17"/>
                <w:szCs w:val="17"/>
                <w:color w:val="auto"/>
              </w:rPr>
            </w:pP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two other agents, for patients with EGFR-mutated non-squamous NSCLC that progressed</w:t>
            </w:r>
          </w:p>
        </w:tc>
        <w:tc>
          <w:tcPr>
            <w:tcW w:w="200" w:type="dxa"/>
            <w:vAlign w:val="bottom"/>
          </w:tcPr>
          <w:p>
            <w:pPr>
              <w:spacing w:after="0"/>
              <w:rPr>
                <w:sz w:val="18"/>
                <w:szCs w:val="18"/>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after EGFR-tyrosine kinase inhibitor therapy, each in China.</w:t>
            </w:r>
          </w:p>
        </w:tc>
        <w:tc>
          <w:tcPr>
            <w:tcW w:w="200" w:type="dxa"/>
            <w:vAlign w:val="bottom"/>
          </w:tcPr>
          <w:p>
            <w:pPr>
              <w:spacing w:after="0"/>
              <w:rPr>
                <w:sz w:val="19"/>
                <w:szCs w:val="19"/>
                <w:color w:val="auto"/>
              </w:rPr>
            </w:pPr>
          </w:p>
        </w:tc>
      </w:tr>
      <w:tr>
        <w:trPr>
          <w:trHeight w:val="702"/>
        </w:trPr>
        <w:tc>
          <w:tcPr>
            <w:tcW w:w="1800" w:type="dxa"/>
            <w:vAlign w:val="bottom"/>
            <w:tcBorders>
              <w:left w:val="single" w:sz="8" w:color="auto"/>
              <w:right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Verzenio</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use as monotherapy or in combination with endocrine therapy for the treatment of</w:t>
            </w:r>
          </w:p>
        </w:tc>
        <w:tc>
          <w:tcPr>
            <w:tcW w:w="200" w:type="dxa"/>
            <w:vAlign w:val="bottom"/>
          </w:tcPr>
          <w:p>
            <w:pPr>
              <w:spacing w:after="0"/>
              <w:rPr>
                <w:sz w:val="17"/>
                <w:szCs w:val="17"/>
                <w:color w:val="auto"/>
              </w:rPr>
            </w:pP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HR+, HER2- metastatic breast cancer, and in combination with endocrine therapy for</w:t>
            </w:r>
          </w:p>
        </w:tc>
        <w:tc>
          <w:tcPr>
            <w:tcW w:w="200" w:type="dxa"/>
            <w:vAlign w:val="bottom"/>
          </w:tcPr>
          <w:p>
            <w:pPr>
              <w:spacing w:after="0"/>
              <w:rPr>
                <w:sz w:val="17"/>
                <w:szCs w:val="17"/>
                <w:color w:val="auto"/>
              </w:rPr>
            </w:pP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HR+, HER2-, node positive, early breast cancer at high risk of recurrence.</w:t>
            </w:r>
          </w:p>
        </w:tc>
        <w:tc>
          <w:tcPr>
            <w:tcW w:w="200" w:type="dxa"/>
            <w:vAlign w:val="bottom"/>
          </w:tcPr>
          <w:p>
            <w:pPr>
              <w:spacing w:after="0"/>
              <w:rPr>
                <w:sz w:val="19"/>
                <w:szCs w:val="19"/>
                <w:color w:val="auto"/>
              </w:rPr>
            </w:pPr>
          </w:p>
        </w:tc>
      </w:tr>
      <w:tr>
        <w:trPr>
          <w:trHeight w:val="256"/>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r>
      <w:tr>
        <w:trPr>
          <w:trHeight w:val="970"/>
        </w:trPr>
        <w:tc>
          <w:tcPr>
            <w:tcW w:w="1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900" w:type="dxa"/>
            <w:vAlign w:val="bottom"/>
          </w:tcPr>
          <w:p>
            <w:pPr>
              <w:ind w:left="14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r>
      <w:tr>
        <w:trPr>
          <w:trHeight w:val="111"/>
        </w:trPr>
        <w:tc>
          <w:tcPr>
            <w:tcW w:w="18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6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Therapeutic area</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Products</w:t>
            </w:r>
          </w:p>
        </w:tc>
        <w:tc>
          <w:tcPr>
            <w:tcW w:w="690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Certain Indications</w:t>
            </w:r>
          </w:p>
        </w:tc>
      </w:tr>
      <w:tr>
        <w:trPr>
          <w:trHeight w:val="207"/>
        </w:trPr>
        <w:tc>
          <w:tcPr>
            <w:tcW w:w="18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Immunology</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Ebglyss</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 and adolescent patients 12 years or older with moderate to</w:t>
            </w:r>
          </w:p>
        </w:tc>
      </w:tr>
      <w:tr>
        <w:trPr>
          <w:trHeight w:val="256"/>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2"/>
                <w:szCs w:val="22"/>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atopic dermatitis (in Europe, in collaboration with Almirall S.A.).</w:t>
            </w:r>
          </w:p>
        </w:tc>
      </w:tr>
      <w:tr>
        <w:trPr>
          <w:trHeight w:val="212"/>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Olumiant</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 collaboration with Incyte Corporation, for the treatment of adults with moderately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severely active rheumatoid arthritis after treatment with one or more tumor necrosis factor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(TNF) blockers that did not work well enough or could not be tolerated; moderate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atopic dermatitis; severe alopecia areata; and for the treatment of hospitalized</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adults with COVID-19 who require supplemental oxygen, mechanical ventilation, or</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extracorporeal membrane oxygenation.</w:t>
            </w:r>
          </w:p>
        </w:tc>
      </w:tr>
      <w:tr>
        <w:trPr>
          <w:trHeight w:val="229"/>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spacing w:after="0"/>
              <w:rPr>
                <w:sz w:val="19"/>
                <w:szCs w:val="19"/>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Omvoh</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moderately to severely active ulcerative colitis in adults and for the</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treatment of moderately to severely active Crohn's disease in adults.</w:t>
            </w:r>
          </w:p>
        </w:tc>
      </w:tr>
      <w:tr>
        <w:trPr>
          <w:trHeight w:val="243"/>
        </w:trPr>
        <w:tc>
          <w:tcPr>
            <w:tcW w:w="1800" w:type="dxa"/>
            <w:vAlign w:val="bottom"/>
            <w:tcBorders>
              <w:left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spacing w:after="0"/>
              <w:rPr>
                <w:sz w:val="21"/>
                <w:szCs w:val="21"/>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Taltz</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the treatment of adults and pediatric patients aged 6 years or older with moderate to</w:t>
            </w:r>
          </w:p>
        </w:tc>
      </w:tr>
      <w:tr>
        <w:trPr>
          <w:trHeight w:val="203"/>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severe plaque psoriasis; adults with active psoriatic arthritis; adults with ankylosing</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spondylitis; and adults with active non-radiographic axial spondyloarthritis.</w:t>
            </w:r>
          </w:p>
        </w:tc>
      </w:tr>
      <w:tr>
        <w:trPr>
          <w:trHeight w:val="216"/>
        </w:trPr>
        <w:tc>
          <w:tcPr>
            <w:tcW w:w="180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218"/>
        </w:trPr>
        <w:tc>
          <w:tcPr>
            <w:tcW w:w="18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Neuroscience</w:t>
            </w:r>
          </w:p>
        </w:tc>
        <w:tc>
          <w:tcPr>
            <w:tcW w:w="2340" w:type="dxa"/>
            <w:vAlign w:val="bottom"/>
            <w:tcBorders>
              <w:right w:val="single" w:sz="8" w:color="auto"/>
            </w:tcBorders>
          </w:tcPr>
          <w:p>
            <w:pPr>
              <w:spacing w:after="0"/>
              <w:rPr>
                <w:sz w:val="20"/>
                <w:szCs w:val="20"/>
                <w:color w:val="auto"/>
              </w:rPr>
            </w:pPr>
            <w:r>
              <w:rPr>
                <w:rFonts w:ascii="Arial" w:cs="Arial" w:eastAsia="Arial" w:hAnsi="Arial"/>
                <w:sz w:val="18"/>
                <w:szCs w:val="18"/>
                <w:i w:val="1"/>
                <w:iCs w:val="1"/>
                <w:color w:val="auto"/>
              </w:rPr>
              <w:t>Emgality</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migraine prevention and the treatment of episodic cluster headache in adults.</w:t>
            </w:r>
          </w:p>
        </w:tc>
      </w:tr>
      <w:tr>
        <w:trPr>
          <w:trHeight w:val="239"/>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products</w:t>
            </w:r>
          </w:p>
        </w:tc>
        <w:tc>
          <w:tcPr>
            <w:tcW w:w="2340" w:type="dxa"/>
            <w:vAlign w:val="bottom"/>
            <w:tcBorders>
              <w:right w:val="single" w:sz="8" w:color="auto"/>
            </w:tcBorders>
          </w:tcPr>
          <w:p>
            <w:pPr>
              <w:spacing w:after="0"/>
              <w:rPr>
                <w:sz w:val="20"/>
                <w:szCs w:val="20"/>
                <w:color w:val="auto"/>
              </w:rPr>
            </w:pPr>
          </w:p>
        </w:tc>
        <w:tc>
          <w:tcPr>
            <w:tcW w:w="6900" w:type="dxa"/>
            <w:vAlign w:val="bottom"/>
            <w:tcBorders>
              <w:right w:val="single" w:sz="8" w:color="auto"/>
            </w:tcBorders>
          </w:tcPr>
          <w:p>
            <w:pPr>
              <w:spacing w:after="0"/>
              <w:rPr>
                <w:sz w:val="20"/>
                <w:szCs w:val="20"/>
                <w:color w:val="auto"/>
              </w:rPr>
            </w:pPr>
          </w:p>
        </w:tc>
      </w:tr>
      <w:tr>
        <w:trPr>
          <w:trHeight w:val="50"/>
        </w:trPr>
        <w:tc>
          <w:tcPr>
            <w:tcW w:w="1800" w:type="dxa"/>
            <w:vAlign w:val="bottom"/>
            <w:tcBorders>
              <w:left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r>
      <w:tr>
        <w:trPr>
          <w:trHeight w:val="201"/>
        </w:trPr>
        <w:tc>
          <w:tcPr>
            <w:tcW w:w="1800" w:type="dxa"/>
            <w:vAlign w:val="bottom"/>
            <w:tcBorders>
              <w:left w:val="single" w:sz="8" w:color="auto"/>
              <w:right w:val="single" w:sz="8" w:color="auto"/>
            </w:tcBorders>
          </w:tcPr>
          <w:p>
            <w:pPr>
              <w:spacing w:after="0"/>
              <w:rPr>
                <w:sz w:val="17"/>
                <w:szCs w:val="17"/>
                <w:color w:val="auto"/>
              </w:rPr>
            </w:pPr>
          </w:p>
        </w:tc>
        <w:tc>
          <w:tcPr>
            <w:tcW w:w="23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Kisunla</w:t>
            </w: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For adults with early symptomatic Alzheimer's disease with confirmed amyloid pathology</w:t>
            </w:r>
          </w:p>
        </w:tc>
      </w:tr>
      <w:tr>
        <w:trPr>
          <w:trHeight w:val="225"/>
        </w:trPr>
        <w:tc>
          <w:tcPr>
            <w:tcW w:w="1800" w:type="dxa"/>
            <w:vAlign w:val="bottom"/>
            <w:tcBorders>
              <w:left w:val="single" w:sz="8" w:color="auto"/>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69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and with mild cognitive impairment or mild dementia stage of disease.</w:t>
            </w:r>
          </w:p>
        </w:tc>
      </w:tr>
      <w:tr>
        <w:trPr>
          <w:trHeight w:val="256"/>
        </w:trPr>
        <w:tc>
          <w:tcPr>
            <w:tcW w:w="180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educate healthcare providers about our products in various ways, including promoting in online channels, distributing literature and samples of certain products to physicians, and exhibiting at medical meetings. In addition, we advertise certain products directly to consumers in the U.S., and we maintain websites and other media channels (e.g., social media) with information about our major products. Promotion of our major products in the U.S. includes engagement by employee or contracted sales representatives with physicians and other healthcare professionals.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account managers service wholesalers, pharmacy benefit managers, managed care organizations, group purchasing organizations, government and long-term care institutions, hospitals, and certain retail pharmacies. We enter into arrangements with these organizations to provide discounts or rebates on our products.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healthcare professionals, and hospitals. In 2024, 2023, and 2022, three wholesale distributors in the U.S.—McKesson Corporation, Cencora, Inc., and Cardinal Health, Inc.—each accounted for a significant percentage of our consolidated revenue. No other customer accounted for more than 10 percent of our consolidated revenue in any of these years. For additional information, see Item 8, "Financial Statements and Supplementary Data—Note 2: Revenue."</w:t>
      </w:r>
    </w:p>
    <w:p>
      <w:pPr>
        <w:spacing w:after="0" w:line="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recently launched LillyDirect, a direct-to-consumer digital health care platform designed to, among other things, provide patients in the U.S. living with obesity, migraine and diabetes with tools to help them access care from independent healthcare providers, as well as the option for home delivery of select prescribed Lilly medicines through third-party pharmacies. Programs to assist patients in adhering to treatment plans are also available for use. We have launched, and continue to explore, new partnerships and tools, including through LillyDirect, to expand access to our medicines. New initiatives may expose us to new risks or exacerbate existing risks. See, for examples, Item 1A, "Risk Factors—Risks Related to Our Operations—Failure, inadequacy, breach of, or unauthorized access to, our IT systems or those of our third-party service providers, unauthorized access to our confidential information, or violations of data protection laws, could each result in material harm to our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7" w:name="page8"/>
    <w:bookmarkEnd w:id="7"/>
    <w:p>
      <w:pPr>
        <w:ind w:right="440"/>
        <w:spacing w:after="0" w:line="287" w:lineRule="auto"/>
        <w:rPr>
          <w:sz w:val="20"/>
          <w:szCs w:val="20"/>
          <w:color w:val="auto"/>
        </w:rPr>
      </w:pPr>
      <w:r>
        <w:rPr>
          <w:rFonts w:ascii="Arial" w:cs="Arial" w:eastAsia="Arial" w:hAnsi="Arial"/>
          <w:sz w:val="18"/>
          <w:szCs w:val="18"/>
          <w:color w:val="auto"/>
        </w:rPr>
        <w:t>business and reputation" and "Risk Factors—Risks Related to Litigation and Government Regulation—Regulatory compliance problems could be damaging to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products we market and their distribution vary from country to country. Outside the U.S., we promote our products to healthcare providers through sales representatives and other channels. We maintain our own sales organizations in many countries. We also often utilize third parties for commercial sales operations, some of which are engaged through distribution and promotion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Certain of our products are marketed in arrangements with other pharmaceutical companies. For example, we and Boehringer Ingelheim have a global agreement to develop and commercialize a portfolio of diabetes products, including Jardiance, Glyxambi, Synjardy, and Trijardy XR.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Important competitive factors include effectiveness, safety, availability, ease of use, and overall patient experience; formulary placement, price, payer coverage and reimbursement rates, and demonstrated cost-effectiveness; regulatory approvals; marketing effectiveness; and research and development of new products, processes, modalities, indications, and uses. Early market entry and rapid patient access can also be important to achieve product acceptance and success. Barriers to reimbursable patient access in some cases include default payer coverage restrictions for our medicines. For example, in the U.S., anti-obesity medicines are often excluded from commercial benefit plans. Self-insured employers must opt in for coverage of these medicines. Medicare and payers in various international markets also have not covered anti-obesity medicines for weight loss. Our anti-obesity medicines comprise a significant portion of our revenues, and barriers to reimbursable patient access may impact our sales volumes, business, and results of operations.</w:t>
      </w:r>
    </w:p>
    <w:p>
      <w:pPr>
        <w:spacing w:after="0" w:line="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Most new products or uses that we introduce must compete with other branded, biosimilar, or generic products already on the market or that are later developed. When new products, uses, or delivery systems with therapeutic, convenience, or cost advantages are introduced, including by developing new modalities, our existing products become subject to decreased sales volumes, progressive price reductions, or both.</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our long-term competitive success depends on discovering and developing or acquiring innovative, cost-effective products that provide improved outcomes for patients and deliver value to payers, and continuously improving the productivity of our operations in a highly competitive environment. There can be no assurance that our efforts will result in commercially successful products, and it is possible that our products or indications will be, or will become, uncompetitive from time to time. See also "—Competition—U.S. Private Sector Dynamics."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 Biosimilars, and Compounding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 and Biosimilars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Generic pharmaceuticals and biosimilars can pose major competitive challenges to our business. In most major jurisdictions,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than we do for our branded products in research and development and can price their products significantly lower than our branded products. Accordingly, when a branded non-biologic pharmaceutical loses its market exclusivity, it normally faces intense price competition from generic forms of the product, which can result in the loss of a significant portion of the branded product's revenue in a very short period of time. Moreover, governments in some countries leverage generic entrants to drive price concessions through the utilization of volume-based procurement bidding and other measures.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color w:val="auto"/>
        </w:rPr>
        <w:t>Further, public and private payers typically encourage the use of generics as alternatives to branded products. Laws in the U.S. generally allow, and in many cases require, pharmacists to substitute generics that have been rated under government procedures to be essentially equivalent to a branded product. Where substitution is mandatory, it must be made unless the prescribing physician expressly forbids it. In certain countries, intellectual property protection is weak, and we must compete with generic versions of our products at or relatively shortly after launch.</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competition for our biologics, which constitute a substantial portion of our products and pipeline, may be affected by the approval of follow-on biologics, also known as biosimilars. A biosimilar is a subsequent version of an approved innovator biologic that, due to its analytical and clinical similarity to the innovator biologic, may be approved based on an abbreviated data package that relies in part on the full testing required of the innovator biologic.</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 biologics, including the Biologics Price Competition and Innovation Act of 2009 (the BPCIA) in the U.S. A number of biosimilars have been licensed under the BPCIA, as well as in Europe and Japan. Regulatory interpretation of important aspects of the laws regulating biosimilars continues to evolve, and therefore the impact of these laws on our business remains subject to substantial uncertainty. For example, the extent to which a biosimilar, once approved, will be substituted for the innovator biologic in a way that is similar to traditional generic substitution for non-biologic products will depend on a number of regulatory and marketplace factors that are still developing.</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Biosimilars may present both competitive challenges and opportunities. While competitors have developed biosimilars that compete with our products, we have developed our own biosimilar and may develop others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recent periods, we have seen an increase in the production, marketing, and sale of counterfeit, misbranded, adulterated, and compounded incretins. These practices may impact patient safety, undermine regulatory drug approval processes, and present market risks. If inadequately regulated, these practices could materially impact our business and reputation, including by creating consumer confusion or misperceptions about the safety and efficacy of our genuine products, diversion of potential sales, and potential net price erosion for our products. See Item 1, "Business—Government Regulation of Our Operations and Products," for additional information on market risks related to counterfeit, misbranded, adulterated, and compounded medicines.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U.S. private sector, consolidation and integration among healthcare organizations significantly affects the competitive marketplace for pharmaceuticals. Health plans, managed care organizations, pharmacy benefit managers, wholesalers, pharmacies, and other supply chain entities have consolidated into fewer, larger entities, thus enhancing their market power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discounts or rebates in exchange for formulary inclusion and placement.</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Formulary placement can lead to reduced usage of a product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face increased pressure in negotiations, and compete fiercely for formulary placement, not only on the basis of product attributes such as efficacy, safety profile, or patient ease of use, but also by providing rebates or other concessions. As payers and pharmaceutical companies continue to negotiate formulary placement and rebates, value-based agreements, where rebates may be based on achievement (or not) of specified outcomes, are another increasingly prevalent tool. Rebates and net cost are increasingly important factors in formulary decisions, particularly in treatment areas in which the payer has taken the position that multiple branded products are therapeutically comparable. These pressures have negatively affected, and could continue to negatively affect, our consolidated results of operations. In addition to formulary placement, changes in insurance designs continue to drive greater consumer cost-sharing through high deductible plans, higher co-insurance, or co-pays, including increased utilization of co-pay accumulator adjustment or maximization programs. Supply chain entities have also increasingly imposed utilization management tools to favor the use of generic products or otherwise limit access to our products. For additional information on pricing and reimbursement for our pharmaceutical products, see "—Regulations and Private Payer Actions Affecting Pharmaceutical Pricing, Reimbursement, and Access—U.S."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and uses. Loss of effective patent protection for pharmaceuticals, especially for non-biologic products, typically results in the loss of effective market exclusivity for the product, often leading to a severe and rapid decline in revenues for the product. We own, have applied for, or are licensed under, a large number of patents in the U.S. and many other countries relating to products, product uses, formulations, and manufacturing processes. In addition, for some products we have effective intellectual property protection in the form of data protection under pharmaceutical regulatory laws.</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patent protection generally anticipated to be of most relevance to pharmaceuticals is provided by patents claiming the active ingredient (the compound patent) for our products, particularly those in major markets such as the U.S., major European countries, and Japan. In general, patents in each relevant country last for a period of 20 years from their filing date, which is often years prior to the launch of a commercial product. Further patent term adjustments and restorations may extend the original patent term:</w:t>
      </w:r>
    </w:p>
    <w:p>
      <w:pPr>
        <w:spacing w:after="0" w:line="68" w:lineRule="exact"/>
        <w:rPr>
          <w:sz w:val="20"/>
          <w:szCs w:val="20"/>
          <w:color w:val="auto"/>
        </w:rPr>
      </w:pPr>
    </w:p>
    <w:p>
      <w:pPr>
        <w:ind w:left="660" w:right="3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adjustment is available to all U.S. patent applicants to provide relief in the event that a patent grant is delayed during examination by the U.S. Patent and Trademark Office (USPTO).</w:t>
      </w:r>
    </w:p>
    <w:p>
      <w:pPr>
        <w:spacing w:after="0" w:line="44" w:lineRule="exact"/>
        <w:rPr>
          <w:rFonts w:ascii="Arial" w:cs="Arial" w:eastAsia="Arial" w:hAnsi="Arial"/>
          <w:sz w:val="18"/>
          <w:szCs w:val="18"/>
          <w:color w:val="auto"/>
        </w:rPr>
      </w:pPr>
    </w:p>
    <w:p>
      <w:pPr>
        <w:ind w:left="660" w:right="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 restoration for a single patent for a pharmaceutical product is provided to U.S. patent holders to compensate for a portion of the time invested in clinical trials and the U.S. Food and Drug Administration (FDA) review process. There is a five-year cap on any restoration, and no patent's expiration date may be extended beyond 14 years from initial FDA approval. Some countries outside the U.S. similarly offer forms of patent term restoration. For example, Supplementary Protection Certificates are available to extend the life of a European patent up to an additional five years (subject to a 15-year cap from European Medicines Agency (EMA) approval) and in Japan patent terms can be extended up to five years.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some cases, the innovator company may retain exclusivity despite approval of the generic, biosimilar, or other follow-on versions of a new medicine beyond the expiration of the compound patent through market dynamics and challenges, later-expiring patents on manufacturing processes, methods of use or formulations, or data protection that may be available under pharmaceutical regulatory laws. The primary forms of data protection are as follows:</w:t>
      </w:r>
    </w:p>
    <w:p>
      <w:pPr>
        <w:spacing w:after="0" w:line="68" w:lineRule="exact"/>
        <w:rPr>
          <w:sz w:val="20"/>
          <w:szCs w:val="20"/>
          <w:color w:val="auto"/>
        </w:rPr>
      </w:pPr>
    </w:p>
    <w:p>
      <w:pPr>
        <w:ind w:left="6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package protection generally prohibits regulatory approval of other manufacturers' applications for marketing approval if they rely on the innovator company's regulatory submission data for the drug. The base period is generally five years in the U.S. (12 years for new biologics under the BPCIA, subject to certain conditions), effectively 10 years in Europe, and eight years in Japan, which can be extended to 10 years with qualifying pediatric studies. The period begins on the date of product approval and runs concurrently with the patent term for any relevant patents. Legislative bodies in the European Union (EU) are discussing proposed reductions in data protection periods but it remains uncertain if, or when, these proposals might be adopted.</w:t>
      </w:r>
    </w:p>
    <w:p>
      <w:pPr>
        <w:spacing w:after="0" w:line="74"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populations within a specified time period. If granted, this "pediatric exclusivity" provides an additional six months of exclusivity, which is added to the term of data protection, orphan drug exclusivity and, for products other than biologics, pediatric exclusivity is also added to the term of any relevant and non-expired patents.</w:t>
      </w:r>
    </w:p>
    <w:p>
      <w:pPr>
        <w:spacing w:after="0" w:line="68"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specific use of a drug or biologic can receive "orphan" designation in the U.S. if it is intended to treat a disease or condition affecting fewer than 200,000 people in the U.S., or where it is not reasonably expected to recover development and marketing costs through U.S. sales. Orphan designation entitles a particular use of the drug to seven years of market exclusivity, which runs in parallel with any applicable patents.</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vary widely. International and U.S. free trade agreements like the Agreement on Trade-Related Aspects of Intellectual Property Rights (TRIPs Agreement) administered by the World Trade Organization provide global protection of certain intellectual property rights. But in a number of markets we are unable to patent our products or to enforce the patents that we receive for our products. Further, many developing countries, and some developed countries, do not provide effective data package protection even though it is specified in the TRIPs Agreement.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uses, and formulations to be important to our business. In addition to the patents and data protection identified below, we may hold patents on manufacturing processes, formulations, devices, or uses that provide protection beyond the estimated dates shown below. For approved products, estimated dates include, where applicable, pending or granted patent term extensions. Where granted, estimated dates for approved products also reflect pediatric or orphan drug exclusivity. The length of market exclusivity for our products can be difficult to predict with certainty because of the complex interaction between patent and regulatory forms of exclusivity and the inherent uncertainties regarding patent litigation. There can be no assurance that a particular product will maintain market exclusivity for the duration of the estimated expiry or that exclusivity will be limited to that time frame.</w:t>
      </w:r>
    </w:p>
    <w:p>
      <w:pPr>
        <w:spacing w:after="0" w:line="7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most relevant patent protection or data protection and associated expiry dates for our major or recently launched patent-protected marketed products are as follows: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Cardiometabolic Health</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Jardiance</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products</w:t>
            </w: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vMerge w:val="continue"/>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Mounjaro/Zepbound</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Trulicity</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36"/>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2"/>
        </w:trPr>
        <w:tc>
          <w:tcPr>
            <w:tcW w:w="2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80" w:type="dxa"/>
            <w:vAlign w:val="bottom"/>
          </w:tcPr>
          <w:p>
            <w:pPr>
              <w:ind w:left="1360"/>
              <w:spacing w:after="0"/>
              <w:rPr>
                <w:sz w:val="20"/>
                <w:szCs w:val="20"/>
                <w:color w:val="auto"/>
              </w:rPr>
            </w:pPr>
            <w:r>
              <w:rPr>
                <w:rFonts w:ascii="Arial" w:cs="Arial" w:eastAsia="Arial" w:hAnsi="Arial"/>
                <w:sz w:val="18"/>
                <w:szCs w:val="18"/>
                <w:color w:val="auto"/>
              </w:rPr>
              <w:t>11</w:t>
            </w: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Oncology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Cyramza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36"/>
        </w:trPr>
        <w:tc>
          <w:tcPr>
            <w:tcW w:w="2220" w:type="dxa"/>
            <w:vAlign w:val="bottom"/>
            <w:tcBorders>
              <w:left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Jaypirca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2040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Retevmo</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Verzenio</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Immunology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Ebglyss</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Olumiant</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Omvoh</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Taltz</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2031</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024" w:right="319" w:bottom="1121"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121"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Therapeutic Area</w:t>
            </w:r>
          </w:p>
        </w:tc>
        <w:tc>
          <w:tcPr>
            <w:tcW w:w="196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Product</w:t>
            </w:r>
          </w:p>
        </w:tc>
        <w:tc>
          <w:tcPr>
            <w:tcW w:w="258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8"/>
                <w:szCs w:val="18"/>
                <w:b w:val="1"/>
                <w:bCs w:val="1"/>
                <w:color w:val="auto"/>
              </w:rPr>
              <w:t>Protection</w:t>
            </w:r>
          </w:p>
        </w:tc>
        <w:tc>
          <w:tcPr>
            <w:tcW w:w="308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18"/>
                <w:szCs w:val="18"/>
                <w:b w:val="1"/>
                <w:bCs w:val="1"/>
                <w:color w:val="auto"/>
              </w:rPr>
              <w:t>Territory</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39"/>
        </w:trPr>
        <w:tc>
          <w:tcPr>
            <w:tcW w:w="2220" w:type="dxa"/>
            <w:vAlign w:val="bottom"/>
            <w:tcBorders>
              <w:left w:val="single" w:sz="8" w:color="auto"/>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580" w:type="dxa"/>
            <w:vAlign w:val="bottom"/>
            <w:tcBorders>
              <w:right w:val="single" w:sz="8" w:color="auto"/>
            </w:tcBorders>
            <w:vMerge w:val="continue"/>
          </w:tcPr>
          <w:p>
            <w:pPr>
              <w:spacing w:after="0"/>
              <w:rPr>
                <w:sz w:val="12"/>
                <w:szCs w:val="12"/>
                <w:color w:val="auto"/>
              </w:rPr>
            </w:pPr>
          </w:p>
        </w:tc>
        <w:tc>
          <w:tcPr>
            <w:tcW w:w="308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Expiry Date</w:t>
            </w:r>
          </w:p>
        </w:tc>
        <w:tc>
          <w:tcPr>
            <w:tcW w:w="0" w:type="dxa"/>
            <w:vAlign w:val="bottom"/>
          </w:tcPr>
          <w:p>
            <w:pPr>
              <w:spacing w:after="0"/>
              <w:rPr>
                <w:sz w:val="1"/>
                <w:szCs w:val="1"/>
                <w:color w:val="auto"/>
              </w:rPr>
            </w:pPr>
          </w:p>
        </w:tc>
      </w:tr>
      <w:tr>
        <w:trPr>
          <w:trHeight w:val="117"/>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Neuroscience products</w:t>
            </w: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Emgality</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2033</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2035</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Kisunla</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biologics 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2036</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Reyvow</w:t>
            </w: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 patent</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data protection</w:t>
            </w: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major European countries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2580" w:type="dxa"/>
            <w:vAlign w:val="bottom"/>
            <w:tcBorders>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Japan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2032</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Jardiance and the related combination product, Glyxambi.</w:t>
      </w:r>
    </w:p>
    <w:p>
      <w:pPr>
        <w:spacing w:after="0" w:line="11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following product candidates are the most relevant that are currently under regulatory review. Upon approval, we expect relevant compound patent and data protections to apply:</w:t>
      </w:r>
    </w:p>
    <w:p>
      <w:pPr>
        <w:spacing w:after="0" w:line="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Donanemab has been submitted for regulatory review in the EU for the treatment of early Alzheimer's disease.</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Imlunestrant has been submitted for regulatory review in the U.S., the EU, and Japan for the treatment of ER-positive HER2-negative metastatic breast cancer.</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that we consider in the aggregate to be important to our operations. Trademark protection varies throughout the world. Trademark protection typically extends beyond the patent and data protection for a product.</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rely in some circumstances on trade secrets and other unpatented know-how. We seek to protect our confidential information in part through confidentiality agreements with our employees, corporate partners, collaborators, and vendors. These agreements may be breached, and we cannot be certain that we have adequate remedies. If our trade secrets or confidential information become known or are independently discovered by competitors, or if we enter into disputes over ownership of inventions, our business and results of operations could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1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Some of our products are subject to significant license and collaboration agreements. For information on our license and collaboration agreements, see Item 8, "Financial Statements and Supplementary Data—Note 4: Collaborations and Other Arrangements."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when the generic manufacturer files an Abbreviated New Drug Application (ANDA).</w:t>
      </w:r>
    </w:p>
    <w:p>
      <w:pPr>
        <w:spacing w:after="0" w:line="6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the patent(s) listed in the innovator's New Drug Application (NDA) are invalid, unenforceable or not infringed.</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Generic manufacturers use this process extensively to challenge patents on innovative pharmaceuticals. In addition, generic companies have shown willingness to launch "at risk," i.e., after receiving ANDA approval but before final resolution of their patent challenge.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4" w:right="319" w:bottom="1440" w:gutter="0" w:footer="0" w:header="0"/>
        </w:sectPr>
      </w:pPr>
    </w:p>
    <w:bookmarkStart w:id="13" w:name="page14"/>
    <w:bookmarkEnd w:id="13"/>
    <w:p>
      <w:pPr>
        <w:ind w:right="20"/>
        <w:spacing w:after="0" w:line="262"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prospective biosimilar competitor to challenge the validity of an innovator's patents as early as four years after initial marketing approval of the innovator biologic.</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by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and challenged patents are not accorded the presumption of validity. Generic drug companies and even some investment firms have engaged in the IPR process in attempts to invalidate our patents. In recent years, U.S. government officials have proposed the exercise of "march-in-rights" and various other measures that, if enacted, could have a negative impact on our patent rights. We cannot predict the likelihood that these or similar proposals will be adopted, but, if adopted, our business and results of operations could be adversely affected.</w:t>
      </w:r>
    </w:p>
    <w:p>
      <w:pPr>
        <w:spacing w:after="0" w:line="7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more information on patent challenges and litigation involving our intellectual property rights, see Item 1A, "Risk Factors—Risks Related to Our Business—Our long-term success depends on intellectual property protection; if our intellectual property rights are invalidated, circumvented, or weakened, our business will be adversely affected" and Item 8, "Financial Statements and Supplementary Data—Note 16: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of Our Operations and Products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operations are regulated extensively by numerous government agencies. 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pricing and reimbursement for our products, the environment, occupational health and safety, data privacy and security, and other matters. Evolving regulatory priorities have intensified governmental scrutiny of our operations and those of other healthcare intermediaries, including with respect to current Good Manufacturing Practices (cGMP), quality assurance, and similar regulations. Regulatory oversight of the pharmaceutical industry entails judgment and interpretation, which can result in varying interpretations of laws and regulations by health and other authorities. In addition, changing political leadership, including the new presidential administration and regulatory authorities in the U.S., may propose, enact, or pursue policy, regulatory, and enforcement changes that create additional uncertainty for our business. Compliance with the laws and regulations affecting the manufacture and sale of our current products and the discovery, development, and introduction of new products and uses has and will continue to require substantial effort, expense, and capital investment.</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(FDCA) and the Public Health Service Act (PHS), the FDA exercises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 and devices. The FDA holds broad discretion under the FDCA to interpret the conditions and evidence necessary for timely approval of and ability to market our drugs and devices as well as those of our competitors. The centrality to our business of the FDA and corresponding international regulators exposes us to risks of oversight, administrative, and enforcement changes, delays, inconsistencies, lapses, or failures, including as may derive from insufficient staffing levels, expertise, or resources.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ind w:right="20"/>
        <w:spacing w:after="0" w:line="254" w:lineRule="auto"/>
        <w:rPr>
          <w:sz w:val="20"/>
          <w:szCs w:val="20"/>
          <w:color w:val="auto"/>
        </w:rPr>
      </w:pPr>
      <w:r>
        <w:rPr>
          <w:rFonts w:ascii="Arial" w:cs="Arial" w:eastAsia="Arial" w:hAnsi="Arial"/>
          <w:sz w:val="18"/>
          <w:szCs w:val="18"/>
          <w:color w:val="auto"/>
        </w:rPr>
        <w:t>Following approval, our products must meet, and must continue to comply with, regulation by various government and regulatory agencies in connection with labeling, import, export, sale, storage, recordkeeping, advertising, promotion, and safety reporting. We conduct extensive post-marketing surveillance of the safety of the products we sell and comply with notification requirements related to safety and efficacy, product supply, and other aspects of our products and operations. The FDA may withdraw approval of a product if compliance with regulatory requirements and standards is not maintained or if problems occur after a product reaches the market, including as may be identified through market surveillance or third-party studies involving our products. The FDA may also mandate labeling changes, post-marketing studies, or risk management programs to products at any point in a product's life cycle based on new safety information or as part of a labeling change to a particular class of products. In addition, the FDA strictly regulates marketing, labeling, advertising, and promotion of products to prescribers and patients. Pharmaceutical products may be promoted only for approved indications and in accordance with the provisions of the approved label. The FDA and other agencies enforce the laws and regulations prohibiting the promotion of off-label uses.</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Outside the U.S., our products and operations are subject to similar regulatory requirements, notably by the EMA in Europe, the Ministry of Health, Labor and Welfare in Japan, and the National Medical Products Administration in China. Specific regulatory requirements vary from country to country. Regulatory and compliance requirements, as well as approval processes outside the U.S., differ from those in the U.S. and may involve additional costs, uncertainties, and risks.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and other regulatory agencies outside the U.S. extensively regulate all aspects of manufacturing quality for pharmaceuticals under their cGMP regulations. Regulators assess compliance with these regulations by inspecting the equipment, facilities, laboratories, and processes used in the manufacturing and testing of our products prior to marketing approval with periodic reinspection thereafter; this may include inspection of our third-party business partners. We make substantial investments of capital and operating expenses to implement comprehensive, company-wide quality systems and controls in our manufacturing, product development, and process development operations in an effort to maintain sustained compliance with cGMP and other regulations. Nonetheless, manufacturing quality and other aspects of pharmaceutical regulatory compliance is heavily scrutinized and results in government investigations, regulatory and legal actions, product recalls and seizures, fines and penalties, interruption of production leading to product shortages, import bans or denials of import certifications, delays or denials in new product approvals, line extensions or supplemental approvals of current products pending resolution of any issues, any of which have and could in the future adversely affect our business and reputation. Certain of our products, devices and components are manufactured by third parties, and their failure to comply with these regulations has and could in the future adversely affect us, including through failure to supply product to us or delays in approvals of new products or indications. Any determination by the FDA or other regulatory authorities of manufacturing or other deficiencies could adversely affect our business and reputation. For more information on product regulation challenges, see Item 1A, "Risk Factors—Risks Related to Our Operations—Reliance on third-party relationships and outsourcing arrangements could adversely affect our business."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rely on the FDA and other regulatory bodies for appropriate oversight, administration, and enforcement of our industry, anyone marketing or purporting to market medicines, and public health. We have seen an increase in the production, marketing, and sale of counterfeit, misbranded, adulterated, and compounded incretins. In the U.S., these activities include mass compounding based on asserted reliance on regulatory exceptions that permit limited compounding in certain circumstances by certain entities. In contrast to the strict regulation of our facilities and manufacturing practices, these actors have experienced low barriers to entry and a lack of regulatory oversight and enforcement. These practices may impact patient safety and undermine regulatory drug approval processes. If inadequately regulated, these practices could materially impact our business and reputation, including by creating consumer confusion or misperceptions about the safety and efficacy of our genuine products, diversion of potential sales and potential net price erosion for our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antitrust laws, and state laws governing kickbacks, false claims, unfair trade practices, and consumer protection. These laws are administered by, among others, the Department of Justice, the Office of Inspector General of the U.S. Department of Health and Human Services (HHS), the Federal Trade Commission, the Office of Personnel Management, and state attorneys general. State, federal, and foreign governments, agencies, and other regulatory bodies are active in their oversight, enforcement activities, and coordination with</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ind w:right="60"/>
        <w:spacing w:after="0" w:line="287" w:lineRule="auto"/>
        <w:rPr>
          <w:sz w:val="20"/>
          <w:szCs w:val="20"/>
          <w:color w:val="auto"/>
        </w:rPr>
      </w:pPr>
      <w:r>
        <w:rPr>
          <w:rFonts w:ascii="Arial" w:cs="Arial" w:eastAsia="Arial" w:hAnsi="Arial"/>
          <w:sz w:val="18"/>
          <w:szCs w:val="18"/>
          <w:color w:val="auto"/>
        </w:rPr>
        <w:t>respect to pharmaceutical companies, which has resulted in intensified scrutiny, litigation costs, corporate criminal sanctions, and substantial civil settlements in the pharmaceutical industry.</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our business is heavily regulated and therefore involves significant interaction with officials outside the U.S. Additionally, in many countries outside the U.S., healthcare providers who prescribe pharmaceuticals may be employed by the government and purchasers of pharmaceuticals are government entities; therefore, our interactions with these prescribers and purchasers are subject to regulation under the FCPA.</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Various other jurisdictions in which we operate and supply our products have laws and regulations aimed at preventing and penalizing corrupt and anticompetitive behavior.</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criminal sanctions, and administrative remedies, including exclusion from participation in government healthcare programs. It is possible that an adverse outcome in future actions could have a material adverse impact on our consolidated results of operations, liquidity, and financial position in any given period.</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45" w:lineRule="exact"/>
        <w:rPr>
          <w:sz w:val="20"/>
          <w:szCs w:val="20"/>
          <w:color w:val="auto"/>
        </w:rPr>
      </w:pPr>
    </w:p>
    <w:p>
      <w:pPr>
        <w:ind w:right="2480"/>
        <w:spacing w:after="0" w:line="375" w:lineRule="auto"/>
        <w:rPr>
          <w:sz w:val="20"/>
          <w:szCs w:val="20"/>
          <w:color w:val="auto"/>
        </w:rPr>
      </w:pPr>
      <w:r>
        <w:rPr>
          <w:rFonts w:ascii="Arial" w:cs="Arial" w:eastAsia="Arial" w:hAnsi="Arial"/>
          <w:sz w:val="18"/>
          <w:szCs w:val="18"/>
          <w:b w:val="1"/>
          <w:bCs w:val="1"/>
          <w:color w:val="auto"/>
        </w:rPr>
        <w:t>Regulations and Private Payer Actions Affecting Pharmaceutical Pricing, Reimbursement, and Access U.S.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continues to be considerable public and government scrutiny of pharmaceutical pricing. In addition, U.S. government actions to reduce federal spending on entitlement programs, including Medicare and Medicaid, affects payment for our products or services associated with the provision of our products.</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2022, the U.S. government enacted the Inflation Reduction Act of 2022 (IRA). Among other measures, the IRA requires the HHS to effectively set prices for certain single-source drugs and biologics reimbursed under Medicare Part B and Part D. Generally, these government prices apply beginning at nine years (for medicines approved under a New Drug Application) or thirteen years (for medicines approved under a Biologics License Application) following FDA approval or licensure for the molecule and are set at a price that generally represents a significant discount from existing prices to wholesalers and direct purchasers. While the law specifies a maximum price that HHS can set, it does not set a minimum price. The Medicare price HHS determines may impact the product’s best price determination under the Medicaid Drug Rebate Program and the 340B Drug Pricing Program, potentially leading to a negative impact on both Medicaid and 340B prices. In August 2023, HHS selected Jardiance, which is part of our collaboration with Boehringer Ingelheim, as one of the first ten medicines subject to government-set prices effective in 2026. In August 2024, HHS announced the government-set prices for these medicines with Jardiance subject to a 66% discount compared to the 2023 U.S. calendar year list price for a 30-day supply and discounts for the other nine medicines ranging from approximately 38% to 79% below list price. Given our product portfolio, we expect additional significant products will be selected in future years, which would have the effect of accelerating revenue erosion prior to expiry of exclusivities. The effect of reducing prices and reimbursement for certain of our products could significantly impact our business and consolidated results of operations.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on January 1, 2025 the Part D benefit redesign replaced the Part D Coverage Gap Discount Program (CGDP) with the new Manufacturer Discount Program (MDP). The 70 percent CGDP discount was replaced by a 10 percent MDP discount for all Medicare Part D beneficiaries that have met their deductible and incurred out of pocket drug costs below a $2,000 threshold and a 20 percent MDP discount for beneficiaries that have incurred out of pocket drug costs above the $ 2,000 threshold under the new Part D benefit redesign. Manufacturers that fail to comply with the IRA may be subject to various penalties, including civil monetary penalties, which could be significant.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t>The IRA has, and will continue to,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7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Heightened governmental scrutiny over the manner in which drug manufacturers price their marketed products and the practices of pharmacy benefit managers and other supply chain entities has also resulted in several U.S. Congressional inquiries and proposed and enacted federal and state legislation designed to, among other things, bring more transparency to product pricing, review the relationship between pricing and manufacturer patient programs, require advance notice of list price increases, establish upper payment limits or other restrictions by drug affordability review boards, allow the importation of drugs from other countries, address pharmacy benefit manager practices, and reform government program reimbursement methodologies for drug products. Pharmacy benefit manager reform could be pursued or enacted in 2025. Restrictive or unfavorable pricing, coverage, or reimbursement determinations for our medicines or product candidates by governments, regulatory agencies, courts, or private payers could also adversely impact our business and financial results. Additional policies, regulations, legislation, or enforcement, including those proposed or pursued by the U.S. Congress, the U.S. executive branch and regulatory authorities worldwide, could intensify these efforts and adversely impact our business and consolidated results of operations.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U.S., we are required to provide rebates to the federal government and state governments on their purchases of our pharmaceuticals under various federal and state healthcare programs, including state Medicaid and Medicaid Managed Care programs (a minimum of 23.1 percent plus adjustments for price increases above the consumer price index over time) and discounts to private entities who treat patients in certain types of healthcare facilities intended to serve low-income and uninsured patients (known as 340B covered entities). Additionally, an annual fee is imposed on pharmaceutical manufacturers and importers that sell branded prescription drugs to specified government programs, such as Medicare Part B and Part D, and Medicaid.</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to the 340B program or the Medicaid programs could have a material adverse impact on our business. For example, continued expansion of the 340B program and growth of entities claiming entitlement to 340B pricing, including in ways that may be inconsistent with the statutory scheme, impacts our revenue on an increasing percentage of sales. Changes to the calculation of rebates under the Medicaid program could also increase our Medicaid rebate obligations and decrease the prices charged to 340B covered entities.</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implemented a Contract Pharmacy Limited Distribution System applicable to sales through the 340B program, which generally limits distribution of 340B-priced product to: (i) covered entities and their child sites; or (ii) if a covered entity lacks an in-house outpatient pharmacy, a single contract pharmacy designated by a covered entity to establish a 340B bill to/ship to arrangement. Claims-level data is ordinarily required for any contract pharmacy. Our Contract Pharmacy Limited Distribution System contains certain exceptions that permit broader contract pharmacy usage, including for "penny priced" insulin products, provided that the covered entity passes through all discounts to eligible patients at the point of sale and meets other conditions. We believe our Contract Pharmacy Limited Distribution System complies with the 340B statute, but it remains subject to ongoing inquiries and litigation that could have a material impact on our business, as discussed in Item 8, "Financial Statements and Supplementary Data—Note 16: Contingencies." Other aspects of the 340B program, including the manner in which manufacturers can offer 340B pricing, and proper definitions of "patient" and "child site" under the 340B statute, are also subject to ongoing litigation by Lilly and/or other parties, the resolution of which could impact the growth and scope of the 340B program. For example, on November 14, 2024, Lilly sued the Health Resources and Services Administration (HRSA) over its purported rejection of Lilly’s plan to implement a cash replenishment model to make 340B pricing available to 340B covered entities, in place of the current product replenishment model.</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Rebates are also negotiated in the private sector. We pay rebates to private payers that provide prescription drug benefits to seniors covered by Medicare and to private payers that provide prescription drug benefits to their customers. These rebates are affected by the introduction of competitive products and generics in the same class.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discussion of risks related to how we price our products, see Item 1A, "Risk Factors—Risks Related to Our Business—We are party to litigation and investigations related to our products, how we price or commercialize our products, and other aspects of our business, which could adversely affect our business, and we are self-insured for such matters."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Outside the U.S.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conduct and publish comparative effectiveness and cost/benefit analyses on medicines, the impact of which can influence pharmaceutical access and pricing.</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discounts and rebates, therapeutic reference pricing (to other, often generic, pharmaceutical choices), health technology assessments, regulatory hurdles, restrictions on physician prescription levels, and mandatory generic substitution. In these markets, healthcare services and the determination of pricing and reimbursement for pharmaceutical products are impacted by government control at the point of care or as the primary payer.</w:t>
      </w:r>
    </w:p>
    <w:p>
      <w:pPr>
        <w:spacing w:after="0" w:line="7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European Commission published its draft General Pharmaceutical Legislation in April 2023. While certain elements in the European Commission draft could expedite regulatory timelines, we anticipate that the overall market and patient impact would be negative if the legislation is approved as drafted. Implementation timing is unknown at this time. Health care cost containment remains a focus in the EU, among other jurisdictions. Most countries in the EU attempt to contain drug costs by engaging in some form of reference pricing in which authorities examine pre-determined internal or external markets for published prices of a product or national class of drugs. Member states also have the power to restrict the range of pharmaceutical products for which their national health insurance systems provide reimbursement and may condition access on agreement of a reimbursement price or completion of cost-effectiveness or other gating studies.</w:t>
      </w:r>
    </w:p>
    <w:p>
      <w:pPr>
        <w:spacing w:after="0" w:line="5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Japan, our products can be subject to government-mandated annual price reductions. The government may also order re-pricings for specific products or classes of products if certain criteria are met, including exceeding product use thresholds.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China has introduced and implemented reforms to accelerate access to innovative products and reduce costs. To drive patient access, we seek inclusion of many of our branded products on China's National Reimbursement Drug List, a list of drugs fully or partially reimbursed by China’s national basic health insurance. In exchange for broad access, these products are generally subject to negotiation of significant price concessions. China also utilizes a value-based procurement program process for products that have generic substitutes. As a general matter, products that we choose to tender through this process are similarly subject to price reductions. Our business in China may be significantly impacted by the country's evolving pharmaceutical regulatory environment, including access, intellectual property protection, regulatory enforcement and compliance, and trade policies.</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Governments in many emerging markets are also focused on limiting health care costs and have enacted price controls and measures impacting intellectual property. Reforms in our product markets, including those that may stem from periods of uneven economic growth or downturns or uncertainty, or as a result of high inflation, emergence, or escalation of, and responses to, international tension and conflicts, or government budgeting priorities, may continue to result in added pressure on pricing, access, and reimbursement for our products.</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cannot predict the extent to which our business may be affected by current or potential future legislative, regulatory, or payer developments. However, in general we expect to see continued focus on regulating pricing, resulting in additional state, federal, and international legislative and regulatory developments that could have further negative effects on pricing, access, and reimbursement for our products as well as overall operations.</w:t>
      </w:r>
    </w:p>
    <w:p>
      <w:pPr>
        <w:spacing w:after="0" w:line="6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See Item 7, "Management's Discussion and Analysis—Executive Overview—Other Matters—Trends Affecting Pharmaceutical Pricing, Reimbursement, and Access and Certain Other Regulatory Developments," for additional information regarding recent legislative, administrative, and other pricing initiatives and their impact on our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commitment to research and development dates back nearly 150 years. We invest heavily in research and development because we believe it is critical to our long-term competitiveness. At the end of 2024, we employed approximately 11,000 people in pharmaceutical research and development activities, including a substantial number of physicians, scientists holding graduate or postgraduate degrees, and highly skilled technical personnel.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20"/>
        <w:spacing w:after="0" w:line="262" w:lineRule="auto"/>
        <w:rPr>
          <w:sz w:val="20"/>
          <w:szCs w:val="20"/>
          <w:color w:val="auto"/>
        </w:rPr>
      </w:pPr>
      <w:r>
        <w:rPr>
          <w:rFonts w:ascii="Arial" w:cs="Arial" w:eastAsia="Arial" w:hAnsi="Arial"/>
          <w:sz w:val="18"/>
          <w:szCs w:val="18"/>
          <w:color w:val="auto"/>
        </w:rPr>
        <w:t>Our internal pharmaceutical research focuses primarily on the areas of immunology, metabolism (including diabetes, obesity and cardiovascular), neuroscience, and oncology. In addition to discovering and developing new medicines, we seek to expand the value of existing products through new uses, formulations, and therapeutic approaches, including complementary delivery devices or diagnostic tools, that can provide additional value to patients.</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organizations worldwide to conduct clinical trials to establish the safety and effectiveness of our medicines. We also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In addition, novel modalities can present more challenging or lengthy development timelines. The following describes in more detail the research and development process for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7" w:lineRule="exact"/>
        <w:rPr>
          <w:rFonts w:ascii="Arial" w:cs="Arial" w:eastAsia="Arial" w:hAnsi="Arial"/>
          <w:sz w:val="18"/>
          <w:szCs w:val="18"/>
          <w:b w:val="1"/>
          <w:bCs w:val="1"/>
          <w:color w:val="auto"/>
        </w:rPr>
      </w:pPr>
    </w:p>
    <w:p>
      <w:pPr>
        <w:ind w:left="4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considered to play a role in disease. Targets are often unproven and only candidates that are expected to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71" w:lineRule="exact"/>
        <w:rPr>
          <w:rFonts w:ascii="Arial" w:cs="Arial" w:eastAsia="Arial" w:hAnsi="Arial"/>
          <w:sz w:val="18"/>
          <w:szCs w:val="18"/>
          <w:b w:val="1"/>
          <w:bCs w:val="1"/>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7" w:lineRule="exact"/>
        <w:rPr>
          <w:rFonts w:ascii="Arial" w:cs="Arial" w:eastAsia="Arial" w:hAnsi="Arial"/>
          <w:sz w:val="18"/>
          <w:szCs w:val="18"/>
          <w:b w:val="1"/>
          <w:bCs w:val="1"/>
          <w:color w:val="auto"/>
        </w:rPr>
      </w:pPr>
    </w:p>
    <w:p>
      <w:pPr>
        <w:ind w:left="42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1) are conducted in small groups of subjects to assess safety and evaluate the potential dosing range. Subsequently, larger populations of patients are studied (Phase 2) to identify signs of efficacy while continuing to assess safety. In parallel, scientists work to identify safe, effective, and economical manufacturing processes. Long-term animal studies may continue to test for potential safety issues. Of the candidates that enter the early development phase, only a fraction move to the late development phase. The early development phase varies but can take several years to complete.</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17"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3) have met initial safety requirements and shown initial evidence of efficacy in earlier studies. As a result, these candidates generally have a higher likelihood of success and trials include larger patient populations to demonstrate safety and efficacy of the candidate in treating the disease. These studies are designed to demonstrate the benefit and risk of the potential new medicine and may be compared to competitive therapies, placebo, or both. Phase 3 studies are generally conducted globally, are costly, and are designed to support regulatory filings for marketing approval. The duration of Phase 3 testing varies by disease and may take years.</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7" w:lineRule="exact"/>
        <w:rPr>
          <w:rFonts w:ascii="Arial" w:cs="Arial" w:eastAsia="Arial" w:hAnsi="Arial"/>
          <w:sz w:val="18"/>
          <w:szCs w:val="18"/>
          <w:b w:val="1"/>
          <w:bCs w:val="1"/>
          <w:color w:val="auto"/>
        </w:rPr>
      </w:pPr>
    </w:p>
    <w:p>
      <w:pPr>
        <w:ind w:lef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Once a potential new medicine is submitted to regulatory agencies, the time to final marketing approval can vary from several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See Item 7, "Management's Discussion and Analysis—Executive Overview—Clinical Development Pipeline," for more details about our current product pipeline.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Raw Materials and Product Supply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certain materials are procured from a single source. We seek to maintain sufficient inventory to provide reliability of production and manage unforeseen supply variability. However, various developments have led, and may in the future lead, to interruption or shortages in supply until we establish new sources, implement alternative processes, bring new manufacturing facilities online, or pause or discontinue product sales in one or more markets.</w:t>
      </w:r>
    </w:p>
    <w:p>
      <w:pPr>
        <w:spacing w:after="0" w:line="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active ingredient manufacturing and finishing operations, including formulation, filling, assembling, delivery device manufacturing, and packaging, take place at sites in the U.S., including Puerto Rico, Ireland and a number of other sites throughout the world. To support anticipated demand for our current and prospective products, we have undertaken significant manufacturing expansion initiatives. Investments to increase our manufacturing capacity include sites in North Carolina, Wisconsin, Ireland, Germany, and two in Indiana. We also utilize and are expanding arrangements with third parties for certain active ingredient manufacturing, filling, finishing operations, and for device or component production and assembly. Among these third parties, we, and the pharmaceutical industry generally, depend on China-based suppliers for portions of our supply chain. U.S. federal lawmakers are considering legislation that is intended to limit supply chain reliance on China, including the proposed BIOSECURE Act. In addition, historically, geopolitical tensions between the U.S. and China have led to the imposition of tariffs, sanctions, and certain other business restrictions between the U.S. and China. In February 2025, the U.S. presidential administration imposed new tariffs on China and China responded with tariffs on select U.S. goods. If new legislation or additional trade restrictions are adopted or geopolitical tensions were to increase and disrupt our operations in, or related to, China, such disruption could significantly impact our business and results of operations. See Item 1A, "Risk Factors—Risks Related to Our Operations— Reliance on third-party relationships and outsourcing arrangements could adversely affect our business" and "Risk Factors—Risks Related to Doing Business Internationally—Uneven economic growth or downturns or international trade and other global disruptions, geopolitical tensions, or disputes could adversely affect our business and operating results," for additional information.</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product demand while maintaining flexibility to reallocate manufacturing capacity to improve efficiency and respond to changes in supply and demand. To maintain supply of our products, we use a variety of techniques, including comprehensive quality systems, inventory management, and back-up sites.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is a very lengthy process requiring significant capital expenditures, process modifications, and regulatory approvals. Accordingly, developments such as unanticipated demand, unplanned plant shutdowns, manufacturing or quality assurance difficulties at one of our facilities or contracted facilities, failure or refusal of a supplier or contract manufacturer to supply contracted quantities in a timely manner or at all, increases in demand on a supplier, or difficulties in predicting or variability in demand for and supply of our products and those of our competitors have led, and may in the future lead, to interruption or higher costs in the supply of certain products, product shortages, or pauses or discontinuations of product sales in one or more markets. For example, in periods of 2024, demand for our incretin medicines exceeded production. Supply and channel dynamics in some cases also contribute to variability in financial results for our products from period to period. Further, cost and wage inflation, availability of adequate capacity in global transportation, supply chain complexities, including consolidation therein, labor market issues, international tension and conflicts, uneven economic growth or downturns, an increase in overall demand in our industry for certain products and materials, and public health outbreaks, epidemics, or pandemics, have caused, and in the future may cause, delays or disruptions in and/or increased costs related to distribution of our medicines, the construction or acquisition of manufacturing capacity, procurement activity, and supplier or contract manufacturer arrangements, as well as other general business impacts. For more information on the additional risks we face in connection with any difficulties, disruptions, and shortages in the manufacturing, distribution, and sale of our products, see Item 1A, "Risk Factors—Risks Related to Our Business—Manufacturing, quality, or supply chain difficulties, disruptions, or shortages could lead to product supply problems."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Quality Assurance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requires a total commitment to quality in all parts of our operations, including research and development, purchasing, facilities planning, manufacturing, distribution, and dissemination of information about our medicines.</w:t>
      </w:r>
    </w:p>
    <w:p>
      <w:pPr>
        <w:spacing w:after="0" w:line="6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Additional testing for stability over the life of the product is also performed.</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operations and at third-party suppliers.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5, 2025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15"/>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74"/>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Chair,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28 years of service with Lilly.</w:t>
            </w: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People Officer (since 2022). Previously, Mr. Dozier held various leadership roles with Lilly, including</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Eric Dozier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chief commercial officer for Loxo@Lilly, and vice president, global ethics and compliance officer. Mr. Dozier has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27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five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Manufacturing Operations (since 2021). Previously, Mr. Hernandez held various leadership</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Edgardo Hernandez</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roles with Lilly, including senior vice president, global parenteral drug product, delivery devices and regional manufacturing, and vice</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Fegersheim operations. Mr. Hernandez has 20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Cardiometabolic Health and President, Lilly USA (since 2024). Mr. Jonsson has held</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58</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various leadership roles with Lilly, including, most recently, as Executive Vice President and President, Lilly Immunology and Lilly</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USA, and Chief Customer Officer. Previously, he served as senior vice president and president, Lilly Bio-Medicines and president and</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manager, Lilly Japan. Mr. Jonsson has 34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Financial Officer (since 2024). Most recently, Mr. Montarce served as the president and general</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manager of Lilly’s Spain, Portugal, and Greece hub, a position he assumed in 2024. Previously Mr. Montarce was group vice</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Lucas Montarce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controller and chief financial officer of Lilly Research Laboratories, vice president, finance and chief financial officer, Lilly</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International, and vice president, finance and global chief financial officer, Elanco Health. Mr. Montarce has 23 years of service with</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Chief Information and Digital Officer (since 2021). Prior to joining Lilly, Mr. Rau was senior director of</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Diogo Rau</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information systems and technology for retail and online stores of Apple Inc. from 2011 to 2021. Prior to his tenure at Apple, he served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a partner at McKinsey &amp; Company. Mr. Rau has four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Global Quality (since 2024). Prior to joining Lilly, Ms. Seymour was the chief quality officer for Bristol Myers</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Seymour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Squibb from 2022 to 2024. Before joining Bristol Myers Squibb, Ms. Seymour was also the chief quality officer at Biogen. Ms.</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Seymour has one year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Chief Scientific Officer and President, Lilly Research Laboratories and Lilly Immunology (since 2024). Prior</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Daniel Skovronsky, M.D.,</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 assuming his current role, Dr. Skovronsky served as Executive Vice President, Chief Scientific and Medical Officer, and President,</w:t>
            </w:r>
          </w:p>
        </w:tc>
        <w:tc>
          <w:tcPr>
            <w:tcW w:w="0" w:type="dxa"/>
            <w:vAlign w:val="bottom"/>
          </w:tcPr>
          <w:p>
            <w:pPr>
              <w:spacing w:after="0"/>
              <w:rPr>
                <w:sz w:val="1"/>
                <w:szCs w:val="1"/>
                <w:color w:val="auto"/>
              </w:rPr>
            </w:pPr>
          </w:p>
        </w:tc>
      </w:tr>
      <w:tr>
        <w:trPr>
          <w:trHeight w:val="11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Lilly Research Laboratories since 2018. Dr. Skovronsky has held other leadership roles with Lilly, including as senior vice president,</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clinical and product development and vice president, diabetes research. Dr. Skovronsky has 14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Oncology (since 2021). Previously, Mr. Van Naarden served as chief executive officer-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Loxo Oncology at Lilly, and chief operating officer-Loxo Oncology at Lilly. Mr. Van Naarden joined Lilly in 2019 when the company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Jacob Van Naarden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acquired Loxo Oncology, Inc., where he was the chief operating officer. In previous roles, Mr. Van Naarden worked in various</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biotechnology investing, operating, and advisory capacities, including positions with HealthCor Management, Aisling Capital, and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Goldman Sachs. Mr. Van Naarden has six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Neuroscience (since 2021). Previously, Ms. White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White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Oncology, vice president of Portfolio Management, Chorus, and Next Generation</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Ms. White has 29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and President, Lilly International (since 2021). Previously, Mr. Yuffa held various leadership roles with Lilly,</w:t>
            </w:r>
          </w:p>
        </w:tc>
        <w:tc>
          <w:tcPr>
            <w:tcW w:w="0" w:type="dxa"/>
            <w:vAlign w:val="bottom"/>
          </w:tcPr>
          <w:p>
            <w:pPr>
              <w:spacing w:after="0"/>
              <w:rPr>
                <w:sz w:val="1"/>
                <w:szCs w:val="1"/>
                <w:color w:val="auto"/>
              </w:rPr>
            </w:pPr>
          </w:p>
        </w:tc>
      </w:tr>
      <w:tr>
        <w:trPr>
          <w:trHeight w:val="175"/>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Bio-Medicines, vice president of U.S. Diabetes, general manager of Italy Hub, and</w:t>
            </w:r>
          </w:p>
        </w:tc>
        <w:tc>
          <w:tcPr>
            <w:tcW w:w="0" w:type="dxa"/>
            <w:vAlign w:val="bottom"/>
          </w:tcPr>
          <w:p>
            <w:pPr>
              <w:spacing w:after="0"/>
              <w:rPr>
                <w:sz w:val="1"/>
                <w:szCs w:val="1"/>
                <w:color w:val="auto"/>
              </w:rPr>
            </w:pP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vice president, global ethics and compliance officer. Mr. Yuffa has 28 years of service with Lilly.</w:t>
            </w:r>
          </w:p>
        </w:tc>
        <w:tc>
          <w:tcPr>
            <w:tcW w:w="0" w:type="dxa"/>
            <w:vAlign w:val="bottom"/>
          </w:tcPr>
          <w:p>
            <w:pPr>
              <w:spacing w:after="0"/>
              <w:rPr>
                <w:sz w:val="1"/>
                <w:szCs w:val="1"/>
                <w:color w:val="auto"/>
              </w:rPr>
            </w:pPr>
          </w:p>
        </w:tc>
      </w:tr>
      <w:tr>
        <w:trPr>
          <w:trHeight w:val="22"/>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diverse and highly skilled and ethical workforce. Our long-term success depends on our ability to continually discover or acquire, develop, and commercialize innovative medicines. We believe that fostering a positive culture that values the contributions of our talented colleagues helps drive our success.</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19" w:right="479" w:bottom="1440" w:gutter="0" w:footer="0" w:header="0"/>
        </w:sectPr>
      </w:pPr>
    </w:p>
    <w:bookmarkStart w:id="22" w:name="page23"/>
    <w:bookmarkEnd w:id="22"/>
    <w:p>
      <w:pPr>
        <w:ind w:right="340"/>
        <w:spacing w:after="0" w:line="262" w:lineRule="auto"/>
        <w:rPr>
          <w:sz w:val="20"/>
          <w:szCs w:val="20"/>
          <w:color w:val="auto"/>
        </w:rPr>
      </w:pPr>
      <w:r>
        <w:rPr>
          <w:rFonts w:ascii="Arial" w:cs="Arial" w:eastAsia="Arial" w:hAnsi="Arial"/>
          <w:sz w:val="18"/>
          <w:szCs w:val="18"/>
          <w:color w:val="auto"/>
        </w:rPr>
        <w:t>We are committed to creating a safe, supportive, ethical, and rewarding work environment through intentional focus on our human capital management process, fairness and nondiscrimination in our employment practices, robust training and development opportunities, and competitive pay and benefits. We believe our dedication to promoting inclusion within our company makes Lilly a stronger and more innovative company. At all times, we seek to hire the most qualified candidate for each open position.</w:t>
      </w:r>
    </w:p>
    <w:p>
      <w:pPr>
        <w:spacing w:after="0" w:line="6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regularly conduct confidential employee surveys to seek feedback from our workforce on a variety of topics. These results are reviewed and analyzed by our leaders to identify opportunities to adjust our practices and benefits to improve our employees' experience. As a result of our efforts, we believe that we have a high performing, cohesive workforce and that our employee relations are good.</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At the end of 2024, we employed approximately 47,000 people, including approximately 25,000 employees outside the U.S. Our employees include approximately 11,000 people engaged in research and development activities.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Oversight</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Because dedication to human capital management is also a core component of our corporate governance, our board of directors regularly engages with management to monitor human capital management initiatives and progress as part of the overarching framework that guides how we attract, retain, engage, and develop a workforce that aligns with our values and mission.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Our Website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5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Paper copies of the company's Annual Report on Form 10-K and Quarterly Reports on Form 10-Q that are filed with the SEC are available without charge upon written request to:</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 LILLY AND COMPANY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46285</w:t>
      </w:r>
    </w:p>
    <w:p>
      <w:pPr>
        <w:spacing w:after="0" w:line="9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 xml:space="preserve">In addition, the "Governance" section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We routinely post important information for investors in the “Investors” section of our website, </w:t>
      </w:r>
      <w:r>
        <w:rPr>
          <w:rFonts w:ascii="Arial" w:cs="Arial" w:eastAsia="Arial" w:hAnsi="Arial"/>
          <w:sz w:val="18"/>
          <w:szCs w:val="18"/>
          <w:b w:val="1"/>
          <w:bCs w:val="1"/>
          <w:color w:val="auto"/>
        </w:rPr>
        <w:t>www.lilly.com</w:t>
      </w:r>
      <w:r>
        <w:rPr>
          <w:rFonts w:ascii="Arial" w:cs="Arial" w:eastAsia="Arial" w:hAnsi="Arial"/>
          <w:sz w:val="18"/>
          <w:szCs w:val="18"/>
          <w:color w:val="auto"/>
        </w:rPr>
        <w:t>.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Annual Report on Form 10-K.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results of operations, reputation, and prospects could be materially adversely affected by any of these risks. Additional risks and uncertainties not presently known to us or that we currently believe to be immaterial could also adversely affect our business, financial condition, liquidity, cash flows, results of operations, reputation, and prospects.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7" w:lineRule="exact"/>
        <w:rPr>
          <w:sz w:val="20"/>
          <w:szCs w:val="20"/>
          <w:color w:val="auto"/>
        </w:rPr>
      </w:pPr>
    </w:p>
    <w:p>
      <w:pPr>
        <w:jc w:val="both"/>
        <w:ind w:left="340" w:right="20" w:hanging="332"/>
        <w:spacing w:after="0" w:line="273"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49" w:lineRule="exact"/>
        <w:rPr>
          <w:rFonts w:ascii="Arial" w:cs="Arial" w:eastAsia="Arial" w:hAnsi="Arial"/>
          <w:sz w:val="18"/>
          <w:szCs w:val="18"/>
          <w:b w:val="1"/>
          <w:bCs w:val="1"/>
          <w:color w:val="auto"/>
        </w:rPr>
      </w:pPr>
    </w:p>
    <w:p>
      <w:pPr>
        <w:ind w:left="340" w:right="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There are many difficulties and uncertainties inherent in pharmaceutical research and development, the introduction of new products and indications, business development activities to enhance or refine our product pipeline, and commercialization of our products.</w:t>
      </w:r>
    </w:p>
    <w:p>
      <w:pPr>
        <w:spacing w:after="0" w:line="44" w:lineRule="exact"/>
        <w:rPr>
          <w:rFonts w:ascii="Arial" w:cs="Arial" w:eastAsia="Arial" w:hAnsi="Arial"/>
          <w:sz w:val="18"/>
          <w:szCs w:val="18"/>
          <w:b w:val="1"/>
          <w:bCs w:val="1"/>
          <w:color w:val="auto"/>
        </w:rPr>
      </w:pPr>
    </w:p>
    <w:p>
      <w:pPr>
        <w:ind w:left="340" w:right="1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There is a high rate of failure inherent in drug discovery and development. To bring a product from the discovery phase to market takes considerable time and entails significant cost. Failure can occur at any point in the process, including in later stages after substantial investment and following meaningful cost for manufacturing capabilities and inventory to prepare for launch. As a result, a significant portion of funds invested in research and development programs will not generate direct financial returns. New product candidates that appear promising in development or prior to being acquired may fail to reach the market or may have only limited commercial success because of efficacy or safety concerns, inability to obtain or maintain necessary regulatory approvals or payer reimbursement or coverage, failure to obtain placement on guidelines or recommendations published by third-party organizations that are commensurate with clinical data, the application of pricing controls, limited scope of approved uses, label changes, changes in the relevant treatment standards or the availability of newer, better, or more cost-effective competitive products, difficulty or excessive costs to manufacture, insufficient infrastructure to support detection, diagnostic or other requisites for treatment, ineffectiveness in connecting with healthcare professionals, including digitally through virtual engagements, or infringement of the patents or intellectual property rights of others. We may also fail to allocate research and development resources efficiently, fail to pursue or invest sufficiently in product candidates or indications that may have been successful, or fail to optimally balance trial design, conduct, and speed to accomplish desired outcomes.</w:t>
      </w:r>
    </w:p>
    <w:p>
      <w:pPr>
        <w:spacing w:after="0" w:line="67"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Regulatory agencies establish high hurdles for the efficacy and safety of new products and indications. Delay, uncertainty, unpredictability, and inconsistency in drug approval processes across markets and agencies can result in delays in product launches, lost market opportunities, impairment of inventories, and other negative impacts. In addition, it can be very difficult to predict revenue growth rates of, or variability in demand for, new or future products and indications, which in some cases leads to difficulty meeting product demand or, on the other hand, lower volume growth, excess inventory and related financial charges.</w:t>
      </w:r>
    </w:p>
    <w:p>
      <w:pPr>
        <w:spacing w:after="0" w:line="71" w:lineRule="exact"/>
        <w:rPr>
          <w:rFonts w:ascii="Arial" w:cs="Arial" w:eastAsia="Arial" w:hAnsi="Arial"/>
          <w:sz w:val="18"/>
          <w:szCs w:val="18"/>
          <w:b w:val="1"/>
          <w:bCs w:val="1"/>
          <w:color w:val="auto"/>
        </w:rPr>
      </w:pPr>
    </w:p>
    <w:p>
      <w:pPr>
        <w:ind w:left="340" w:right="10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We cannot state with certainty when or whether our products and indications now under development will be approved or launched; whether, if initially granted, such approval will be maintained; whether we will be able to develop, license, or otherwise acquire additional product candidates, indications, or products; or whether our products and indications, once launched, will be commercially successful.</w:t>
      </w:r>
    </w:p>
    <w:p>
      <w:pPr>
        <w:spacing w:after="0" w:line="44" w:lineRule="exact"/>
        <w:rPr>
          <w:rFonts w:ascii="Arial" w:cs="Arial" w:eastAsia="Arial" w:hAnsi="Arial"/>
          <w:sz w:val="18"/>
          <w:szCs w:val="18"/>
          <w:b w:val="1"/>
          <w:bCs w:val="1"/>
          <w:color w:val="auto"/>
        </w:rPr>
      </w:pPr>
    </w:p>
    <w:p>
      <w:pPr>
        <w:ind w:left="34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Through internal innovation and business development we must maintain a flow of successful products and indications or line extensions sufficient both to cover our substantial research and development costs and investments and to replace revenues that are lost as profitable products become subject to pricing controls, lose intellectual property exclusivity, or are displaced by competing products or therapies. Failure to timely replenish our product portfolio and pipeline would have a material adverse effect on our business, results of operations, cash flows, and financial position. Our dependence on, or focus in, one or more key products or product classes exacerbates this risk. In addition, the growth of our business and revenue base increases the risk that products developed or acquired by us may not provide adequate value to sustain further long-term growth.</w:t>
      </w:r>
    </w:p>
    <w:p>
      <w:pPr>
        <w:spacing w:after="0" w:line="74" w:lineRule="exact"/>
        <w:rPr>
          <w:rFonts w:ascii="Arial" w:cs="Arial" w:eastAsia="Arial" w:hAnsi="Arial"/>
          <w:sz w:val="18"/>
          <w:szCs w:val="18"/>
          <w:b w:val="1"/>
          <w:bCs w:val="1"/>
          <w:color w:val="auto"/>
        </w:rPr>
      </w:pPr>
    </w:p>
    <w:p>
      <w:pPr>
        <w:ind w:left="340" w:right="10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engage in various forms of business development activities to enhance or refine our product pipeline, including licensing arrangements, co-development agreements, co-promotion arrangements, distribution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4" w:name="page25"/>
    <w:bookmarkEnd w:id="24"/>
    <w:p>
      <w:pPr>
        <w:ind w:left="332"/>
        <w:spacing w:after="0" w:line="253" w:lineRule="auto"/>
        <w:rPr>
          <w:sz w:val="20"/>
          <w:szCs w:val="20"/>
          <w:color w:val="auto"/>
        </w:rPr>
      </w:pPr>
      <w:r>
        <w:rPr>
          <w:rFonts w:ascii="Arial" w:cs="Arial" w:eastAsia="Arial" w:hAnsi="Arial"/>
          <w:sz w:val="18"/>
          <w:szCs w:val="18"/>
          <w:color w:val="auto"/>
        </w:rPr>
        <w:t>and promotion agreements, joint ventures, acquisitions, equity investments, and divestitures. There are substantial risks associated with identifying successful business development targets and consummating related transactions. Continued regulatory focus on business combinations in our industry, including by the Federal Trade Commission and competition authorities in Europe and other jurisdictions, and heightened competition for attractive targets has and could continue to delay, jeopardize, or increase the costs of our business development activities. In addition, failures or difficulties in integrating or retaining new personnel or the operations of the businesses, products, or assets we acquire (including related technology, commercial operations, compliance programs, information security, manufacturing, distribution, and general business operations and procedures) may affect our ability to realize the expected benefits of business development transactions and may result in our incurrence of substantial asset impairment or restructuring charges. We also may fail to generate the expected revenue and pipeline enhancement from business development activities due to limited diligence opportunities, unsuccessful clinical trials, issues related to the quality, integrity, or broad applicability of data, regulatory impediments, and manufacturing or commercialization challenges. Additionally, business development activity focused on new modalities may entail additional risks and costs. Business development transactions may not be completed in a timely manner (if at all), may not result in successful development outcomes or successful commercialization of any product, may give rise to legal proceedings or regulatory scrutiny, and may result in charges that negatively impact our financial position or results of operations in any given period.</w:t>
      </w:r>
    </w:p>
    <w:p>
      <w:pPr>
        <w:spacing w:after="0" w:line="77" w:lineRule="exact"/>
        <w:rPr>
          <w:sz w:val="20"/>
          <w:szCs w:val="20"/>
          <w:color w:val="auto"/>
        </w:rPr>
      </w:pPr>
    </w:p>
    <w:p>
      <w:pPr>
        <w:ind w:left="332" w:right="280"/>
        <w:spacing w:after="0" w:line="268" w:lineRule="auto"/>
        <w:rPr>
          <w:sz w:val="20"/>
          <w:szCs w:val="20"/>
          <w:color w:val="auto"/>
        </w:rPr>
      </w:pPr>
      <w:r>
        <w:rPr>
          <w:rFonts w:ascii="Arial" w:cs="Arial" w:eastAsia="Arial" w:hAnsi="Arial"/>
          <w:sz w:val="18"/>
          <w:szCs w:val="18"/>
          <w:color w:val="auto"/>
        </w:rPr>
        <w:t>See Item 1, "Business—Research and Development—Phases of New Drug Development," Item 7, "Management's Discussion and Analysis—Executive Overview—Clinical Development Pipeline" and Item 8, "Financial Statements and Supplementary Data—Note 6: Inventories," for more details about our current product pipeline.</w:t>
      </w:r>
    </w:p>
    <w:p>
      <w:pPr>
        <w:spacing w:after="0" w:line="63" w:lineRule="exact"/>
        <w:rPr>
          <w:sz w:val="20"/>
          <w:szCs w:val="20"/>
          <w:color w:val="auto"/>
        </w:rPr>
      </w:pPr>
    </w:p>
    <w:p>
      <w:pPr>
        <w:ind w:left="332" w:right="220" w:hanging="332"/>
        <w:spacing w:after="0" w:line="273" w:lineRule="auto"/>
        <w:tabs>
          <w:tab w:leader="none" w:pos="32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We and our products face intense competition, including from multinational pharmaceutical companies, biotechnology companies, and lower-cost generic and biosimilar manufacturers, and such competition could have a material adverse effect on our business.</w:t>
      </w:r>
    </w:p>
    <w:p>
      <w:pPr>
        <w:spacing w:after="0" w:line="49" w:lineRule="exact"/>
        <w:rPr>
          <w:rFonts w:ascii="Arial" w:cs="Arial" w:eastAsia="Arial" w:hAnsi="Arial"/>
          <w:sz w:val="18"/>
          <w:szCs w:val="18"/>
          <w:color w:val="auto"/>
        </w:rPr>
      </w:pPr>
    </w:p>
    <w:p>
      <w:pPr>
        <w:ind w:left="332"/>
        <w:spacing w:after="0" w:line="254"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and, in many cases, our products compete against the leading products of one or more of our competitors. To compete successfully, we must continue to deliver innovative, cost-effective products through internal innovation or business development that meet important medical needs, provide improved outcomes and a positive consumer experience for patients, and deliver value to payers. Our product revenues and prospects are adversely affected by patient access issues, the introduction by competitors of branded products that are first to market, have better marketplace access, have greater brand recognition or are perceived as superior by the marketplace, by generic or biosimilar versions of our branded products, and by generic or biosimilar versions of other products in the same therapeutic class as our branded products. Our revenues are also adversely affected by treatment innovations, including new or superior modalities, that eliminate or minimize the need for treatment with our existing products, and our existing products could be subject to decreased sales volumes, realized price reductions, or both. In some cases, the introduction of our own innovative products results in these adverse impacts for our preexisting products.</w:t>
      </w:r>
    </w:p>
    <w:p>
      <w:pPr>
        <w:spacing w:after="0" w:line="74" w:lineRule="exact"/>
        <w:rPr>
          <w:rFonts w:ascii="Arial" w:cs="Arial" w:eastAsia="Arial" w:hAnsi="Arial"/>
          <w:sz w:val="18"/>
          <w:szCs w:val="18"/>
          <w:color w:val="auto"/>
        </w:rPr>
      </w:pPr>
    </w:p>
    <w:p>
      <w:pPr>
        <w:ind w:left="332" w:right="40"/>
        <w:spacing w:after="0" w:line="256" w:lineRule="auto"/>
        <w:rPr>
          <w:rFonts w:ascii="Arial" w:cs="Arial" w:eastAsia="Arial" w:hAnsi="Arial"/>
          <w:sz w:val="18"/>
          <w:szCs w:val="18"/>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health authority guidelines and legislative actions could make it less burdensome for competitor products to enter the market and further incentivize uptake of biosimilars. Given the importance to us of marketed biologic products and those in our clinical-stage pipeline, such regulation could have a material adverse effect on our business. See Item 1, "Business—Competition" and "Business—Research and Development," for more details. Alternatively, actual or perceived failure of robust generic and biosimilar competition could propel governments to adopt additional policies and legislation that threaten our intellectual property, pricing of our products, or other aspects of our business.</w:t>
      </w:r>
    </w:p>
    <w:p>
      <w:pPr>
        <w:spacing w:after="0" w:line="74" w:lineRule="exact"/>
        <w:rPr>
          <w:rFonts w:ascii="Arial" w:cs="Arial" w:eastAsia="Arial" w:hAnsi="Arial"/>
          <w:sz w:val="18"/>
          <w:szCs w:val="18"/>
          <w:color w:val="auto"/>
        </w:rPr>
      </w:pPr>
    </w:p>
    <w:p>
      <w:pPr>
        <w:ind w:left="332" w:right="160"/>
        <w:spacing w:after="0" w:line="257" w:lineRule="auto"/>
        <w:rPr>
          <w:rFonts w:ascii="Arial" w:cs="Arial" w:eastAsia="Arial" w:hAnsi="Arial"/>
          <w:sz w:val="18"/>
          <w:szCs w:val="18"/>
          <w:color w:val="auto"/>
        </w:rPr>
      </w:pPr>
      <w:r>
        <w:rPr>
          <w:rFonts w:ascii="Arial" w:cs="Arial" w:eastAsia="Arial" w:hAnsi="Arial"/>
          <w:sz w:val="18"/>
          <w:szCs w:val="18"/>
          <w:color w:val="auto"/>
        </w:rPr>
        <w:t>Our success depends on a market that is observant of intellectual property rights and regulatory requirements. Developments that undermine that landscape can significantly impact our business and reputation. For example, we have seen an increase in the production, marketing, and sale of counterfeit, misbranded, adulterated, and compounded incretins that could materially impact us. Our actions intended to stop or prevent illegal sales of such medicines may be costly or ineffective. See Item 1, "Business—Government Regulation of Our Operations and Products," for additional information on market risks related to counterfeit, misbranded, adulterated, and compounded medicines. If inadequately regulated, e-</w:t>
      </w: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25" w:name="page26"/>
    <w:bookmarkEnd w:id="25"/>
    <w:p>
      <w:pPr>
        <w:ind w:left="332" w:right="240"/>
        <w:spacing w:after="0" w:line="268" w:lineRule="auto"/>
        <w:rPr>
          <w:sz w:val="20"/>
          <w:szCs w:val="20"/>
          <w:color w:val="auto"/>
        </w:rPr>
      </w:pPr>
      <w:r>
        <w:rPr>
          <w:rFonts w:ascii="Arial" w:cs="Arial" w:eastAsia="Arial" w:hAnsi="Arial"/>
          <w:sz w:val="18"/>
          <w:szCs w:val="18"/>
          <w:color w:val="auto"/>
        </w:rPr>
        <w:t>commerce may increase the prevalence of dangerous counterfeit or diverted products and scams, potentially exposing patients to significant risks. Our reputation and business could suffer harm as a result of counterfeit or diverted drugs sold under our brand name, which may also impact our business and financial results.</w:t>
      </w:r>
    </w:p>
    <w:p>
      <w:pPr>
        <w:spacing w:after="0" w:line="63" w:lineRule="exact"/>
        <w:rPr>
          <w:sz w:val="20"/>
          <w:szCs w:val="20"/>
          <w:color w:val="auto"/>
        </w:rPr>
      </w:pPr>
    </w:p>
    <w:p>
      <w:pPr>
        <w:ind w:left="332" w:right="20"/>
        <w:spacing w:after="0" w:line="255" w:lineRule="auto"/>
        <w:rPr>
          <w:sz w:val="20"/>
          <w:szCs w:val="20"/>
          <w:color w:val="auto"/>
        </w:rPr>
      </w:pPr>
      <w:r>
        <w:rPr>
          <w:rFonts w:ascii="Arial" w:cs="Arial" w:eastAsia="Arial" w:hAnsi="Arial"/>
          <w:sz w:val="18"/>
          <w:szCs w:val="18"/>
          <w:color w:val="auto"/>
        </w:rPr>
        <w:t>In addition, we rely on our ability to attract, engage, and retain highly qualified and skilled scientific, technical, management, and other personnel in order to compete effectively. To continue to commercialize our products, and advance the research, development, and commercialization of additional modalities, indications, and product candidates, we have expanded, and will likely need to further expand, our workforce, both in and outside the U.S. We continue to face intense competition for qualified individuals from numerous multinational pharmaceutical companies, biotechnology companies, academic and other research institutions, as well as employers near our manufacturing and other facilities, which has and may continue to increase our labor costs. Our failure to compete effectively for talent could negatively affect sales of our current and any future approved products and indications, and could result in material financial, legal, commercial, or reputational harm to our business.</w:t>
      </w:r>
    </w:p>
    <w:p>
      <w:pPr>
        <w:spacing w:after="0" w:line="77" w:lineRule="exact"/>
        <w:rPr>
          <w:sz w:val="20"/>
          <w:szCs w:val="20"/>
          <w:color w:val="auto"/>
        </w:rPr>
      </w:pPr>
    </w:p>
    <w:p>
      <w:pPr>
        <w:ind w:left="332" w:right="160" w:hanging="332"/>
        <w:spacing w:after="0" w:line="273" w:lineRule="auto"/>
        <w:tabs>
          <w:tab w:leader="none" w:pos="32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Our business is subject to increasing government price controls and other public and private restrictions on pricing, reimbursement, and access for our drugs, which could have a material adverse effect on our results of operations, reputation or business.</w:t>
      </w:r>
    </w:p>
    <w:p>
      <w:pPr>
        <w:spacing w:after="0" w:line="49" w:lineRule="exact"/>
        <w:rPr>
          <w:rFonts w:ascii="Arial" w:cs="Arial" w:eastAsia="Arial" w:hAnsi="Arial"/>
          <w:sz w:val="18"/>
          <w:szCs w:val="18"/>
          <w:b w:val="1"/>
          <w:bCs w:val="1"/>
          <w:color w:val="auto"/>
        </w:rPr>
      </w:pPr>
    </w:p>
    <w:p>
      <w:pPr>
        <w:ind w:left="33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Public and private payers continue to take aggressive steps to control their expenditures for pharmaceuticals by placing restrictions on pricing and reimbursement for, and patient access to, our medicines. These pressures have negatively affected, and we expect will continue to negatively affect, our consolidated results of operations. Governments and private payers worldwide have intensified their scrutiny of, and actions intended to address, pricing, reimbursement, and access to pharmaceutical products and are demanding greater commercial and clinical value from pharmaceutical companies in the form of strong product differentiation and demonstrated value. We continue to experience scrutiny on the pricing of current and potential diabetes, obesity, and Alzheimer's disease products due to payer concern over projected growth in these markets and, for certain of these drugs, the anticipated duration of treatment. We have also observed scrutiny of pricing and access disparities across jurisdictions.</w:t>
      </w:r>
    </w:p>
    <w:p>
      <w:pPr>
        <w:spacing w:after="0" w:line="76" w:lineRule="exact"/>
        <w:rPr>
          <w:rFonts w:ascii="Arial" w:cs="Arial" w:eastAsia="Arial" w:hAnsi="Arial"/>
          <w:sz w:val="18"/>
          <w:szCs w:val="18"/>
          <w:b w:val="1"/>
          <w:bCs w:val="1"/>
          <w:color w:val="auto"/>
        </w:rPr>
      </w:pPr>
    </w:p>
    <w:p>
      <w:pPr>
        <w:ind w:left="3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Additional policies, regulations, legislation, or enforcement, including because of the regulatory priorities of the U.S. executive branch and regulatory authorities worldwide, could adversely impact our business and consolidated results of operations. For example, in August 2023, HHS selected Jardiance, which is part of our collaboration with Boehringer Ingelheim, as one of the first ten medicines subject to government-set prices in Medicare effective in 2026. In August 2024, HHS announced the government-set prices for these first ten medicines with Jardiance subject to a 66% discount compared to the 2023 U.S. calendar year list price for a 30-day supply and discounts for the other nine medicines ranging from approximately 38% to 79% below list price. Given our product portfolio, we expect additional products will be selected in future years, which would have the effect of accelerating revenue erosion. The effect of reducing prices and reimbursement for certain of our products could significantly impact our business and consolidated results of operations. Within the U.S., state level transparency initiatives, importation rules, reporting requirements, and mandated programs, including the establishment of drug affordability boards with the power to set upper payment limits on certain drugs in state-regulated plans, have also increased administrative costs, in some cases, compromised confidential business practices and otherwise detrimentally impacted our business. Certain states have also undertaken efforts to codify 340B contract pharmacies into statute or impose other state law mandates, which increase the cost of 340B programs. To date, several states have passed contract pharmacy legislation, which have been subject to various legal challenges. For more details, see Item 1, "Business—Regulations and Private Payer Actions Affecting Pharmaceutical Pricing, Reimbursement, and Access."</w:t>
      </w:r>
    </w:p>
    <w:p>
      <w:pPr>
        <w:spacing w:after="0" w:line="75" w:lineRule="exact"/>
        <w:rPr>
          <w:rFonts w:ascii="Arial" w:cs="Arial" w:eastAsia="Arial" w:hAnsi="Arial"/>
          <w:sz w:val="18"/>
          <w:szCs w:val="18"/>
          <w:b w:val="1"/>
          <w:bCs w:val="1"/>
          <w:color w:val="auto"/>
        </w:rPr>
      </w:pPr>
    </w:p>
    <w:p>
      <w:pPr>
        <w:ind w:left="33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Further, restrictive or unfavorable pricing, coverage, or reimbursement determinations for our medicines or product candidates by governments, regulatory agencies, courts, or private payers, including in relation to the implementation of the IRA, reference pricing, and compulsory licensing, may adversely impact our business and financial results. We continue to experience additional pricing pressures, rebates, clawbacks, and other changes in reimbursement policies and programs resulting from periods of uneven economic growth or downturns or uncertainty, and the emergence or escalation of, and responses to, international tension and conflicts.</w:t>
      </w:r>
    </w:p>
    <w:p>
      <w:pPr>
        <w:spacing w:after="0" w:line="200" w:lineRule="exact"/>
        <w:rPr>
          <w:sz w:val="20"/>
          <w:szCs w:val="20"/>
          <w:color w:val="auto"/>
        </w:rPr>
      </w:pP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26" w:name="page27"/>
    <w:bookmarkEnd w:id="26"/>
    <w:p>
      <w:pPr>
        <w:ind w:left="332" w:right="80"/>
        <w:spacing w:after="0" w:line="259" w:lineRule="auto"/>
        <w:rPr>
          <w:sz w:val="20"/>
          <w:szCs w:val="20"/>
          <w:color w:val="auto"/>
        </w:rPr>
      </w:pPr>
      <w:r>
        <w:rPr>
          <w:rFonts w:ascii="Arial" w:cs="Arial" w:eastAsia="Arial" w:hAnsi="Arial"/>
          <w:sz w:val="18"/>
          <w:szCs w:val="18"/>
          <w:color w:val="auto"/>
        </w:rPr>
        <w:t>In addition, government price reporting and payment regulations are complex, and require ongoing assessment of the methods by which we calculate and report pricing. Calculation methodologies are inherently subjective and are subject to review and challenge by government agencies. If agencies disagree with our calculations, or the methodologies and assumptions underlying them, we may need to restate previously reported data and could be subject to financial and legal liability, which may be significant. In addition, changes to calculation methodologies could adversely affect our financial position or consolidated results of operations in any given period.</w:t>
      </w:r>
    </w:p>
    <w:p>
      <w:pPr>
        <w:spacing w:after="0" w:line="71" w:lineRule="exact"/>
        <w:rPr>
          <w:sz w:val="20"/>
          <w:szCs w:val="20"/>
          <w:color w:val="auto"/>
        </w:rPr>
      </w:pPr>
    </w:p>
    <w:p>
      <w:pPr>
        <w:ind w:left="332" w:right="120"/>
        <w:spacing w:after="0" w:line="262" w:lineRule="auto"/>
        <w:rPr>
          <w:sz w:val="20"/>
          <w:szCs w:val="20"/>
          <w:color w:val="auto"/>
        </w:rPr>
      </w:pPr>
      <w:r>
        <w:rPr>
          <w:rFonts w:ascii="Arial" w:cs="Arial" w:eastAsia="Arial" w:hAnsi="Arial"/>
          <w:sz w:val="18"/>
          <w:szCs w:val="18"/>
          <w:color w:val="auto"/>
        </w:rPr>
        <w:t>For more details, see Item 1, "Business—Regulations and Private Payer Actions Affecting Pharmaceutical Pricing, Reimbursement, and Access," Item 7, "Management's Discussion and Analysis—Executive Overview—Other Matters—Trends Affecting Pharmaceutical Pricing, Reimbursement, and Access and Certain Other Regulatory Developments" and Item 8, "Financial Statements and Supplementary Data—Note 16: Contingencies."</w:t>
      </w:r>
    </w:p>
    <w:p>
      <w:pPr>
        <w:spacing w:after="0" w:line="68" w:lineRule="exact"/>
        <w:rPr>
          <w:sz w:val="20"/>
          <w:szCs w:val="20"/>
          <w:color w:val="auto"/>
        </w:rPr>
      </w:pPr>
    </w:p>
    <w:p>
      <w:pPr>
        <w:ind w:left="332" w:right="60" w:hanging="332"/>
        <w:spacing w:after="0" w:line="296"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safety or efficacy concerns, which could have a material adverse effect on our revenues, income, and reputation.</w:t>
      </w:r>
    </w:p>
    <w:p>
      <w:pPr>
        <w:spacing w:after="0" w:line="29" w:lineRule="exact"/>
        <w:rPr>
          <w:rFonts w:ascii="Arial" w:cs="Arial" w:eastAsia="Arial" w:hAnsi="Arial"/>
          <w:sz w:val="18"/>
          <w:szCs w:val="18"/>
          <w:color w:val="auto"/>
        </w:rPr>
      </w:pPr>
    </w:p>
    <w:p>
      <w:pPr>
        <w:ind w:left="332"/>
        <w:spacing w:after="0" w:line="253" w:lineRule="auto"/>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fixed duration and defined populations. After approval and launch, the products are used for longer periods of time by much larger numbers of patients, which may lead to identifying new safety or efficacy concerns. We and others (including regulatory agencies and private payers) collect extensive information on the efficacy and safety of our marketed products by continuously monitoring the use of our products in the marketplace. In addition, we or others (including our competitors, in some cases) may conduct post-marketing clinical studies on efficacy and safety of our marketed products. New safety or efficacy data may result in product label changes, or other measures that could reduce the product's market acceptance and result in declining sales. Relatedly, safety or efficacy concerns raised about a product in the same class, compounded or counterfeit versions of our products, or products with the same mechanism of action as one of our products or product candidates could be imputed and have an adverse impact on the availability or commercial viability of our products or approval of product candidates. Serious safety or efficacy issues that arise after product approval have, and could in the future, result in voluntary or mandatory product recalls or withdrawals from the market. Safety issues have, and could in the future, result in costly product liability claims. Any of these outcomes could result in material financial, legal, commercial, or reputational harm to our business.</w:t>
      </w:r>
    </w:p>
    <w:p>
      <w:pPr>
        <w:spacing w:after="0" w:line="81" w:lineRule="exact"/>
        <w:rPr>
          <w:rFonts w:ascii="Arial" w:cs="Arial" w:eastAsia="Arial" w:hAnsi="Arial"/>
          <w:sz w:val="18"/>
          <w:szCs w:val="18"/>
          <w:color w:val="auto"/>
        </w:rPr>
      </w:pPr>
    </w:p>
    <w:p>
      <w:pPr>
        <w:ind w:left="332" w:hanging="332"/>
        <w:spacing w:after="0" w:line="296" w:lineRule="auto"/>
        <w:tabs>
          <w:tab w:leader="none" w:pos="32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derive a significant percentage of our total revenue from relatively few products and sell our products through consolidated supply chain entities, which subjects us to various risks.</w:t>
      </w:r>
    </w:p>
    <w:p>
      <w:pPr>
        <w:spacing w:after="0" w:line="29" w:lineRule="exact"/>
        <w:rPr>
          <w:rFonts w:ascii="Arial" w:cs="Arial" w:eastAsia="Arial" w:hAnsi="Arial"/>
          <w:sz w:val="18"/>
          <w:szCs w:val="18"/>
          <w:b w:val="1"/>
          <w:bCs w:val="1"/>
          <w:color w:val="auto"/>
        </w:rPr>
      </w:pPr>
    </w:p>
    <w:p>
      <w:pPr>
        <w:ind w:left="33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derived direct product and/or collaboration and other revenues of more than $3 billion for each of Mounjaro, Verzenio, Trulicity, Zepbound, Jardiance (including Glyxambi, Synjardy, and Trijardy XR), and Taltz that collectively accounted for 75 percent of our total revenues in 2024. In particular, Mounjaro, Trulicity, and Zepbound accounted for 48 percent of our total revenues in 2024 and we expect cardiometabolic health products to represent a significant and growing portion of our business, revenues, and prospects. Loss of patent protection, changes in prescription rates, material product liability or pricing litigation, unexpected side effects or safety concerns, significant changes or fluctuations in demand, regulatory proceedings and investigations, negative publicity affecting doctor or patient confidence, pressure from existing or new competitive products, pipeline developments by us or our competitors, counterfeit and illegally compounded drugs, changes in labeling, pricing, and insufficient access, or reimbursement, or actual or perceived supply shortages or disruptions for these products or any of our other major products could materially impact our results of operations or result in significant and sudden declines or volatility in the trading price of our common stock and market capitalization.</w:t>
      </w:r>
    </w:p>
    <w:p>
      <w:pPr>
        <w:spacing w:after="0" w:line="77" w:lineRule="exact"/>
        <w:rPr>
          <w:rFonts w:ascii="Arial" w:cs="Arial" w:eastAsia="Arial" w:hAnsi="Arial"/>
          <w:sz w:val="18"/>
          <w:szCs w:val="18"/>
          <w:b w:val="1"/>
          <w:bCs w:val="1"/>
          <w:color w:val="auto"/>
        </w:rPr>
      </w:pPr>
    </w:p>
    <w:p>
      <w:pPr>
        <w:ind w:left="332" w:right="22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In addition, in the U.S., most of our products are distributed through a limited number of wholesalers. If one of these significant wholesalers encounters financial or other difficulties or otherwise is unable to support distribution of our products, it could cause disruption to our supply chain or we might be unable to timely collect the amounts that the wholesaler owes us, which could negatively impact our results of operations. See Item 1, "Business—Marketing and Distribution," for more details. Challenges to U.S. retail pharmacies due to pharmacy benefit manager reimbursement pressures, among other things, have resulted in financial difficulties for some pharmacies that may impact patient experiences, lead to determinations by certain pharmacies to not carry one or more of our significant products or threaten the viability of these pharmacies, which could negatively impact our business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sectPr>
      </w:pPr>
    </w:p>
    <w:bookmarkStart w:id="27" w:name="page28"/>
    <w:bookmarkEnd w:id="27"/>
    <w:p>
      <w:pPr>
        <w:ind w:left="340" w:right="20"/>
        <w:spacing w:after="0" w:line="256" w:lineRule="auto"/>
        <w:rPr>
          <w:sz w:val="20"/>
          <w:szCs w:val="20"/>
          <w:color w:val="auto"/>
        </w:rPr>
      </w:pPr>
      <w:r>
        <w:rPr>
          <w:rFonts w:ascii="Arial" w:cs="Arial" w:eastAsia="Arial" w:hAnsi="Arial"/>
          <w:sz w:val="18"/>
          <w:szCs w:val="18"/>
          <w:color w:val="auto"/>
        </w:rPr>
        <w:t>Moreover, the negotiating power of health plans, managed care organizations, pharmacy benefit managers, and other supply chain entities has increased due to consolidation, regulatory, and other market impacts, and they, along with governments, increasingly employ formularies to control costs and encourage utilization of certain drugs, including through the use of formulary inclusion, or favorable formulary placement. Such stakeholders have also increasingly imposed utilization management tools to limit access to our products. As these practices expand, including due to potential further consolidation of U.S. private third-party payers, we may face difficulty in obtaining or maintaining timely or adequate pricing or formulary placement of our products. We expect that consolidation of supply chain entities will continue to increase competitive and pricing pressures on pharmaceutical manufacturers.</w:t>
      </w:r>
    </w:p>
    <w:p>
      <w:pPr>
        <w:spacing w:after="0" w:line="75"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Pharmacy benefit manager practices have come under increased scrutiny from U.S. policymakers at the federal and state level who have proposed legislation intended to address concerns regarding the impact that these intermediaries have on drug pricing and patients’ out of pocket costs. If promulgated, such legislation could have resultant implications, costs, or consequences for our business and how we interact with these entities. For additional information on pricing and reimbursement for our pharmaceutical products, see Item 1, "Business—U.S. Private Sector Dynamics" and "Regulations and Private Payer Actions Affecting Pharmaceutical Pricing, Reimbursement, and Access—U.S."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ind w:left="340" w:hanging="332"/>
        <w:spacing w:after="0" w:line="273" w:lineRule="auto"/>
        <w:tabs>
          <w:tab w:leader="none" w:pos="33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the loss of effective intellectual property protection for certain of our products has resulted, and in the future is likely to continue to result, in rapid and severe declines in revenues for those products.</w:t>
      </w:r>
    </w:p>
    <w:p>
      <w:pPr>
        <w:spacing w:after="0" w:line="49" w:lineRule="exact"/>
        <w:rPr>
          <w:rFonts w:ascii="Arial" w:cs="Arial" w:eastAsia="Arial" w:hAnsi="Arial"/>
          <w:sz w:val="18"/>
          <w:szCs w:val="18"/>
          <w:b w:val="1"/>
          <w:bCs w:val="1"/>
          <w:color w:val="auto"/>
        </w:rPr>
      </w:pPr>
    </w:p>
    <w:p>
      <w:pPr>
        <w:jc w:val="both"/>
        <w:ind w:left="34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their lifecycles, our products lose significant patent protection and/or data protection in the U.S., as well as in key jurisdictions outside the U.S., after a specified period of time. For example, Trulicity will lose significant patent and remaining data protections in the next few years. Some products also lose patent protection as a result of successful third-party challenges. We have faced, and remain exposed to, generic competition following the expiration or loss of such intellectual property protection.</w:t>
      </w:r>
    </w:p>
    <w:p>
      <w:pPr>
        <w:spacing w:after="0" w:line="68" w:lineRule="exact"/>
        <w:rPr>
          <w:rFonts w:ascii="Arial" w:cs="Arial" w:eastAsia="Arial" w:hAnsi="Arial"/>
          <w:sz w:val="18"/>
          <w:szCs w:val="18"/>
          <w:b w:val="1"/>
          <w:bCs w:val="1"/>
          <w:color w:val="auto"/>
        </w:rPr>
      </w:pP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non-biologic products, loss of exclusivity typically results in the entry of one or more generic competitors, leading to a rapid and severe decline in revenues, especially in the U.S. Generic pharmaceutical companies have in some cases introduced a generic product before resolution of any related patent litigation. For biologics, loss of exclusivity may or may not result in the near-term entry of competitor versions (i.e., biosimilars) due to many factors, including development timelines, manufacturing challenges, and/or uncertainties regarding the regulatory approval pathways.</w:t>
      </w:r>
    </w:p>
    <w:p>
      <w:pPr>
        <w:spacing w:after="0" w:line="71" w:lineRule="exact"/>
        <w:rPr>
          <w:rFonts w:ascii="Arial" w:cs="Arial" w:eastAsia="Arial" w:hAnsi="Arial"/>
          <w:sz w:val="18"/>
          <w:szCs w:val="18"/>
          <w:b w:val="1"/>
          <w:bCs w:val="1"/>
          <w:color w:val="auto"/>
        </w:rPr>
      </w:pPr>
    </w:p>
    <w:p>
      <w:pPr>
        <w:ind w:left="34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There is no assurance that the patents we are seeking will be granted or that the patents we hold will be found valid and enforceable if challenged. Third parties may challenge, invalidate, or circumvent our patents and patent applications relating to our products, product candidates, and technologies. In addition, our patent positions might not protect us against competitors with similar products or technologies because competing products or technologies may not be deemed to infringe our patents. Moreover, patents relating to particular products, uses, formulations, or processes may not preclude other manufacturers from employing alternative processes or marketing alternative products or formulations that compete with our patented products. Patents held by third-parties have also contributed, and may in the future contribute, to a decision by us to not pursue all potential indications for a product candidate.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Analysis—Executive Overview—Other Matters—Patent Matters" and Item 1, "Business—Patents, Trademarks, and Other Intellectual Property Rights," for more details.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8" w:name="page29"/>
    <w:bookmarkEnd w:id="28"/>
    <w:p>
      <w:pPr>
        <w:ind w:left="332"/>
        <w:spacing w:after="0" w:line="257" w:lineRule="auto"/>
        <w:rPr>
          <w:sz w:val="20"/>
          <w:szCs w:val="20"/>
          <w:color w:val="auto"/>
        </w:rPr>
      </w:pPr>
      <w:r>
        <w:rPr>
          <w:rFonts w:ascii="Arial" w:cs="Arial" w:eastAsia="Arial" w:hAnsi="Arial"/>
          <w:sz w:val="18"/>
          <w:szCs w:val="18"/>
          <w:color w:val="auto"/>
        </w:rPr>
        <w:t>Patents relating to pharmaceutical products are often obtained early in the development process. Given the limited duration of patent and data protections, the speed with which we develop products, complete clinical testing, receive regulatory approvals, supply commercial products to the market, and obtain public and private payer access are important factors in recouping our development costs and generating financial returns, particularly given regulatory and market dynamics that have and may continue to put pressure on pricing, exclusivity periods, and competition. Delays in achieving these milestones in some cases may limit our ability to capitalize on the innovative medicines that we develop or acquire.</w:t>
      </w:r>
    </w:p>
    <w:p>
      <w:pPr>
        <w:spacing w:after="0" w:line="74" w:lineRule="exact"/>
        <w:rPr>
          <w:sz w:val="20"/>
          <w:szCs w:val="20"/>
          <w:color w:val="auto"/>
        </w:rPr>
      </w:pPr>
    </w:p>
    <w:p>
      <w:pPr>
        <w:ind w:left="332" w:right="940" w:hanging="332"/>
        <w:spacing w:after="0" w:line="296" w:lineRule="auto"/>
        <w:tabs>
          <w:tab w:leader="none" w:pos="32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29" w:lineRule="exact"/>
        <w:rPr>
          <w:rFonts w:ascii="Arial" w:cs="Arial" w:eastAsia="Arial" w:hAnsi="Arial"/>
          <w:sz w:val="18"/>
          <w:szCs w:val="18"/>
          <w:b w:val="1"/>
          <w:bCs w:val="1"/>
          <w:color w:val="auto"/>
        </w:rPr>
      </w:pPr>
    </w:p>
    <w:p>
      <w:pPr>
        <w:ind w:left="332"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medicines. Without strong intellectual property protection, we would be unable to generate the returns necessary to support our significant investments in research and development, as well as the other expenditures required to bring new medicines and indications to the market. Intellectual property protection varies throughout the world and is subject to change over time, depending on local laws and regulations. Changes to such laws, regulations, and enforcement practices could reduce protections for our innovative products and indications. For example, a proposal by the European Commission to revise the EU's general pharmaceutical legislation threatens the predictability and length of certain pharmaceutical intellectual property incentives, including by proposed reductions in data protection periods. Changes proposed by the USPTO and by certain bills in Congress to limit the number of, and differences between, patents obtained could also affect the scope of patent protection for our products in the U.S.</w:t>
      </w:r>
    </w:p>
    <w:p>
      <w:pPr>
        <w:spacing w:after="0" w:line="72" w:lineRule="exact"/>
        <w:rPr>
          <w:rFonts w:ascii="Arial" w:cs="Arial" w:eastAsia="Arial" w:hAnsi="Arial"/>
          <w:sz w:val="18"/>
          <w:szCs w:val="18"/>
          <w:b w:val="1"/>
          <w:bCs w:val="1"/>
          <w:color w:val="auto"/>
        </w:rPr>
      </w:pPr>
    </w:p>
    <w:p>
      <w:pPr>
        <w:ind w:left="332"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recent years, U.S. government officials have proposed the exercise of "march-in-rights" and various other measures that, if enacted, could have a negative impact on our patent rights. If any such proposals are adopted, our business and results of operations could be adversely affected.</w:t>
      </w:r>
    </w:p>
    <w:p>
      <w:pPr>
        <w:spacing w:after="0" w:line="62" w:lineRule="exact"/>
        <w:rPr>
          <w:rFonts w:ascii="Arial" w:cs="Arial" w:eastAsia="Arial" w:hAnsi="Arial"/>
          <w:sz w:val="18"/>
          <w:szCs w:val="18"/>
          <w:b w:val="1"/>
          <w:bCs w:val="1"/>
          <w:color w:val="auto"/>
        </w:rPr>
      </w:pPr>
    </w:p>
    <w:p>
      <w:pPr>
        <w:ind w:left="3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Also in the U.S., in addition to the process for challenging patents set forth in the BPCIA, which applies to biological products, the Hatch-Waxman Act provides generic companies substantial incentives to seek to invalidate our patents covering small molecule pharmaceutical products. As a result, we expect that our U.S. patents on major pharmaceutical products, including biologics, will continue to be routinely challenged in litigation and may not be upheld. In addition, a separate IPR process currently allows competitors to seek invalidation of patents at the USPTO without the protections of the BPCIA or Hatch-Waxman Act. The use of IPR proceedings after the institution of litigation pursuant to the BPCIA or Hatch-Waxman Act is currently a topic of debate among legislators and the future ability of our competitors to use IPR proceedings as an alternative to Hatch-Waxman Act or BPCIA litigation procedures to challenge our patents remains uncertain. The USPTO issued an interim procedure regarding the use of discretionary denials of IPR proceedings when there is parallel district court litigation. However, it is not clear how this interim procedure could affect the ability of our competitors to institute IPR proceedings after institution of litigation. If our patents are challenged through this expedited review process, even if we prevail in demonstrating the validity of our patent, our win may not preclude future challenges at the PTAB and is not binding on federal district courts, meaning the same patent can be challenged by other competitors.</w:t>
      </w:r>
    </w:p>
    <w:p>
      <w:pPr>
        <w:spacing w:after="0" w:line="81" w:lineRule="exact"/>
        <w:rPr>
          <w:rFonts w:ascii="Arial" w:cs="Arial" w:eastAsia="Arial" w:hAnsi="Arial"/>
          <w:sz w:val="18"/>
          <w:szCs w:val="18"/>
          <w:b w:val="1"/>
          <w:bCs w:val="1"/>
          <w:color w:val="auto"/>
        </w:rPr>
      </w:pPr>
    </w:p>
    <w:p>
      <w:pPr>
        <w:ind w:left="332"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In addition, intellectual property protection in certain jurisdictions is weak and we face heightened risks to our intellectual property rights in these jurisdictions, including competition with generic or counterfeit versions of our products at or relatively shortly after launch. See Item 1, "Business— Patents, Trademarks, and Other Intellectual Property Rights" and Item 8, "Financial Statements and Supplementary Data—Note 16: Contingencies," for more details.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17" w:lineRule="exact"/>
        <w:rPr>
          <w:sz w:val="20"/>
          <w:szCs w:val="20"/>
          <w:color w:val="auto"/>
        </w:rPr>
      </w:pPr>
    </w:p>
    <w:p>
      <w:pPr>
        <w:ind w:left="340" w:right="60" w:hanging="332"/>
        <w:spacing w:after="0" w:line="273" w:lineRule="auto"/>
        <w:tabs>
          <w:tab w:leader="none" w:pos="33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breach of, or unauthorized access to, our IT systems or those of our third-party service providers, unauthorized access to our confidential information, or violations of data protection laws, could each result in material harm to our business and reputation.</w:t>
      </w:r>
    </w:p>
    <w:p>
      <w:pPr>
        <w:spacing w:after="0" w:line="49" w:lineRule="exact"/>
        <w:rPr>
          <w:rFonts w:ascii="Arial" w:cs="Arial" w:eastAsia="Arial" w:hAnsi="Arial"/>
          <w:sz w:val="18"/>
          <w:szCs w:val="18"/>
          <w:b w:val="1"/>
          <w:bCs w:val="1"/>
          <w:color w:val="auto"/>
        </w:rPr>
      </w:pPr>
    </w:p>
    <w:p>
      <w:pPr>
        <w:ind w:left="34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Important confidential information owned by us,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 information, such as employee and patient information (collectively, confidential information). We also rely, to a large extent, on the efficient and uninterrupted operation of complex information technology systems, infrastructure, cloud technologies, and hardware (together, IT systems), some of which are within our control and some of which are within the control of third parties, to accumulate, process, store, and transmit large amounts of confidential information and other data. We are subject to a variety of evolving and developing laws and regulations around the world related to privacy, data protection, and data security. Maintaining the security, confidentiality, integrity, and availability of our IT systems and confidential information is vital to our business. Our failure, or the failure of our third-party service providers, to protect and maintain the security, confidentiality, integrity, and availability of our (or their) IT systems and confidential information and other data could significantly harm our reputation as well as result in significant costs, including those related to fines, penalties, litigation, and obligations to comply with applicable data breach laws. A cybersecurity incident could also impose business costs through lost productivity, disruption to manufacturing, and costs to remediate and recover from the incident.</w:t>
      </w:r>
    </w:p>
    <w:p>
      <w:pPr>
        <w:spacing w:after="0" w:line="79"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IT systems are inherently vulnerable to system inadequacies, inadequate controls or procedures, operating failures, unauthorized access, service interruptions or failures, security breaches, malicious intrusions, theft, exfiltration, ransomware, or cyber-attacks from a variety of sources, which may remain undetected for significant periods of time. From time to time, we update, transition, acquire, or expand use of our and third-party IT systems, which may result in heightened vulnerability. Some third-party IT systems that are necessary for the operation of our business processes are maintained outside of our control but would impact business operations if compromised as a result of a cyber-attack. Vulnerabilities, inadequacies, or failures are in many cases more acute for IT systems associated with recently acquired businesses, and we may be unable to entirely address such vulnerabilities, inadequacies, or failures immediately after acquiring a business or ever. As a result, our newly acquired businesses are in some cases more vulnerable to failures, interruptions, breaches, intrusions, theft, exfiltration, or attacks.</w:t>
      </w:r>
    </w:p>
    <w:p>
      <w:pPr>
        <w:spacing w:after="0" w:line="72" w:lineRule="exact"/>
        <w:rPr>
          <w:rFonts w:ascii="Arial" w:cs="Arial" w:eastAsia="Arial" w:hAnsi="Arial"/>
          <w:sz w:val="18"/>
          <w:szCs w:val="18"/>
          <w:b w:val="1"/>
          <w:bCs w:val="1"/>
          <w:color w:val="auto"/>
        </w:rPr>
      </w:pPr>
    </w:p>
    <w:p>
      <w:pPr>
        <w:ind w:left="34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Cyber-attacks are growing in their frequency, sophistication, and intensity, and are becoming increasingly difficult to detect, mitigate, or prevent. Cyber-attacks come in many forms, including the deployment of harmful malware, exploitation of vulnerabilities (including those of third-party software or systems), denial-of-service attacks, the use of social engineering (including phishing), and other means to compromise the confidentiality, integrity, and availability of IT systems, confidential information, and other data. Breaches resulting in the compromise, disruption, degradation, manipulation, loss, theft, exfiltration, destruction, or unauthorized disclosure or use of confidential information, or the unauthorized access to, disruption of, interference with, or attack of, our IT systems, products and services, can occur in a variety of ways, including negligent or wrongful conduct by employees or others with permitted access to our systems and information, or wrongful conduct by hackers, competitors, organized criminal groups, nation-states, state-sponsored or affiliated groups, current or former company personnel, and other actors. Our third-party partners, including third-party providers of data hosting or cloud services, as well as suppliers, distributors, alliances, and other third parties with whom we may share data, face similar risks, which could affect us directly or indirectly. Unassociated third parties present further risks, including by propagating and amplifying misinformation related to our products, business, and industry, including through social media. We and others in the healthcare industry have been and continue to be targets for cyber-attacks, and the number of threats has increased over time. Numerous government agencies that monitor and regulate internet and cyber-crime have issued guidance, alerts and directives warning of software vulnerabilities that require immediate patching, malicious actors targeting healthcare-related systems and nation-state sponsored hacking designed to steal valuable information.</w:t>
      </w:r>
    </w:p>
    <w:p>
      <w:pPr>
        <w:spacing w:after="0" w:line="86" w:lineRule="exact"/>
        <w:rPr>
          <w:rFonts w:ascii="Arial" w:cs="Arial" w:eastAsia="Arial" w:hAnsi="Arial"/>
          <w:sz w:val="18"/>
          <w:szCs w:val="18"/>
          <w:b w:val="1"/>
          <w:bCs w:val="1"/>
          <w:color w:val="auto"/>
        </w:rPr>
      </w:pPr>
    </w:p>
    <w:p>
      <w:pPr>
        <w:ind w:left="34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failure, inadequacy, or breach of our IT systems or business processes or controls or procedures, the compromise, disruption, degradation, manipulation, loss, theft, exfiltration, destruction, or unauthorized access to, disclosure or use of, confidential information, or the unauthorized access to, disruption of, or interference with our products and services that rely on IT systems or business processes, could impair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left="332"/>
        <w:spacing w:after="0" w:line="254" w:lineRule="auto"/>
        <w:rPr>
          <w:sz w:val="20"/>
          <w:szCs w:val="20"/>
          <w:color w:val="auto"/>
        </w:rPr>
      </w:pPr>
      <w:r>
        <w:rPr>
          <w:rFonts w:ascii="Arial" w:cs="Arial" w:eastAsia="Arial" w:hAnsi="Arial"/>
          <w:sz w:val="18"/>
          <w:szCs w:val="18"/>
          <w:color w:val="auto"/>
        </w:rPr>
        <w:t>our ability to secure and maintain intellectual property rights; result in a product manufacturing interruption or failure, or in the interruption or failure of products or services that rely on IT systems or business processes; damage our operations, patient and other relationships, or reputation; undermine integration activities or otherwise delay or prevent the launch of products; result in unfavorable clinical trial results by virtue of incorrect or unreliable data; expose us to ransom payment, other demands, or paralyze our operations; give rise to legal liability and regulatory action under data protection and privacy laws; require disclosure to government authorities and/or regulators; expose us to civil and criminal investigations; and/or cause us to lose trade secrets or other competitive advantages, which effects could endure for a long period of time. Unauthorized disclosure of personally identifiable information could further expose us to significant sanctions for violations of data privacy laws and regulations around the world, subject us to litigation, and damage public trust in our company. In addition, IT system security in jurisdictions outside the U.S. is weaker and may result in additional costs, uncertainties, and risks.</w:t>
      </w:r>
    </w:p>
    <w:p>
      <w:pPr>
        <w:spacing w:after="0" w:line="77" w:lineRule="exact"/>
        <w:rPr>
          <w:sz w:val="20"/>
          <w:szCs w:val="20"/>
          <w:color w:val="auto"/>
        </w:rPr>
      </w:pPr>
    </w:p>
    <w:p>
      <w:pPr>
        <w:ind w:left="332" w:right="40"/>
        <w:spacing w:after="0" w:line="253" w:lineRule="auto"/>
        <w:rPr>
          <w:sz w:val="20"/>
          <w:szCs w:val="20"/>
          <w:color w:val="auto"/>
        </w:rPr>
      </w:pPr>
      <w:r>
        <w:rPr>
          <w:rFonts w:ascii="Arial" w:cs="Arial" w:eastAsia="Arial" w:hAnsi="Arial"/>
          <w:sz w:val="18"/>
          <w:szCs w:val="18"/>
          <w:color w:val="auto"/>
        </w:rPr>
        <w:t>We are subject to various laws and regulations globally regarding privacy and data protection, including laws and regulations relating to the collection, storage, handling, use, disclosure, transfer, and security of personal information. The legislative and regulatory environment regarding privacy and data protection is continuously evolving and the subject of significant attention by regulators and private parties globally. Regulators are imposing new data privacy and security requirements, including new and greater monetary fines or penalties for privacy violations, and jurisdictions where we operate have passed, or continue to propose, data privacy legislation and/or regulations. For example, we are subject to existing laws in the EU, United Kingdom, China, and U.S., all of which provide for substantial penalties for noncompliance. Other jurisdictions where we operate have passed, or continue to propose, similar legislation and regulations. Many jurisdictions, including the U.S., the EU, and China have passed, or expect to pass, restrictions on international data transfers. Compliance with current and future laws and regulations requires implementing potentially costly new controls and processes and may restrict certain core activities, including impacting our ability to carry out research and clinical studies across multiple geographies. Failure to comply with these current and future laws could result in significant penalties and reputational harm and could have a material adverse effect on our business and results of operations.</w:t>
      </w:r>
    </w:p>
    <w:p>
      <w:pPr>
        <w:spacing w:after="0" w:line="82" w:lineRule="exact"/>
        <w:rPr>
          <w:sz w:val="20"/>
          <w:szCs w:val="20"/>
          <w:color w:val="auto"/>
        </w:rPr>
      </w:pPr>
    </w:p>
    <w:p>
      <w:pPr>
        <w:ind w:left="332"/>
        <w:spacing w:after="0" w:line="253" w:lineRule="auto"/>
        <w:rPr>
          <w:sz w:val="20"/>
          <w:szCs w:val="20"/>
          <w:color w:val="auto"/>
        </w:rPr>
      </w:pPr>
      <w:r>
        <w:rPr>
          <w:rFonts w:ascii="Arial" w:cs="Arial" w:eastAsia="Arial" w:hAnsi="Arial"/>
          <w:sz w:val="18"/>
          <w:szCs w:val="18"/>
          <w:color w:val="auto"/>
        </w:rPr>
        <w:t>To date, system inadequacies, inadequate controls or procedures, operating failures, unauthorized access, service interruptions or failures, security breaches, malicious intrusions, theft, exfiltration, ransomware, cyber-attacks, and the compromise, disruption, degradation, manipulation, loss, theft, exfiltration, destruction, or unauthorized disclosure or use of confidential information, or the unauthorized access to, disruption of, interference with, or attack of, our IT systems, products and services that we have encountered have not had a material impact on our business strategy, results of operations or financial condition. We maintain cyber liability insurance; however, this insurance may not be sufficient to cover the financial, operational, legal, business, or reputational losses that may result from an interruption or breach of our IT systems. We continue to implement measures in an effort to protect, detect, respond to, remediate, and minimize or prevent these risks and to enhance the resiliency of our IT systems; however, these measures may not be successful, and we may fail to detect or remediate system inadequacies, inadequate controls or procedures, operating failures, unauthorized access, service interruptions or failures, security breaches, malicious intrusions, theft, exfiltration, ransomware, cyber-attacks, or other compromises of our systems. Any of these events could result in material financial, operational, legal, business, or reputational harm to our business. For a discussion of our management of cybersecurity risks, see Item 1C, "Cybersecurity—Risk Management and Strategy" and "—Governance."</w:t>
      </w:r>
    </w:p>
    <w:p>
      <w:pPr>
        <w:spacing w:after="0" w:line="79" w:lineRule="exact"/>
        <w:rPr>
          <w:sz w:val="20"/>
          <w:szCs w:val="20"/>
          <w:color w:val="auto"/>
        </w:rPr>
      </w:pPr>
    </w:p>
    <w:p>
      <w:pPr>
        <w:ind w:left="312" w:hanging="312"/>
        <w:spacing w:after="0"/>
        <w:tabs>
          <w:tab w:leader="none" w:pos="3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quality, or supply chain difficulties, disruptions, or shortages could lead to product supply problems.</w:t>
      </w:r>
    </w:p>
    <w:p>
      <w:pPr>
        <w:spacing w:after="0" w:line="117"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continuing the significant expansion of our manufacturing capabilities and substantial investment in long-term supply agreements to fortify supply and support anticipated demand for our products. Pharmaceutical manufacturing is complex and highly regulated. Manufacturing or quality assurance difficulties at our facilities or those of our contractors and suppliers, the failure or refusal of a supplier or contract manufacturer to supply contracted quantities in a timely manner or at all, or increases in demand on a supplier with constrained capacity have resulted and may in the future result in delays and disruptions in the manufacturing, distribution, and sale of our products and/or product shortages, leading to lost revenue, reduced market opportunities, and the possibility of additional market entrants. In select cases, supply constraints may also lead to pauses, discontinuations, or other product availability issues in one or more markets, which could have a material adverse effect on our consolidated results of operations, cash flows, and reputation. Further, cost inflation and global transportation and logistics</w:t>
      </w:r>
    </w:p>
    <w:p>
      <w:pPr>
        <w:spacing w:after="0" w:line="200" w:lineRule="exact"/>
        <w:rPr>
          <w:sz w:val="20"/>
          <w:szCs w:val="20"/>
          <w:color w:val="auto"/>
        </w:rPr>
      </w:pP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31" w:name="page32"/>
    <w:bookmarkEnd w:id="31"/>
    <w:p>
      <w:pPr>
        <w:ind w:left="332"/>
        <w:spacing w:after="0" w:line="252" w:lineRule="auto"/>
        <w:rPr>
          <w:sz w:val="20"/>
          <w:szCs w:val="20"/>
          <w:color w:val="auto"/>
        </w:rPr>
      </w:pPr>
      <w:r>
        <w:rPr>
          <w:rFonts w:ascii="Arial" w:cs="Arial" w:eastAsia="Arial" w:hAnsi="Arial"/>
          <w:sz w:val="18"/>
          <w:szCs w:val="18"/>
          <w:color w:val="auto"/>
        </w:rPr>
        <w:t>challenges, as well as tight labor markets, have caused, and in the future may cause, delays in, and/or increase costs related to, distribution of our medicines, the construction or other acquisition of additional manufacturing capacity, procurement activity, and supplier or contract manufacturer arrangements. These disruptions and challenges could result from actual or perceived quality, oversight, or regulatory compliance problems; natural disasters (including increased instances or severity of natural disasters or other events that may be due to climate change), public health outbreaks, epidemics, or pandemics; periods of uneven economic growth or downturns; emergence or escalation of, and responses to international tension and conflicts; equipment, mechanical, data, or IT system vulnerabilities, such as system inadequacies, inadequate controls or procedures, operating failures, unauthorized access, service interruptions or failures, security breaches, malicious intrusions, theft, exfiltration, ransomware or other cyber-attacks from a variety of sources; labor shortages; challenges and complexities in manufacturing new drug modalities; contractual disputes with our suppliers and contract manufacturers; vertical integration by competitors within our supply chain; or inability to obtain single-source or other raw or intermediate materials. Regional or single source dependencies may in some cases accentuate risks related to manufacturing and supply. For example, we, and the pharmaceutical industry generally, depend on China-based suppliers for portions of our supply chain, including integral chemical synthesis, reagents, starting materials, and ingredients. Finding alternative suppliers if and as necessary due to geopolitical developments or otherwise may not be feasible or could take a significant amount of time and involve significant expense due to the nature of our products and the need to obtain regulatory approvals which would cause disruptions to patients and detrimentally impact our business. See, Item 1A, "Risk Factors—Risks Related to Our Operations—Reliance on third-party relationships and outsourcing arrangements could adversely affect our business," and "Risk Factors—Risks Related to Doing Business Internationally —Uneven economic growth or downturns or international trade and other global disruptions, geopolitical tensions, or disputes could adversely affect our business and operating results" for more details. Supply and channel dynamics in some cases also contribute to variability in financial results for our products from period to period.</w:t>
      </w:r>
    </w:p>
    <w:p>
      <w:pPr>
        <w:spacing w:after="0" w:line="81" w:lineRule="exact"/>
        <w:rPr>
          <w:sz w:val="20"/>
          <w:szCs w:val="20"/>
          <w:color w:val="auto"/>
        </w:rPr>
      </w:pPr>
    </w:p>
    <w:p>
      <w:pPr>
        <w:ind w:left="332" w:right="40"/>
        <w:spacing w:after="0" w:line="253" w:lineRule="auto"/>
        <w:rPr>
          <w:sz w:val="20"/>
          <w:szCs w:val="20"/>
          <w:color w:val="auto"/>
        </w:rPr>
      </w:pPr>
      <w:r>
        <w:rPr>
          <w:rFonts w:ascii="Arial" w:cs="Arial" w:eastAsia="Arial" w:hAnsi="Arial"/>
          <w:sz w:val="18"/>
          <w:szCs w:val="18"/>
          <w:color w:val="auto"/>
        </w:rPr>
        <w:t>Difficulties in predicting or variability in demand and supply for our products and those of our competitors and the very long lead times necessary for the expansion and regulatory qualification of pharmaceutical manufacturing capacity have resulted, and in the future may result, in difficulty meeting demand, or disruptions, shortages, and higher costs in the supply of, our products. For example, at various times during 2024 demand for our incretin medicines exceeded production. While tirzepatide supply currently exceeds demand in the U.S., demand remains dynamic and could be impacted by a variety of factors. Supply considerations will continue to influence the timing and approach (including available presentations) of tirzepatide launches in new markets. Despite our ongoing efforts to meet projected future demand by obtaining additional internal and contracted manufacturing capacity, there can be no assurances that such capacity increases that we expect will be needed to meet future demand will be realized as expected or that we will meet demand in launched markets in the future. Delays or challenges in operationalizing additional manufacturing capacity could limit our ability to capitalize on demand for our products. Conversely, unexpected events that limit demand for our products or anticipated demand for product candidates would undermine our ability to realize the full benefit of significant capital expenditures that we have incurred, and expect to continue to incur, to augment manufacturing capacity, may render built or in process manufacturing capacity unnecessary, and may also subject us to contractual payment obligations, which may be significant. The foregoing risks and uncertainties could negatively impact our consolidated results of operations and reputation. See Item 1, "Business—Raw Materials and Product Supply" and Item 7, "Management's Discussion and Analysis—Financial Condition and Liquidity," for more details.</w:t>
      </w:r>
    </w:p>
    <w:p>
      <w:pPr>
        <w:spacing w:after="0" w:line="75" w:lineRule="exact"/>
        <w:rPr>
          <w:sz w:val="20"/>
          <w:szCs w:val="20"/>
          <w:color w:val="auto"/>
        </w:rPr>
      </w:pPr>
    </w:p>
    <w:p>
      <w:pPr>
        <w:ind w:left="312" w:hanging="312"/>
        <w:spacing w:after="0"/>
        <w:tabs>
          <w:tab w:leader="none" w:pos="3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7" w:lineRule="exact"/>
        <w:rPr>
          <w:rFonts w:ascii="Arial" w:cs="Arial" w:eastAsia="Arial" w:hAnsi="Arial"/>
          <w:sz w:val="18"/>
          <w:szCs w:val="18"/>
          <w:b w:val="1"/>
          <w:bCs w:val="1"/>
          <w:color w:val="auto"/>
        </w:rPr>
      </w:pPr>
    </w:p>
    <w:p>
      <w:pPr>
        <w:ind w:left="332"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and clinical development, manufacturing, commercialization, hosting of, and support for, IT systems, product distribution, and certain financial transactional processes. As examples, we outsource the day-to-day management and oversight of some of our clinical trials to contract research organizations, certain active ingredient manufacturing, finishing operations, and device or component production and assembly to contract manufacturing organizations, and the distribution of our products through logistics providers. To support anticipated demand for our current and prospective products, we have expanded relationships with contract manufacturing organizations and other third parties in recent periods.</w:t>
      </w:r>
    </w:p>
    <w:p>
      <w:pPr>
        <w:spacing w:after="0" w:line="200" w:lineRule="exact"/>
        <w:rPr>
          <w:sz w:val="20"/>
          <w:szCs w:val="20"/>
          <w:color w:val="auto"/>
        </w:rPr>
      </w:pPr>
    </w:p>
    <w:p>
      <w:pPr>
        <w:spacing w:after="0" w:line="36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39" w:right="379" w:bottom="1440" w:gutter="0" w:footer="0" w:header="0"/>
        </w:sectPr>
      </w:pPr>
    </w:p>
    <w:bookmarkStart w:id="32" w:name="page33"/>
    <w:bookmarkEnd w:id="32"/>
    <w:p>
      <w:pPr>
        <w:ind w:left="340" w:right="20"/>
        <w:spacing w:after="0" w:line="252" w:lineRule="auto"/>
        <w:rPr>
          <w:sz w:val="20"/>
          <w:szCs w:val="20"/>
          <w:color w:val="auto"/>
        </w:rPr>
      </w:pPr>
      <w:r>
        <w:rPr>
          <w:rFonts w:ascii="Arial" w:cs="Arial" w:eastAsia="Arial" w:hAnsi="Arial"/>
          <w:sz w:val="18"/>
          <w:szCs w:val="18"/>
          <w:color w:val="auto"/>
        </w:rPr>
        <w:t>Outsourcing involves many risks, including the risk that third parties may not perform to our standards or legal requirements; may not produce reliable results; may not perform in a timely manner; may not maintain the confidentiality, integrity, and availability of confidential and proprietary information relating to us, our clinical trial subjects, or patients; may experience disruption or fail to perform due to IT system vulnerabilities, such as inadequacies, inadequate controls or procedures, operating failures, unauthorized access, service interruptions or failures, security breaches, malicious intrusions, theft, exfiltration, ransomware or other cyber-attacks; may be unable to satisfy their commitments to us in which case we may not be able to achieve acceptable alternative sourcing; or may fail to perform at all. The foregoing risks may be heightened in jurisdictions outside the U.S., where we may have fewer alternative providers as well as face additional costs, uncertainties, and risks. Among other third-party providers, we, and the pharmaceutical industry generally, depend on China-based suppliers for portions of our supply chain. U.S. officials are increasingly considering legislation or other actions that are intended to limit supply chain reliance on China, including the BIOSECURE Act. In February 2025, the U.S. presidential administration imposed new tariffs on Chinese goods and China responded with tariffs on select U.S. goods. If enacted, additional measures could result in supply disruptions or delays, increase costs more significantly, or invite further retaliatory measures, any of which could negatively impact our business. See, Item 1A, "Risk Factors—Risks Related to Doing Business Internationally—Uneven economic growth or downturns or international trade and other global disruptions, geopolitical tensions, or disputes could adversely affect our business and operating results" for additional information. In some cases, product or indication approvals depend on the outcome of regulatory inspections of third parties on which we rely. Third-party inspection outcomes have and may in the future delay or prevent product launches and otherwise negatively affect our business. Failure of third parties to meet their contractual, regulatory, confidentiality, privacy, security, or other obligations to us, our clinical trial subjects, and our patients could have a material adverse effect on our business and could also result in non-compliance with legal or regulatory requirements or industry standards or subject us to reputational harm.</w:t>
      </w:r>
    </w:p>
    <w:p>
      <w:pPr>
        <w:spacing w:after="0" w:line="8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Our use of artificial intelligence (AI) or other emerging technologies could adversely impact our business and financial results.</w:t>
      </w:r>
    </w:p>
    <w:p>
      <w:pPr>
        <w:spacing w:after="0" w:line="117" w:lineRule="exact"/>
        <w:rPr>
          <w:rFonts w:ascii="Arial" w:cs="Arial" w:eastAsia="Arial" w:hAnsi="Arial"/>
          <w:sz w:val="18"/>
          <w:szCs w:val="18"/>
          <w:b w:val="1"/>
          <w:bCs w:val="1"/>
          <w:color w:val="auto"/>
        </w:rPr>
      </w:pPr>
    </w:p>
    <w:p>
      <w:pPr>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deploy AI and other emerging technologies in various facets of our operations and we continue to explore further use cases for AI. The rapid advancement of these technologies presents opportunities for us in research, manufacturing, commercialization, and other business endeavors but also entails risks, including that AI-generated content, analyses, or recommendations we utilize could be deficient, or that our competitors may more quickly or effectively adopt AI capabilities. Our use of AI or other emerging technologies could also exacerbate regulatory, cybersecurity and other significant risks.</w:t>
      </w:r>
    </w:p>
    <w:p>
      <w:pPr>
        <w:spacing w:after="0" w:line="71" w:lineRule="exact"/>
        <w:rPr>
          <w:rFonts w:ascii="Arial" w:cs="Arial" w:eastAsia="Arial" w:hAnsi="Arial"/>
          <w:sz w:val="18"/>
          <w:szCs w:val="18"/>
          <w:b w:val="1"/>
          <w:bCs w:val="1"/>
          <w:color w:val="auto"/>
        </w:rPr>
      </w:pPr>
    </w:p>
    <w:p>
      <w:pPr>
        <w:ind w:left="340" w:right="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Effective development, management, and use of AI technologies is novel and complex, and there are technical challenges associated with achieving desired levels of accuracy, efficiency, and reliability. The algorithms and models utilized in AI systems may have limitations, including biases, errors, or inability to handle certain data types or scenarios or to render explainable outputs. Furthermore, there are risks associated with the fact that the platforms providing AI models are in many cases owned and operated by emerging companies with less contractual and compliance sophistication. These factors may undermine our ability to effectively utilize AI or create competitive disadvantages should our competitors more skillfully make use of AI capabilities. Further, if we are unable to effectively manage the use of AI technologies by our employees, our confidential information, intellectual property, or reputation could be put at risk.</w:t>
      </w:r>
    </w:p>
    <w:p>
      <w:pPr>
        <w:spacing w:after="0" w:line="57" w:lineRule="exact"/>
        <w:rPr>
          <w:rFonts w:ascii="Arial" w:cs="Arial" w:eastAsia="Arial" w:hAnsi="Arial"/>
          <w:sz w:val="18"/>
          <w:szCs w:val="18"/>
          <w:b w:val="1"/>
          <w:bCs w:val="1"/>
          <w:color w:val="auto"/>
        </w:rPr>
      </w:pPr>
    </w:p>
    <w:p>
      <w:pPr>
        <w:ind w:left="34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 Several governmental authorities have already proposed or enacted laws and other guidance governing AI, such as the EU Artificial Intelligence Act. These and other developing obligations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biases.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Internationally</w:t>
      </w:r>
    </w:p>
    <w:p>
      <w:pPr>
        <w:spacing w:after="0" w:line="117" w:lineRule="exact"/>
        <w:rPr>
          <w:sz w:val="20"/>
          <w:szCs w:val="20"/>
          <w:color w:val="auto"/>
        </w:rPr>
      </w:pPr>
    </w:p>
    <w:p>
      <w:pPr>
        <w:ind w:left="340" w:right="240" w:hanging="332"/>
        <w:spacing w:after="0" w:line="296" w:lineRule="auto"/>
        <w:tabs>
          <w:tab w:leader="none" w:pos="3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Uneven economic growth or downturns or international trade and other global disruptions, geopolitical tensions, or disputes could adversely affect our business and operating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left="332" w:right="60"/>
        <w:spacing w:after="0" w:line="256" w:lineRule="auto"/>
        <w:rPr>
          <w:sz w:val="20"/>
          <w:szCs w:val="20"/>
          <w:color w:val="auto"/>
        </w:rPr>
      </w:pPr>
      <w:r>
        <w:rPr>
          <w:rFonts w:ascii="Arial" w:cs="Arial" w:eastAsia="Arial" w:hAnsi="Arial"/>
          <w:sz w:val="18"/>
          <w:szCs w:val="18"/>
          <w:color w:val="auto"/>
        </w:rPr>
        <w:t>Economic slowdowns could lead to decreased utilization of our products, affecting our sales. Declining tax revenues and increased government spending on other programs attributable to uneven economic growth or downturns increase the pressure on governments to reduce healthcare spending, leading to increased control of drug prices or lower utilization. Additionally, some customers, including governments or other entities reliant upon government funding and cash-pay patients, may be unable to pay for our products fully or in a timely manner. Also, if our customers, suppliers, or collaboration partners experience financial difficulties, we could experience slower customer collections, greater bad debt expense, and performance defaults by suppliers or collaboration partners. Similarly, uneven economic growth or downturns could limit our ability to access capital markets.</w:t>
      </w:r>
    </w:p>
    <w:p>
      <w:pPr>
        <w:spacing w:after="0" w:line="75" w:lineRule="exact"/>
        <w:rPr>
          <w:sz w:val="20"/>
          <w:szCs w:val="20"/>
          <w:color w:val="auto"/>
        </w:rPr>
      </w:pPr>
    </w:p>
    <w:p>
      <w:pPr>
        <w:ind w:left="332" w:right="60"/>
        <w:spacing w:after="0" w:line="252" w:lineRule="auto"/>
        <w:rPr>
          <w:sz w:val="20"/>
          <w:szCs w:val="20"/>
          <w:color w:val="auto"/>
        </w:rPr>
      </w:pPr>
      <w:r>
        <w:rPr>
          <w:rFonts w:ascii="Arial" w:cs="Arial" w:eastAsia="Arial" w:hAnsi="Arial"/>
          <w:sz w:val="18"/>
          <w:szCs w:val="18"/>
          <w:color w:val="auto"/>
        </w:rPr>
        <w:t>In addition, significant portions of our business are conducted in Europe, Asia, and other international geographies. 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clinical trials or sales of our products, or otherwise complicate aspects of our business. In particular, tensions between the U.S. and China, which have already led to a series of tariffs and sanctions, as well as other business restrictions, could further escalate based on additional trade restrictions or retaliation thereto. In February 2025, the U.S. presidential administration imposed new tariffs on Chinese goods and China responded with tariffs on select U.S. goods. Additionally, tariffs were proposed or threatened with respect to other jurisdictions, including Mexico, Canada and Europe. If geopolitical tensions were to increase and disrupt our operations in, or related to, China or other major international geographies, such disruption would significantly impact our business. See Item 1A, "Risk Factors—Risks Related to Our Operations—Reliance on third-party relationships and outsourcing arrangements could adversely affect our business," for additional information. As a further example, the financial impact of higher energy prices, defense spending, and geopolitical and economic disruptions, has further exacerbated financial pressures on governments with single-payer or government funded healthcare systems, leading to increased impetus for increases in rebates, clawbacks, and other reforms to reimbursement systems, particularly in Europe. These and similar events have adversely affected, and may continue to adversely affect, us, our business partners, and our customers. For more details, see Item 1, "Business—Regulations and Private Payer Actions Affecting Pharmaceutical Pricing, Reimbursement, and Access."</w:t>
      </w:r>
    </w:p>
    <w:p>
      <w:pPr>
        <w:spacing w:after="0" w:line="84" w:lineRule="exact"/>
        <w:rPr>
          <w:sz w:val="20"/>
          <w:szCs w:val="20"/>
          <w:color w:val="auto"/>
        </w:rPr>
      </w:pPr>
    </w:p>
    <w:p>
      <w:pPr>
        <w:ind w:left="332" w:right="20"/>
        <w:spacing w:after="0" w:line="268" w:lineRule="auto"/>
        <w:rPr>
          <w:sz w:val="20"/>
          <w:szCs w:val="20"/>
          <w:color w:val="auto"/>
        </w:rPr>
      </w:pPr>
      <w:r>
        <w:rPr>
          <w:rFonts w:ascii="Arial" w:cs="Arial" w:eastAsia="Arial" w:hAnsi="Arial"/>
          <w:sz w:val="18"/>
          <w:szCs w:val="18"/>
          <w:color w:val="auto"/>
        </w:rPr>
        <w:t>In addition to developments related to our business or financial results, or those of our competitors, uneven economic growth, downturns, or other negative global developments, could also undermine our growth or result in significant and sudden declines in the trading price of our common stock and market capitalization.</w:t>
      </w:r>
    </w:p>
    <w:p>
      <w:pPr>
        <w:spacing w:after="0" w:line="63" w:lineRule="exact"/>
        <w:rPr>
          <w:sz w:val="20"/>
          <w:szCs w:val="20"/>
          <w:color w:val="auto"/>
        </w:rPr>
      </w:pPr>
    </w:p>
    <w:p>
      <w:pPr>
        <w:ind w:left="312" w:hanging="312"/>
        <w:spacing w:after="0"/>
        <w:tabs>
          <w:tab w:leader="none" w:pos="3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foreign currency rates, interest rate risks, and inflation or deflation affect our results of operations.</w:t>
      </w:r>
    </w:p>
    <w:p>
      <w:pPr>
        <w:spacing w:after="0" w:line="117" w:lineRule="exact"/>
        <w:rPr>
          <w:rFonts w:ascii="Arial" w:cs="Arial" w:eastAsia="Arial" w:hAnsi="Arial"/>
          <w:sz w:val="18"/>
          <w:szCs w:val="18"/>
          <w:b w:val="1"/>
          <w:bCs w:val="1"/>
          <w:color w:val="auto"/>
        </w:rPr>
      </w:pPr>
    </w:p>
    <w:p>
      <w:pPr>
        <w:ind w:left="33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As a global company, we face foreign currency risk exposure from fluctuating currency exchange rates, interest rate risk from our exposure to floating and variable interest rates, and existing and expected rates of inflation or deflation in the U.S. and other jurisdictions, each of which impacts our results of operations. In recent periods, significant fluctuations in currency rates and inflation have impacted our results of operations. We are a net receiver of foreign currencies, and our results of operations are adversely impacted when the U.S. dollar is strong compared to foreign currencies. Further, in the event of an extreme devaluation of local currency in a particular market in which we operate, the price of our products could become unsustainable in the relevant market. Inflationary pressures in recent periods have also negatively impacted us and may continue to negatively impact us in various ways, including cost inflation, higher labor costs, and other higher expenses, with some of these higher expenses due in part to policy actions intended to curb inflation. See Item 7, "Management's Discussion and Analysis—Financial Condition and Liquidity" and Item 8, "Financial Statements and Supplementary Data —Note 1: Summary of Significant Accounting Policies and Implementation of New Financial Accounting Standards," for more details.</w:t>
      </w:r>
    </w:p>
    <w:p>
      <w:pPr>
        <w:spacing w:after="0" w:line="200" w:lineRule="exact"/>
        <w:rPr>
          <w:sz w:val="20"/>
          <w:szCs w:val="20"/>
          <w:color w:val="auto"/>
        </w:rPr>
      </w:pPr>
    </w:p>
    <w:p>
      <w:pPr>
        <w:spacing w:after="0" w:line="3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Litigation and Government Regulation</w:t>
      </w:r>
    </w:p>
    <w:p>
      <w:pPr>
        <w:spacing w:after="0" w:line="117" w:lineRule="exact"/>
        <w:rPr>
          <w:sz w:val="20"/>
          <w:szCs w:val="20"/>
          <w:color w:val="auto"/>
        </w:rPr>
      </w:pPr>
    </w:p>
    <w:p>
      <w:pPr>
        <w:ind w:left="340" w:right="300" w:hanging="332"/>
        <w:spacing w:after="0" w:line="296" w:lineRule="auto"/>
        <w:tabs>
          <w:tab w:leader="none" w:pos="3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are party to litigation and investigations related to our products, how we price or commercialize our products, and other aspects of our business, which could adversely affect our business, and we are self-insured for such matters.</w:t>
      </w:r>
    </w:p>
    <w:p>
      <w:pPr>
        <w:spacing w:after="0" w:line="29"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claims, litigation, and investigations involving various current and historical products and practices. These claims relate to how we commercialize and/or how we price our products, product safety, our operations as well as contractual matters and other disputes. We have also filed lawsuits and taken other legal actions to protect our intellectual property and address unlawful practices. See Item 8, "Financial Statements and Supplementary Data—Note 16: Contingencies," for more information on certain matters. Like many companies in our industry, from time to time investigations into aspects of our business include inquiries, subpoenas, and other types of information demands from government and regulatory authorities. There continues to be a significant volume of government and regulatory investigations and litigation against companies operating in our industry, as well as robust regulatory enforcement. Because of the nature of pharmaceutical products, we are, and could in the future become, subject to large numbers of product liability claims for our previous, current, or future products, or to further litigation or investigations, including related to product safety and pricing or other commercial practices. Some of these matters involve numerous plaintiffs and parties seeking large or indeterminate financial claims and may remain unresolved for several years. Such matters could negatively impact our reputation, affect our results of operations or require us to recognize substantial charges to resolve and, if involving marketed products, could adversely affect sales of the product and our consolidated results of operations in any given period. Where we are the plaintiff or complainant, we may be unsuccessful in protecting our intellectual property or mitigating harm to us from unlawful practices. Due to a very restrictive market for liability insurance, we are predominately self-insured for litigation liability losses for all of our products, as well as for litigation or investigations related to our pricing practices or other similar matters.</w:t>
      </w:r>
    </w:p>
    <w:p>
      <w:pPr>
        <w:spacing w:after="0" w:line="86" w:lineRule="exact"/>
        <w:rPr>
          <w:rFonts w:ascii="Arial" w:cs="Arial" w:eastAsia="Arial" w:hAnsi="Arial"/>
          <w:sz w:val="18"/>
          <w:szCs w:val="18"/>
          <w:b w:val="1"/>
          <w:bCs w:val="1"/>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are subject to evolving and complex tax laws, which may result in additional liabilities and affect our results of operations.</w:t>
      </w:r>
    </w:p>
    <w:p>
      <w:pPr>
        <w:spacing w:after="0" w:line="117" w:lineRule="exact"/>
        <w:rPr>
          <w:rFonts w:ascii="Arial" w:cs="Arial" w:eastAsia="Arial" w:hAnsi="Arial"/>
          <w:sz w:val="18"/>
          <w:szCs w:val="18"/>
          <w:b w:val="1"/>
          <w:bCs w:val="1"/>
          <w:color w:val="auto"/>
        </w:rPr>
      </w:pPr>
    </w:p>
    <w:p>
      <w:pPr>
        <w:ind w:left="34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We are subject to income taxes in the U.S. and numerous other jurisdictions, and in the course of our business, we make judgments about the expected tax treatment of various transactions and events. Changes in tax laws, regulations, administrative practices, principles, disclosure obligations, and interpretations, as well as events that differ from our expectations, have affected and may adversely affect our effective tax rates, cash flows, and/or results of operations. In addition, tax authorities in the U.S. and other jurisdictions in which we do business routinely examine our tax returns and are expected to increase their scrutiny and examinations of cross-border tax issues, which could unfavorably impact our results of operations and cash flows. Further, actions taken with respect to tax-related matters by associations such as the Organisation for Economic Co-operation and Development (OECD) and the European Commission could influence tax laws in countries in which we operate, such as the enactments by both EU and non-EU countries of a global minimum tax. Modifications to key elements of the U.S. or international tax framework could have a significant impact on our effective tax rate, results of operations, and cash flows. See Item 7, "Management's Discussion and Analysis—Executive Overview— Other Matters—Tax Matters" and Item 8, "Financial Statements and Supplementary Data—Note 14: Income Taxes," for more details.</w:t>
      </w:r>
    </w:p>
    <w:p>
      <w:pPr>
        <w:spacing w:after="0" w:line="65" w:lineRule="exact"/>
        <w:rPr>
          <w:rFonts w:ascii="Arial" w:cs="Arial" w:eastAsia="Arial" w:hAnsi="Arial"/>
          <w:sz w:val="18"/>
          <w:szCs w:val="18"/>
          <w:b w:val="1"/>
          <w:bCs w:val="1"/>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7"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scrutiny and regulation. New business practices or commercial capabilities subject us to additional scrutiny over compliance with applicable regulatory schemes and compliance obligations or expose us to new regulatory schemes and compliance obligations entirely. Many companies, including us, are and have been subject to investigations, litigation, and claims related to these practices asserted by governmental authorities and other parties. These investigations, litigation, and claims have resulted in substantial expense and other significant consequences for pharmaceutical manufacturers, including criminal charges and fines, penalties, or other monetary or non-monetary remedies, including exclusion from U.S. federal and other healthcare programs. Such investigations, litigation, and claims remain intense as a result of evolving U.S. and foreign regulatory priorities. In addition, regulatory issues and evolving standards concerning compliance with cGMP and quality assurance, including increased scrutiny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5" w:name="page36"/>
    <w:bookmarkEnd w:id="35"/>
    <w:p>
      <w:pPr>
        <w:ind w:right="140"/>
        <w:spacing w:after="0" w:line="255" w:lineRule="auto"/>
        <w:rPr>
          <w:sz w:val="20"/>
          <w:szCs w:val="20"/>
          <w:color w:val="auto"/>
        </w:rPr>
      </w:pPr>
      <w:r>
        <w:rPr>
          <w:rFonts w:ascii="Arial" w:cs="Arial" w:eastAsia="Arial" w:hAnsi="Arial"/>
          <w:sz w:val="18"/>
          <w:szCs w:val="18"/>
          <w:color w:val="auto"/>
        </w:rPr>
        <w:t>around excipients, potential impurities such as nitrosamines, and chemicals important to pharmaceutical manufacturing, in some cases lead to regulatory and legal actions, product recalls and seizures, fines and penalties, interruption of production leading to product shortages, import bans or denials of import certifications, delays or denials in new product approvals or line extensions or supplemental approvals of current products pending resolution of the issues, and reputational harm, any of which adversely affects our business. Regulatory oversight of the pharmaceutical industry entails judgment and interpretation, which can result in varying interpretations of laws and regulations by health and other authorities. In addition, changing political leadership, including the new presidential administration and regulatory leadership in the U.S., may propose, enact, or pursue policy, regulatory, and enforcement changes that create additional uncertainty for our business.</w:t>
      </w:r>
    </w:p>
    <w:p>
      <w:pPr>
        <w:spacing w:after="0" w:line="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Regulatory compliance and processes in jurisdictions outside the U.S. may be particularly unpredictable and result in additional costs, uncertainties, and risks. U.S. and foreign governmental authorities are actively promulgating additional regulations and guidance that impact many aspects of our operations. These regulations are in some cases advanced with short notice. New regulations may undermine our ability to achieve business objectives, may be costly to implement, may provide only limited time for compliance, may change accounting and reporting standards, and may carry significant penalties for non-compliance. See Item 1, "Business— Government Regulation of Our Operations and Products," for more details.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rely on the FDA and other regulatory bodies for appropriate oversight, administration and enforcement across our industry, anyone marketing or purporting to market medicines, and public health. Oversight, administrative, and enforcement changes, delays, inconsistencies, lapses, and failures could materiality impact our business and reputation. See Item 1, "Business—Government Regulation of Our Operations and Products," for additional information on regulatory risks, including as related to counterfeit, misbranded, adulterated, and compounded medicines.</w:t>
      </w:r>
    </w:p>
    <w:p>
      <w:pPr>
        <w:spacing w:after="0" w:line="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Furthermore, there is an increased focus by foreign, federal, state, and local regulatory and legislative bodies on legislation and policies relating to climate change, regulating greenhouse gas emissions, carbon taxes, emissions trading schemes, sustainability, human rights and related due diligence, workforce matters, and disclosure regarding the foregoing, many of which may be ambiguous, inconsistent, dynamic or conflicting. We have experienced increased compliance costs, legal costs, and expenses related to such new or changing legal or regulatory requirements. Moreover, compliance with any such legal or regulatory requirements requires us to devote time and attention, which may be substantial, to these matters. In addition, we may still be subject to penalties or potential litigation if such laws and regulations are interpreted or applied in a manner inconsistent with our practices.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there is increased attention from the media, stockholders, activists, political leadership, regulatory authorities, and other stakeholders on climate, social, and other sustainability matters. The perception that we or others in our industry or supply chain have failed to act in an appropriate manner, whether or not valid, results in publicity that can negatively affect our business, brand, and reputation, as well as result in increased scrutiny from political leadership, legislators and regulatory authorities. For example, negative perception of inclusion initiatives, whether due to a perceived over- or under-pursuit of such initiatives, may result in issues hiring or retaining employees, as well as potential investigations, enforcement actions, litigation, reputational harm, or other adverse impacts. Moreover, from time to time we establish and publicly announce goals, initiatives, and commitments, including on climate, social, and other sustainability matters. Our ability to achieve any of these stated goals, targets or objectives is subject to numerous factors and conditions, many of which are outside our control. Examples of such factors include evolving regulatory requirements affecting sustainability standards or disclosures or imposing different requirements, and the availability of suppliers that can meet our sustainability and other goals. If we fail to achieve, are perceived to have failed or been delayed in achieving, or improperly report our progress toward achieving these goals, initiatives, and commitments, it could negatively affect our reputation, brand, or investor confidence, and expose us to investigations, enforcement actions and litigation. Conversely, our pursuit or achievement of such goals, initiatives, and commitments may not be viewed favorably by certain stakeholders and could increase scrutiny of our business, negatively affect our reputation, or expose us to investigations, enforcement actions and litigation.</w:t>
      </w:r>
    </w:p>
    <w:p>
      <w:pPr>
        <w:spacing w:after="0" w:line="200" w:lineRule="exact"/>
        <w:rPr>
          <w:sz w:val="20"/>
          <w:szCs w:val="20"/>
          <w:color w:val="auto"/>
        </w:rPr>
      </w:pPr>
    </w:p>
    <w:p>
      <w:pPr>
        <w:spacing w:after="0" w:line="3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039" w:right="359" w:bottom="1440" w:gutter="0" w:footer="0" w:header="0"/>
        </w:sectPr>
      </w:pPr>
    </w:p>
    <w:bookmarkStart w:id="36" w:name="page37"/>
    <w:bookmarkEnd w:id="36"/>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1C.</w:t>
      </w:r>
      <w:r>
        <w:rPr>
          <w:sz w:val="20"/>
          <w:szCs w:val="20"/>
          <w:color w:val="auto"/>
        </w:rPr>
        <w:tab/>
      </w:r>
      <w:r>
        <w:rPr>
          <w:rFonts w:ascii="Arial" w:cs="Arial" w:eastAsia="Arial" w:hAnsi="Arial"/>
          <w:sz w:val="17"/>
          <w:szCs w:val="17"/>
          <w:b w:val="1"/>
          <w:bCs w:val="1"/>
          <w:i w:val="1"/>
          <w:iCs w:val="1"/>
          <w:color w:val="auto"/>
        </w:rPr>
        <w:t>Cybersecurity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7"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We manage cybersecurity threats as part of our oversight, evaluation, and mitigation of enterprise-level risks. We have based our cybersecurity program on industry frameworks, including, among others, the U.S. National Institute of Standards and Technology Cybersecurity Framework, with the goal of building enterprise resilience against an evolving landscape of cybersecurity threats and responding to cybersecurity threats as they materialize. Our program includes monitoring, identification, assessment, and management components, as well as information sharing and escalation components designed to inform management and the board of directors of prospective risks and developments.</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information security program encompasses functions dedicated to both proactive and reactive management of cybersecurity threats. We implement our cybersecurity program internally through established policies, standards, reference architectures, and the use of enterprise security services that focus on emerging and ongoing cybersecurity risks. Our proactive management of cybersecurity risks entails many actions, including the maintenance of system access restrictions, utilization of data security technology, employee education and training initiatives, and retention of cyber liability insurance, among other measures. We regularly engage third-party auditors and consultants and leverage our internal audit function to assess various facets of our cybersecurity program. These engagements include completion of industry-standard assessments or certifications, maturity model reviews, threat simulations, as well as internal reviews to assess the effectiveness of our cybersecurity processes. We also maintain enterprise-wide processes to oversee and identify risks from cybersecurity threats associated with our use of third-party service providers. As examples, we generally review current and prospective third-party service providers for unacceptable cybersecurity risks, negotiate contractual provisions that require the establishment of third-party cybersecurity controls, and deploy communications security measures to protect third-party communications. For companies we acquire, the integration process includes plans for alignment with relevant information security policies and procedures and timelines for implementation.</w:t>
      </w:r>
    </w:p>
    <w:p>
      <w:pPr>
        <w:spacing w:after="0" w:line="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assess cybersecurity contingencies within our overall business continuity risk management planning process. Our Information Security team utilizes various tools to prevent, detect, monitor, and react to cybersecurity threats. Our Incident Response Playbook outlines processes, roles, responsibilities, engagements, escalations, notifications, and other communications applicable to the assessment, mitigation, and remediation of realized cybersecurity events. The nature and assessed risk of a realized cybersecurity event dictates the pace and extent of relevant processes, escalations, and communications, including an evaluation of any necessary or required disclosure. Roles and escalation paths range from within the Information Security team up to the Executive Committee, and the board of directors and its committees, as appropriate.</w:t>
      </w:r>
    </w:p>
    <w:p>
      <w:pPr>
        <w:spacing w:after="0" w:line="7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describe risks faced by us from identified cybersecurity threats in Item 1A, "Risk Factors—Risks Related to Our Operations—Failure, inadequacy, breach of, or unauthorized access to, our IT systems or those of our third-party service providers, unauthorized access to our confidential information, or violations of data protection laws, could each result in material harm to our business and reputation", "Risk Factors—Risks Related to Our Operations—Manufacturing, quality, or supply chain difficulties, disruptions, or shortages could lead to product supply problems", "Risk Factors—Risks Related to Our Operations—Reliance on third-party relationships and outsourcing arrangements could adversely affect our business", and "Risk Factors—Risks Related to Our Operations—Our use of artificial intelligence (AI) or other emerging technologies could adversely impact our business and financial results."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Governance</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Management, under the supervision of our Chief Information Security Officer (CISO), is directly responsible for assessing and managing cybersecurity risks and otherwise implementing our cybersecurity program, which includes our Incident Response Playbook. The CISO reports directly to our Chief Information and Digital Officer (CIDO), who is a member of our Executive Committee and leads our information technology, cybersecurity, digital health, and advanced analytics and data science functions. Our CIDO in turn regularly updates our Executive Committee on cybersecurity matters. Our CISO and CIDO have significant experience managing global cybersecurity threats across the pharmaceutical, technology, entertainment, and defense industries. In addition to providing regular updates to the CIDO and his staff, the CISO is a member of our Executive Information Security Governance function (EISG), which meets regularly and is composed of executive and senior leadership from a variety of functions, including information security, legal, finance, audit, and ethics and compliance to assess and manage cybersecurity developments and risks and our internal programs. Each of the CIDO, the CISO and the EISG may call upon business and legal stakeholders across our company to manage cybersecurity threats and incidents.</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of our board of directors is responsible for oversight of the company's programs, policies, procedures, and risk management activities related to information security and data protection. The audit committee meets regularly with our CIDO and CISO to discuss threats, risks, and ongoing efforts to enhance cyber resiliency, as well as changes to the broader cybersecurity landscape. In addition, the ethics and compliance committee supports the audit committee and board in oversight of legal and regulatory compliance. Our board of directors also regularly participates in presentations on cybersecurity and information technology. In addition to regular presentations, management promptly updates our board of directors regarding significant threats and incidents as they arise.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Properties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principal domestic and international executive offices are located in Indianapolis. We own several production, distribution, and corporate administrative sites in the United States (U.S.), including Puerto Rico. Major production sites include facilities in Indiana, North Carolina, Puerto Rico, and New Jersey. We own several production and distribution sites in Europe and Asia. Major production sites include facilities in Ireland, France, Spain, Italy, China, and Japan. Additional U.S. and international production facilities and expansions of production facilities are expected to come online in future periods.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U.S., our research and development facilities primarily consist of owned facilities located in Indiana and leased sites in California, Massachusetts, New York, and Colorado. Outside the U.S., we own a small research and development facility in Spain and lease a small site in Singapore.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Legal Proceedings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 - Note 16: Contingencies," and incorporated by reference herein.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8" w:name="page39"/>
    <w:bookmarkEnd w:id="38"/>
    <w:p>
      <w:pPr>
        <w:spacing w:after="0"/>
        <w:rPr>
          <w:sz w:val="20"/>
          <w:szCs w:val="20"/>
          <w:color w:val="auto"/>
        </w:rPr>
      </w:pPr>
      <w:r>
        <w:rPr>
          <w:rFonts w:ascii="Arial" w:cs="Arial" w:eastAsia="Arial" w:hAnsi="Arial"/>
          <w:sz w:val="29"/>
          <w:szCs w:val="29"/>
          <w:u w:val="single" w:color="auto"/>
          <w:color w:val="auto"/>
        </w:rPr>
        <w:t>Part II</w:t>
      </w:r>
    </w:p>
    <w:p>
      <w:pPr>
        <w:spacing w:after="0" w:line="2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Market for the Registrant's Common Equity, Related Stockholder Matters, and Issuer Purchases of Equity Securities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Information relating to the principal market for our common stock, dividends,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63"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As of February 14, 2025, there were approximately 17,903 holders of record of our common stock based on information provided by EQ Shareowner Services, our transfer agent. Our common stock is listed under the ticker symbol LLY on the New York Stock Exchange (NYSE).</w:t>
      </w:r>
    </w:p>
    <w:p>
      <w:pPr>
        <w:spacing w:after="0" w:line="2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Average Price Paid</w:t>
            </w:r>
          </w:p>
        </w:tc>
        <w:tc>
          <w:tcPr>
            <w:tcW w:w="2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w:t>
            </w:r>
          </w:p>
        </w:tc>
        <w:tc>
          <w:tcPr>
            <w:tcW w:w="2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9"/>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2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per Share</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October 2024</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877.48</w:t>
            </w:r>
          </w:p>
        </w:tc>
        <w:tc>
          <w:tcPr>
            <w:tcW w:w="2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717</w:t>
            </w:r>
          </w:p>
        </w:tc>
        <w:tc>
          <w:tcPr>
            <w:tcW w:w="27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$1,350.0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2024</w:t>
            </w:r>
          </w:p>
        </w:tc>
        <w:tc>
          <w:tcPr>
            <w:tcW w:w="1860" w:type="dxa"/>
            <w:vAlign w:val="bottom"/>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810.58</w:t>
            </w:r>
          </w:p>
        </w:tc>
        <w:tc>
          <w:tcPr>
            <w:tcW w:w="2560" w:type="dxa"/>
            <w:vAlign w:val="bottom"/>
          </w:tcPr>
          <w:p>
            <w:pPr>
              <w:jc w:val="right"/>
              <w:spacing w:after="0"/>
              <w:rPr>
                <w:sz w:val="20"/>
                <w:szCs w:val="20"/>
                <w:color w:val="auto"/>
              </w:rPr>
            </w:pPr>
            <w:r>
              <w:rPr>
                <w:rFonts w:ascii="Arial" w:cs="Arial" w:eastAsia="Arial" w:hAnsi="Arial"/>
                <w:sz w:val="18"/>
                <w:szCs w:val="18"/>
                <w:color w:val="auto"/>
              </w:rPr>
              <w:t>1,665</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2024</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7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15,000.0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830.70</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three months ended December 31, 2024, we repurchased the remaining $1.98 billion of shares under our $5.00 billion share repurchase program that our board authorized in May 2021. Our board authorized a $15.00 billion share repurchase program in December 2024. No shares were repurchased under this new program as of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PERFORMANCE GRAPH</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graph compares the return on Lilly stock with that of the Standard &amp; Poor's (S&amp;P) 500 Stock Index and our peer group for the years 2020 through 2024. The graph assumes that, on the last business day of 2019, a person invested $100 each in Lilly stock, the S&amp;P 500 Stock Index, and the peer group's collective common stock. The graph measures total shareholder return, which takes into account both stock price and dividends. It assumes that dividends paid by a company are immediately reinvested in that company's stock.</w:t>
      </w:r>
    </w:p>
    <w:p>
      <w:pPr>
        <w:spacing w:after="0" w:line="65"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Value of $100 Invested on Last Business Day of 2019 Comparison of Five-Year Cumulative Total Shareholder Return Among Lilly, S&amp;P 500 Stock Index, and Peer Group</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67945</wp:posOffset>
            </wp:positionV>
            <wp:extent cx="5340350" cy="3720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035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120" w:type="dxa"/>
        <w:tblCellMar>
          <w:top w:w="0" w:type="dxa"/>
          <w:left w:w="0" w:type="dxa"/>
          <w:bottom w:w="0" w:type="dxa"/>
          <w:right w:w="0" w:type="dxa"/>
        </w:tblCellMar>
      </w:tblPr>
      <w:tr>
        <w:trPr>
          <w:trHeight w:val="197"/>
        </w:trPr>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24"/>
        </w:trPr>
        <w:tc>
          <w:tcPr>
            <w:tcW w:w="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Dec-19</w:t>
            </w:r>
          </w:p>
        </w:tc>
        <w:tc>
          <w:tcPr>
            <w:tcW w:w="4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Dec-20</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131.06</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102.07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118.40</w:t>
            </w:r>
          </w:p>
        </w:tc>
      </w:tr>
      <w:tr>
        <w:trPr>
          <w:trHeight w:val="229"/>
        </w:trPr>
        <w:tc>
          <w:tcPr>
            <w:tcW w:w="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Dec-21</w:t>
            </w: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217.66</w:t>
            </w: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121.90</w:t>
            </w:r>
          </w:p>
        </w:tc>
        <w:tc>
          <w:tcPr>
            <w:tcW w:w="3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152.39</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Dec-22</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292.18</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133.61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124.79</w:t>
            </w:r>
          </w:p>
        </w:tc>
      </w:tr>
      <w:tr>
        <w:trPr>
          <w:trHeight w:val="230"/>
        </w:trPr>
        <w:tc>
          <w:tcPr>
            <w:tcW w:w="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Dec-23</w:t>
            </w: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470.13</w:t>
            </w: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132.57</w:t>
            </w:r>
          </w:p>
        </w:tc>
        <w:tc>
          <w:tcPr>
            <w:tcW w:w="3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157.59</w:t>
            </w:r>
          </w:p>
        </w:tc>
      </w:tr>
      <w:tr>
        <w:trPr>
          <w:trHeight w:val="239"/>
        </w:trPr>
        <w:tc>
          <w:tcPr>
            <w:tcW w:w="820" w:type="dxa"/>
            <w:vAlign w:val="bottom"/>
          </w:tcPr>
          <w:p>
            <w:pPr>
              <w:ind w:left="20"/>
              <w:spacing w:after="0"/>
              <w:rPr>
                <w:sz w:val="20"/>
                <w:szCs w:val="20"/>
                <w:color w:val="auto"/>
              </w:rPr>
            </w:pPr>
            <w:r>
              <w:rPr>
                <w:rFonts w:ascii="Arial" w:cs="Arial" w:eastAsia="Arial" w:hAnsi="Arial"/>
                <w:sz w:val="18"/>
                <w:szCs w:val="18"/>
                <w:color w:val="auto"/>
              </w:rPr>
              <w:t>Dec-24</w:t>
            </w:r>
          </w:p>
        </w:tc>
        <w:tc>
          <w:tcPr>
            <w:tcW w:w="4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626.69</w:t>
            </w:r>
          </w:p>
        </w:tc>
        <w:tc>
          <w:tcPr>
            <w:tcW w:w="3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132.19</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197.02</w:t>
            </w:r>
          </w:p>
        </w:tc>
      </w:tr>
    </w:tbl>
    <w:p>
      <w:pPr>
        <w:spacing w:after="0" w:line="86" w:lineRule="exact"/>
        <w:rPr>
          <w:sz w:val="20"/>
          <w:szCs w:val="20"/>
          <w:color w:val="auto"/>
        </w:rPr>
      </w:pPr>
    </w:p>
    <w:p>
      <w:pPr>
        <w:ind w:left="340" w:right="80" w:hanging="332"/>
        <w:spacing w:after="0" w:line="238" w:lineRule="auto"/>
        <w:tabs>
          <w:tab w:leader="none" w:pos="234" w:val="left"/>
        </w:tabs>
        <w:numPr>
          <w:ilvl w:val="0"/>
          <w:numId w:val="20"/>
        </w:numPr>
        <w:rPr>
          <w:rFonts w:ascii="Arial" w:cs="Arial" w:eastAsia="Arial" w:hAnsi="Arial"/>
          <w:sz w:val="19"/>
          <w:szCs w:val="19"/>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biotechnology industries: AbbVie Inc.; Amgen Inc.; AstraZeneca PLC; Biogen Inc.; Bristol-Myers Squibb Company; Gilead Sciences Inc.; GlaxoSmithKline plc; Johnson &amp; Johnson; Merck &amp; Co., Inc.; Novartis AG; Novo Nordisk A/S; Pfizer Inc.; Roche Holding AG; Sanofi S.A.; and Takeda Pharmaceutical Company Limited. The peer group used for performance benchmarking aligns with the peer group used for executive compensation purposes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0" w:name="page41"/>
    <w:bookmarkEnd w:id="40"/>
    <w:p>
      <w:pPr>
        <w:spacing w:after="0"/>
        <w:tabs>
          <w:tab w:leader="none" w:pos="100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Item 8, "Financial Statements and Supplementary Data." Certain statements in this Item 7 constitute forward-looking statements. Various risks and uncertainties, including those discussed in "Forward-Looking Statements" and Item 1A, "Risk Factors," may cause our actual results, financial position, and cash generated from operations to differ from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This section provides an overview of our financial results,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Pr>
          <w:p>
            <w:pPr>
              <w:spacing w:after="0"/>
              <w:rPr>
                <w:sz w:val="17"/>
                <w:szCs w:val="17"/>
                <w:color w:val="auto"/>
              </w:rPr>
            </w:pPr>
          </w:p>
        </w:tc>
      </w:tr>
      <w:tr>
        <w:trPr>
          <w:trHeight w:val="197"/>
        </w:trPr>
        <w:tc>
          <w:tcPr>
            <w:tcW w:w="6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45,042.7</w:t>
            </w:r>
          </w:p>
        </w:tc>
        <w:tc>
          <w:tcPr>
            <w:tcW w:w="5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34,124.1</w:t>
            </w:r>
          </w:p>
        </w:tc>
        <w:tc>
          <w:tcPr>
            <w:tcW w:w="130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9"/>
              </w:rPr>
              <w:t>32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b w:val="1"/>
                <w:bCs w:val="1"/>
                <w:color w:val="auto"/>
              </w:rPr>
              <w:t>10,590.0</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5,240.4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102</w:t>
            </w:r>
          </w:p>
        </w:tc>
      </w:tr>
      <w:tr>
        <w:trPr>
          <w:trHeight w:val="229"/>
        </w:trPr>
        <w:tc>
          <w:tcPr>
            <w:tcW w:w="6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per share - diluted</w:t>
            </w:r>
          </w:p>
        </w:tc>
        <w:tc>
          <w:tcPr>
            <w:tcW w:w="42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7"/>
              <w:spacing w:after="0"/>
              <w:rPr>
                <w:sz w:val="20"/>
                <w:szCs w:val="20"/>
                <w:color w:val="auto"/>
              </w:rPr>
            </w:pPr>
            <w:r>
              <w:rPr>
                <w:rFonts w:ascii="Arial" w:cs="Arial" w:eastAsia="Arial" w:hAnsi="Arial"/>
                <w:sz w:val="18"/>
                <w:szCs w:val="18"/>
                <w:b w:val="1"/>
                <w:bCs w:val="1"/>
                <w:color w:val="auto"/>
              </w:rPr>
              <w:t>11.71</w:t>
            </w:r>
          </w:p>
        </w:tc>
        <w:tc>
          <w:tcPr>
            <w:tcW w:w="5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5.80</w:t>
            </w:r>
          </w:p>
        </w:tc>
        <w:tc>
          <w:tcPr>
            <w:tcW w:w="1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102</w:t>
            </w:r>
          </w:p>
        </w:tc>
      </w:tr>
    </w:tbl>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Revenue increased in 2024 driven by increased volume and, to a lesser extent, higher realized prices. The increase in revenue in 2024 was primarily driven by Mounjaro, Zepbound, and Verzenio, partially offset by Trulicity.</w:t>
      </w:r>
    </w:p>
    <w:p>
      <w:pPr>
        <w:spacing w:after="0" w:line="4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Net income and earnings per share increased in 2024, primarily due to higher gross margin, partially offset by increased research and development expenses, marketing, selling, and administrative expenses, and asset impairment, restructuring, and other special charges.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Clinical Development Pipeline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medicines. We currently have approximately 55 new medicine candidates in clinical development or under regulatory review, and a larger number of projects in the discovery phase.</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select new molecular entities (NMEs) and new indication line extension (NILEX) products are currently in Phase 2 or Phase 3 clinical trials or have been submitted for regulatory review or have recently received regulatory approval in the United States (U.S.), European Union (EU), or Japan. The table reflects the status of these NMEs and NILEX products, including certain other developments, up to the time of the filing of this Annual Report on Form 10-K:</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920" w:type="dxa"/>
            <w:vAlign w:val="bottom"/>
            <w:tcBorders>
              <w:top w:val="single" w:sz="8" w:color="auto"/>
              <w:bottom w:val="single" w:sz="8" w:color="auto"/>
              <w:right w:val="single" w:sz="8" w:color="auto"/>
            </w:tcBorders>
            <w:shd w:val="clear" w:color="auto" w:fill="D4D4D4"/>
          </w:tcPr>
          <w:p>
            <w:pPr>
              <w:spacing w:after="0"/>
              <w:rPr>
                <w:sz w:val="20"/>
                <w:szCs w:val="20"/>
                <w:color w:val="auto"/>
              </w:rPr>
            </w:pPr>
            <w:r>
              <w:rPr>
                <w:rFonts w:ascii="Arial" w:cs="Arial" w:eastAsia="Arial" w:hAnsi="Arial"/>
                <w:sz w:val="18"/>
                <w:szCs w:val="18"/>
                <w:b w:val="1"/>
                <w:bCs w:val="1"/>
                <w:color w:val="auto"/>
              </w:rPr>
              <w:t>Indication/Study</w:t>
            </w:r>
          </w:p>
        </w:tc>
        <w:tc>
          <w:tcPr>
            <w:tcW w:w="1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3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Cardiometabolic Health</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and the EU in 2023 and in Japan</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2024. Phase 3 trials are ongoing.</w:t>
            </w: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4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Obstructive sleep apnea (OSA)</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and the EU in 2024.</w:t>
            </w:r>
          </w:p>
        </w:tc>
        <w:tc>
          <w:tcPr>
            <w:tcW w:w="0" w:type="dxa"/>
            <w:vAlign w:val="bottom"/>
          </w:tcPr>
          <w:p>
            <w:pPr>
              <w:spacing w:after="0"/>
              <w:rPr>
                <w:sz w:val="1"/>
                <w:szCs w:val="1"/>
                <w:color w:val="auto"/>
              </w:rPr>
            </w:pPr>
          </w:p>
        </w:tc>
      </w:tr>
      <w:tr>
        <w:trPr>
          <w:trHeight w:val="198"/>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 (Mounjaro,</w:t>
            </w:r>
          </w:p>
        </w:tc>
        <w:tc>
          <w:tcPr>
            <w:tcW w:w="292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continue"/>
          </w:tcPr>
          <w:p>
            <w:pPr>
              <w:spacing w:after="0"/>
              <w:rPr>
                <w:sz w:val="14"/>
                <w:szCs w:val="14"/>
                <w:color w:val="auto"/>
              </w:rPr>
            </w:pPr>
          </w:p>
        </w:tc>
        <w:tc>
          <w:tcPr>
            <w:tcW w:w="2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Heart failure with preserved ejection</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 in the U.S. and the EU in 2024.</w:t>
            </w:r>
          </w:p>
        </w:tc>
        <w:tc>
          <w:tcPr>
            <w:tcW w:w="0" w:type="dxa"/>
            <w:vAlign w:val="bottom"/>
          </w:tcPr>
          <w:p>
            <w:pPr>
              <w:spacing w:after="0"/>
              <w:rPr>
                <w:sz w:val="1"/>
                <w:szCs w:val="1"/>
                <w:color w:val="auto"/>
              </w:rPr>
            </w:pPr>
          </w:p>
        </w:tc>
      </w:tr>
      <w:tr>
        <w:trPr>
          <w:trHeight w:val="241"/>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Zepbound)</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fraction</w:t>
            </w: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4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outcomes in type 2</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920" w:type="dxa"/>
            <w:vAlign w:val="bottom"/>
            <w:tcBorders>
              <w:bottom w:val="single" w:sz="8" w:color="auto"/>
              <w:right w:val="single" w:sz="8" w:color="auto"/>
            </w:tcBorders>
          </w:tcPr>
          <w:p>
            <w:pPr>
              <w:spacing w:after="0" w:line="149" w:lineRule="exact"/>
              <w:rPr>
                <w:sz w:val="20"/>
                <w:szCs w:val="20"/>
                <w:color w:val="auto"/>
              </w:rPr>
            </w:pPr>
            <w:r>
              <w:rPr>
                <w:rFonts w:ascii="Arial" w:cs="Arial" w:eastAsia="Arial" w:hAnsi="Arial"/>
                <w:sz w:val="17"/>
                <w:szCs w:val="17"/>
                <w:color w:val="auto"/>
              </w:rPr>
              <w:t>diabetes</w:t>
            </w:r>
          </w:p>
        </w:tc>
        <w:tc>
          <w:tcPr>
            <w:tcW w:w="1520" w:type="dxa"/>
            <w:vAlign w:val="bottom"/>
            <w:tcBorders>
              <w:bottom w:val="single" w:sz="8" w:color="auto"/>
              <w:right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Morbidity and mortality in obesity</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Higher doses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174"/>
        </w:trPr>
        <w:tc>
          <w:tcPr>
            <w:tcW w:w="2440" w:type="dxa"/>
            <w:vAlign w:val="bottom"/>
            <w:tcBorders>
              <w:left w:val="single" w:sz="8" w:color="auto"/>
              <w:right w:val="single" w:sz="8" w:color="auto"/>
            </w:tcBorders>
          </w:tcPr>
          <w:p>
            <w:pPr>
              <w:spacing w:after="0"/>
              <w:rPr>
                <w:sz w:val="15"/>
                <w:szCs w:val="15"/>
                <w:color w:val="auto"/>
              </w:rPr>
            </w:pPr>
          </w:p>
        </w:tc>
        <w:tc>
          <w:tcPr>
            <w:tcW w:w="292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Metabolic dysfunction-associated</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line="174" w:lineRule="exact"/>
              <w:rPr>
                <w:sz w:val="20"/>
                <w:szCs w:val="20"/>
                <w:color w:val="auto"/>
              </w:rPr>
            </w:pPr>
            <w:r>
              <w:rPr>
                <w:rFonts w:ascii="Arial" w:cs="Arial" w:eastAsia="Arial" w:hAnsi="Arial"/>
                <w:sz w:val="18"/>
                <w:szCs w:val="18"/>
                <w:color w:val="auto"/>
              </w:rPr>
              <w:t>Announced in 2024 that a Phase 2 trial met the</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steatohepatitis</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primary endpoint.</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Insulin Efsitora Alfa</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1 and type 2 diabetes</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Announced in 2024 that five Phase 3 trials met the</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primary endpoints.</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Lepodisiran</w:t>
            </w:r>
          </w:p>
        </w:tc>
        <w:tc>
          <w:tcPr>
            <w:tcW w:w="292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Atherosclerotic cardiovascular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disease</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440" w:type="dxa"/>
            <w:vAlign w:val="bottom"/>
            <w:tcBorders>
              <w:left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252"/>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Orforglipron</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OSA</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250"/>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326"/>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Cardiovascular / renal outcomes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91"/>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Retatrutide</w:t>
            </w: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440" w:type="dxa"/>
            <w:vAlign w:val="bottom"/>
            <w:tcBorders>
              <w:left w:val="single" w:sz="8" w:color="auto"/>
              <w:right w:val="single" w:sz="8" w:color="auto"/>
            </w:tcBorders>
            <w:vMerge w:val="continue"/>
          </w:tcPr>
          <w:p>
            <w:pPr>
              <w:spacing w:after="0"/>
              <w:rPr>
                <w:sz w:val="20"/>
                <w:szCs w:val="20"/>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Obesity, osteoarthritis, OSA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81"/>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2 diabetes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initiated in 2024.</w:t>
            </w:r>
          </w:p>
        </w:tc>
        <w:tc>
          <w:tcPr>
            <w:tcW w:w="0" w:type="dxa"/>
            <w:vAlign w:val="bottom"/>
          </w:tcPr>
          <w:p>
            <w:pPr>
              <w:spacing w:after="0"/>
              <w:rPr>
                <w:sz w:val="1"/>
                <w:szCs w:val="1"/>
                <w:color w:val="auto"/>
              </w:rPr>
            </w:pPr>
          </w:p>
        </w:tc>
      </w:tr>
      <w:tr>
        <w:trPr>
          <w:trHeight w:val="22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Bimagrumab</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Eloralintide</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GLP-1R NPA II</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Mazdutide</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Muvalaplin</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Cardiovascular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Announced in 2024 that a Phase 2 trial met the</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primary and secondary endpoints.</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Solbinsiran</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Cardiovascular disease</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Volenrelaxin</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Heart failure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Discontinued</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In 2025, Phase 2 trial was discontinued based on</w:t>
            </w:r>
          </w:p>
        </w:tc>
        <w:tc>
          <w:tcPr>
            <w:tcW w:w="0" w:type="dxa"/>
            <w:vAlign w:val="bottom"/>
          </w:tcPr>
          <w:p>
            <w:pPr>
              <w:spacing w:after="0"/>
              <w:rPr>
                <w:sz w:val="1"/>
                <w:szCs w:val="1"/>
                <w:color w:val="auto"/>
              </w:rPr>
            </w:pPr>
          </w:p>
        </w:tc>
      </w:tr>
      <w:tr>
        <w:trPr>
          <w:trHeight w:val="152"/>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clinical data readout.</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1"/>
        </w:trPr>
        <w:tc>
          <w:tcPr>
            <w:tcW w:w="2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42</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920" w:type="dxa"/>
            <w:vAlign w:val="bottom"/>
            <w:tcBorders>
              <w:top w:val="single" w:sz="8" w:color="auto"/>
              <w:bottom w:val="single" w:sz="8" w:color="auto"/>
              <w:right w:val="single" w:sz="8" w:color="auto"/>
            </w:tcBorders>
            <w:shd w:val="clear" w:color="auto" w:fill="D4D4D4"/>
          </w:tcPr>
          <w:p>
            <w:pPr>
              <w:spacing w:after="0"/>
              <w:rPr>
                <w:sz w:val="20"/>
                <w:szCs w:val="20"/>
                <w:color w:val="auto"/>
              </w:rPr>
            </w:pPr>
            <w:r>
              <w:rPr>
                <w:rFonts w:ascii="Arial" w:cs="Arial" w:eastAsia="Arial" w:hAnsi="Arial"/>
                <w:sz w:val="18"/>
                <w:szCs w:val="18"/>
                <w:b w:val="1"/>
                <w:bCs w:val="1"/>
                <w:color w:val="auto"/>
              </w:rPr>
              <w:t>Indication/Study</w:t>
            </w:r>
          </w:p>
        </w:tc>
        <w:tc>
          <w:tcPr>
            <w:tcW w:w="1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3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 (Omvoh)</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Crohn's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Approved in the U.S. and the EU in 2025. Submitted</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 Japan in 2024.</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(1)</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AR (perennial allergens)</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36"/>
        </w:trPr>
        <w:tc>
          <w:tcPr>
            <w:tcW w:w="2440" w:type="dxa"/>
            <w:vAlign w:val="bottom"/>
            <w:tcBorders>
              <w:left w:val="single" w:sz="8" w:color="auto"/>
              <w:right w:val="single" w:sz="8" w:color="auto"/>
            </w:tcBorders>
            <w:vMerge w:val="continue"/>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440" w:type="dxa"/>
            <w:vAlign w:val="bottom"/>
            <w:tcBorders>
              <w:left w:val="single" w:sz="8" w:color="auto"/>
              <w:right w:val="single" w:sz="8" w:color="auto"/>
            </w:tcBorders>
            <w:vMerge w:val="continue"/>
          </w:tcPr>
          <w:p>
            <w:pPr>
              <w:spacing w:after="0"/>
              <w:rPr>
                <w:sz w:val="15"/>
                <w:szCs w:val="15"/>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CRSwNP</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r>
        <w:trPr>
          <w:trHeight w:val="79"/>
        </w:trPr>
        <w:tc>
          <w:tcPr>
            <w:tcW w:w="2440" w:type="dxa"/>
            <w:vAlign w:val="bottom"/>
            <w:tcBorders>
              <w:left w:val="single" w:sz="8" w:color="auto"/>
              <w:right w:val="single" w:sz="8" w:color="auto"/>
            </w:tcBorders>
          </w:tcPr>
          <w:p>
            <w:pPr>
              <w:spacing w:after="0"/>
              <w:rPr>
                <w:sz w:val="6"/>
                <w:szCs w:val="6"/>
                <w:color w:val="auto"/>
              </w:rPr>
            </w:pPr>
          </w:p>
        </w:tc>
        <w:tc>
          <w:tcPr>
            <w:tcW w:w="29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CD19 Antibody</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sclerosis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5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Eltrekibart</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Hidradenitis suppurativa</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37"/>
        </w:trPr>
        <w:tc>
          <w:tcPr>
            <w:tcW w:w="2440" w:type="dxa"/>
            <w:vAlign w:val="bottom"/>
            <w:tcBorders>
              <w:left w:val="single" w:sz="8" w:color="auto"/>
              <w:right w:val="single" w:sz="8" w:color="auto"/>
            </w:tcBorders>
            <w:vMerge w:val="continue"/>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Ulcerative colitis</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292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4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KV1.3 Antagonist</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Psoriasis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95"/>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MORF-057</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Acquired in the acquisition of Morphic Holding, Inc.</w:t>
            </w:r>
          </w:p>
        </w:tc>
        <w:tc>
          <w:tcPr>
            <w:tcW w:w="0" w:type="dxa"/>
            <w:vAlign w:val="bottom"/>
          </w:tcPr>
          <w:p>
            <w:pPr>
              <w:spacing w:after="0"/>
              <w:rPr>
                <w:sz w:val="1"/>
                <w:szCs w:val="1"/>
                <w:color w:val="auto"/>
              </w:rPr>
            </w:pPr>
          </w:p>
        </w:tc>
      </w:tr>
      <w:tr>
        <w:trPr>
          <w:trHeight w:val="54"/>
        </w:trPr>
        <w:tc>
          <w:tcPr>
            <w:tcW w:w="2440" w:type="dxa"/>
            <w:vAlign w:val="bottom"/>
            <w:tcBorders>
              <w:left w:val="single" w:sz="8" w:color="auto"/>
              <w:right w:val="single" w:sz="8" w:color="auto"/>
            </w:tcBorders>
            <w:vMerge w:val="continue"/>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(Morphic) in 2024. Phase 2 trials are ongoing.</w:t>
            </w:r>
          </w:p>
        </w:tc>
        <w:tc>
          <w:tcPr>
            <w:tcW w:w="0" w:type="dxa"/>
            <w:vAlign w:val="bottom"/>
          </w:tcPr>
          <w:p>
            <w:pPr>
              <w:spacing w:after="0"/>
              <w:rPr>
                <w:sz w:val="1"/>
                <w:szCs w:val="1"/>
                <w:color w:val="auto"/>
              </w:rPr>
            </w:pPr>
          </w:p>
        </w:tc>
      </w:tr>
      <w:tr>
        <w:trPr>
          <w:trHeight w:val="79"/>
        </w:trPr>
        <w:tc>
          <w:tcPr>
            <w:tcW w:w="2440" w:type="dxa"/>
            <w:vAlign w:val="bottom"/>
            <w:tcBorders>
              <w:left w:val="single" w:sz="8" w:color="auto"/>
              <w:right w:val="single" w:sz="8" w:color="auto"/>
            </w:tcBorders>
            <w:vMerge w:val="continue"/>
          </w:tcPr>
          <w:p>
            <w:pPr>
              <w:spacing w:after="0"/>
              <w:rPr>
                <w:sz w:val="6"/>
                <w:szCs w:val="6"/>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Ulcerative colitis</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440" w:type="dxa"/>
            <w:vAlign w:val="bottom"/>
            <w:tcBorders>
              <w:left w:val="single" w:sz="8" w:color="auto"/>
              <w:right w:val="single" w:sz="8" w:color="auto"/>
            </w:tcBorders>
          </w:tcPr>
          <w:p>
            <w:pPr>
              <w:spacing w:after="0"/>
              <w:rPr>
                <w:sz w:val="7"/>
                <w:szCs w:val="7"/>
                <w:color w:val="auto"/>
              </w:rPr>
            </w:pPr>
          </w:p>
        </w:tc>
        <w:tc>
          <w:tcPr>
            <w:tcW w:w="2920" w:type="dxa"/>
            <w:vAlign w:val="bottom"/>
            <w:tcBorders>
              <w:right w:val="single" w:sz="8" w:color="auto"/>
            </w:tcBorders>
            <w:vMerge w:val="continue"/>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4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Ocadusertib</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Rheumatoid arthritis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22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Simepdekinra (DC-853)</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Psoriasis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04"/>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Ucenprubart</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Atopic dermatitis</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Discontinued</w:t>
            </w:r>
          </w:p>
        </w:tc>
        <w:tc>
          <w:tcPr>
            <w:tcW w:w="4380" w:type="dxa"/>
            <w:vAlign w:val="bottom"/>
            <w:tcBorders>
              <w:right w:val="single" w:sz="8" w:color="auto"/>
            </w:tcBorders>
          </w:tcPr>
          <w:p>
            <w:pPr>
              <w:spacing w:after="0" w:line="204" w:lineRule="exact"/>
              <w:rPr>
                <w:sz w:val="20"/>
                <w:szCs w:val="20"/>
                <w:color w:val="auto"/>
              </w:rPr>
            </w:pPr>
            <w:r>
              <w:rPr>
                <w:rFonts w:ascii="Arial" w:cs="Arial" w:eastAsia="Arial" w:hAnsi="Arial"/>
                <w:sz w:val="18"/>
                <w:szCs w:val="18"/>
                <w:color w:val="auto"/>
              </w:rPr>
              <w:t>In 2024, Phase 2 trial was discontinued based on</w:t>
            </w:r>
          </w:p>
        </w:tc>
        <w:tc>
          <w:tcPr>
            <w:tcW w:w="0" w:type="dxa"/>
            <w:vAlign w:val="bottom"/>
          </w:tcPr>
          <w:p>
            <w:pPr>
              <w:spacing w:after="0"/>
              <w:rPr>
                <w:sz w:val="1"/>
                <w:szCs w:val="1"/>
                <w:color w:val="auto"/>
              </w:rPr>
            </w:pPr>
          </w:p>
        </w:tc>
      </w:tr>
      <w:tr>
        <w:trPr>
          <w:trHeight w:val="144"/>
        </w:trPr>
        <w:tc>
          <w:tcPr>
            <w:tcW w:w="2440" w:type="dxa"/>
            <w:vAlign w:val="bottom"/>
            <w:tcBorders>
              <w:left w:val="single" w:sz="8" w:color="auto"/>
              <w:right w:val="single" w:sz="8" w:color="auto"/>
            </w:tcBorders>
            <w:vMerge w:val="continue"/>
          </w:tcPr>
          <w:p>
            <w:pPr>
              <w:spacing w:after="0"/>
              <w:rPr>
                <w:sz w:val="12"/>
                <w:szCs w:val="12"/>
                <w:color w:val="auto"/>
              </w:rPr>
            </w:pPr>
          </w:p>
        </w:tc>
        <w:tc>
          <w:tcPr>
            <w:tcW w:w="292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clinical data readout.</w:t>
            </w:r>
          </w:p>
        </w:tc>
        <w:tc>
          <w:tcPr>
            <w:tcW w:w="0" w:type="dxa"/>
            <w:vAlign w:val="bottom"/>
          </w:tcPr>
          <w:p>
            <w:pPr>
              <w:spacing w:after="0"/>
              <w:rPr>
                <w:sz w:val="1"/>
                <w:szCs w:val="1"/>
                <w:color w:val="auto"/>
              </w:rPr>
            </w:pPr>
          </w:p>
        </w:tc>
      </w:tr>
      <w:tr>
        <w:trPr>
          <w:trHeight w:val="95"/>
        </w:trPr>
        <w:tc>
          <w:tcPr>
            <w:tcW w:w="2440" w:type="dxa"/>
            <w:vAlign w:val="bottom"/>
            <w:tcBorders>
              <w:left w:val="single" w:sz="8" w:color="auto"/>
              <w:right w:val="single" w:sz="8" w:color="auto"/>
            </w:tcBorders>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4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4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right w:val="single" w:sz="8" w:color="auto"/>
            </w:tcBorders>
          </w:tcPr>
          <w:p>
            <w:pPr>
              <w:spacing w:after="0"/>
              <w:rPr>
                <w:sz w:val="22"/>
                <w:szCs w:val="22"/>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Early Alzheimer's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 in the U.S. and Japan in 2024. Submitted in</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Donanemab (Kisunla)</w:t>
            </w: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 EU in 2023. Phase 3 trials are ongoing.</w:t>
            </w: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vMerge w:val="continue"/>
          </w:tcPr>
          <w:p>
            <w:pPr>
              <w:spacing w:after="0"/>
              <w:rPr>
                <w:sz w:val="7"/>
                <w:szCs w:val="7"/>
                <w:color w:val="auto"/>
              </w:rPr>
            </w:pPr>
          </w:p>
        </w:tc>
        <w:tc>
          <w:tcPr>
            <w:tcW w:w="29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Pre-clinical Alzheimer's disease</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91"/>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Remternetug</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Early Alzheimer's disease</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are ongoing.</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Epiregulin Ab</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68"/>
        </w:trPr>
        <w:tc>
          <w:tcPr>
            <w:tcW w:w="2440" w:type="dxa"/>
            <w:vAlign w:val="bottom"/>
            <w:tcBorders>
              <w:left w:val="single" w:sz="8" w:color="auto"/>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Gaucher disease Type 1</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 trial is ongoing.</w:t>
            </w:r>
          </w:p>
        </w:tc>
        <w:tc>
          <w:tcPr>
            <w:tcW w:w="0" w:type="dxa"/>
            <w:vAlign w:val="bottom"/>
          </w:tcPr>
          <w:p>
            <w:pPr>
              <w:spacing w:after="0"/>
              <w:rPr>
                <w:sz w:val="1"/>
                <w:szCs w:val="1"/>
                <w:color w:val="auto"/>
              </w:rPr>
            </w:pPr>
          </w:p>
        </w:tc>
      </w:tr>
      <w:tr>
        <w:trPr>
          <w:trHeight w:val="37"/>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GBA1 Gene Therapy</w:t>
            </w: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40" w:type="dxa"/>
            <w:vAlign w:val="bottom"/>
            <w:tcBorders>
              <w:left w:val="single" w:sz="8" w:color="auto"/>
              <w:right w:val="single" w:sz="8" w:color="auto"/>
            </w:tcBorders>
            <w:vMerge w:val="continue"/>
          </w:tcPr>
          <w:p>
            <w:pPr>
              <w:spacing w:after="0"/>
              <w:rPr>
                <w:sz w:val="22"/>
                <w:szCs w:val="22"/>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Parkinson's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Granted U.S. Food and Drug Administration (FDA)</w:t>
            </w:r>
          </w:p>
        </w:tc>
        <w:tc>
          <w:tcPr>
            <w:tcW w:w="0" w:type="dxa"/>
            <w:vAlign w:val="bottom"/>
          </w:tcPr>
          <w:p>
            <w:pPr>
              <w:spacing w:after="0"/>
              <w:rPr>
                <w:sz w:val="1"/>
                <w:szCs w:val="1"/>
                <w:color w:val="auto"/>
              </w:rPr>
            </w:pPr>
          </w:p>
        </w:tc>
      </w:tr>
      <w:tr>
        <w:trPr>
          <w:trHeight w:val="316"/>
        </w:trPr>
        <w:tc>
          <w:tcPr>
            <w:tcW w:w="2440" w:type="dxa"/>
            <w:vAlign w:val="bottom"/>
            <w:tcBorders>
              <w:left w:val="single" w:sz="8" w:color="auto"/>
              <w:right w:val="single" w:sz="8" w:color="auto"/>
            </w:tcBorders>
          </w:tcPr>
          <w:p>
            <w:pPr>
              <w:spacing w:after="0"/>
              <w:rPr>
                <w:sz w:val="24"/>
                <w:szCs w:val="24"/>
                <w:color w:val="auto"/>
              </w:rPr>
            </w:pPr>
          </w:p>
        </w:tc>
        <w:tc>
          <w:tcPr>
            <w:tcW w:w="2920" w:type="dxa"/>
            <w:vAlign w:val="bottom"/>
            <w:tcBorders>
              <w:right w:val="single" w:sz="8" w:color="auto"/>
            </w:tcBorders>
            <w:vMerge w:val="continue"/>
          </w:tcPr>
          <w:p>
            <w:pPr>
              <w:spacing w:after="0"/>
              <w:rPr>
                <w:sz w:val="24"/>
                <w:szCs w:val="24"/>
                <w:color w:val="auto"/>
              </w:rPr>
            </w:pPr>
          </w:p>
        </w:tc>
        <w:tc>
          <w:tcPr>
            <w:tcW w:w="1520" w:type="dxa"/>
            <w:vAlign w:val="bottom"/>
            <w:tcBorders>
              <w:right w:val="single" w:sz="8" w:color="auto"/>
            </w:tcBorders>
            <w:vMerge w:val="continue"/>
          </w:tcPr>
          <w:p>
            <w:pPr>
              <w:spacing w:after="0"/>
              <w:rPr>
                <w:sz w:val="24"/>
                <w:szCs w:val="24"/>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2 trial is ongoing.</w:t>
            </w:r>
          </w:p>
        </w:tc>
        <w:tc>
          <w:tcPr>
            <w:tcW w:w="0" w:type="dxa"/>
            <w:vAlign w:val="bottom"/>
          </w:tcPr>
          <w:p>
            <w:pPr>
              <w:spacing w:after="0"/>
              <w:rPr>
                <w:sz w:val="1"/>
                <w:szCs w:val="1"/>
                <w:color w:val="auto"/>
              </w:rPr>
            </w:pPr>
          </w:p>
        </w:tc>
      </w:tr>
      <w:tr>
        <w:trPr>
          <w:trHeight w:val="35"/>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GRN Gene Therapy</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Frontotemporal dementia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5"/>
                <w:szCs w:val="15"/>
                <w:color w:val="auto"/>
              </w:rPr>
              <w:t>Granted FDA Fast Track designation</w:t>
            </w:r>
            <w:r>
              <w:rPr>
                <w:rFonts w:ascii="Arial" w:cs="Arial" w:eastAsia="Arial" w:hAnsi="Arial"/>
                <w:sz w:val="19"/>
                <w:szCs w:val="19"/>
                <w:color w:val="auto"/>
                <w:vertAlign w:val="superscript"/>
              </w:rPr>
              <w:t>(2)</w:t>
            </w:r>
            <w:r>
              <w:rPr>
                <w:rFonts w:ascii="Arial" w:cs="Arial" w:eastAsia="Arial" w:hAnsi="Arial"/>
                <w:sz w:val="15"/>
                <w:szCs w:val="15"/>
                <w:color w:val="auto"/>
              </w:rPr>
              <w:t>. Phase 2 trial</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Mazisotine</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trials are ongoing.</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OTOF Gene Therapy</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Hearing loss</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initiated in 2024.</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P2X7 Inhibitor</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Pain</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2</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trials were completed in 2023.</w:t>
            </w: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O-GlcNAcase Inh</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Alzheimer's disease</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Discontinued</w:t>
            </w:r>
          </w:p>
        </w:tc>
        <w:tc>
          <w:tcPr>
            <w:tcW w:w="43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In 2024, Phase 2 trial was discontinued based on</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continue"/>
          </w:tcPr>
          <w:p>
            <w:pPr>
              <w:spacing w:after="0"/>
              <w:rPr>
                <w:sz w:val="13"/>
                <w:szCs w:val="13"/>
                <w:color w:val="auto"/>
              </w:rPr>
            </w:pPr>
          </w:p>
        </w:tc>
        <w:tc>
          <w:tcPr>
            <w:tcW w:w="2920" w:type="dxa"/>
            <w:vAlign w:val="bottom"/>
            <w:tcBorders>
              <w:right w:val="single" w:sz="8" w:color="auto"/>
            </w:tcBorders>
            <w:vMerge w:val="continue"/>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clinical data readout.</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4"/>
        </w:trPr>
        <w:tc>
          <w:tcPr>
            <w:tcW w:w="2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43</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920" w:type="dxa"/>
            <w:vAlign w:val="bottom"/>
            <w:tcBorders>
              <w:top w:val="single" w:sz="8" w:color="auto"/>
              <w:bottom w:val="single" w:sz="8" w:color="auto"/>
              <w:right w:val="single" w:sz="8" w:color="auto"/>
            </w:tcBorders>
            <w:shd w:val="clear" w:color="auto" w:fill="D4D4D4"/>
          </w:tcPr>
          <w:p>
            <w:pPr>
              <w:spacing w:after="0"/>
              <w:rPr>
                <w:sz w:val="20"/>
                <w:szCs w:val="20"/>
                <w:color w:val="auto"/>
              </w:rPr>
            </w:pPr>
            <w:r>
              <w:rPr>
                <w:rFonts w:ascii="Arial" w:cs="Arial" w:eastAsia="Arial" w:hAnsi="Arial"/>
                <w:sz w:val="18"/>
                <w:szCs w:val="18"/>
                <w:b w:val="1"/>
                <w:bCs w:val="1"/>
                <w:color w:val="auto"/>
              </w:rPr>
              <w:t>Indication/Study</w:t>
            </w:r>
          </w:p>
        </w:tc>
        <w:tc>
          <w:tcPr>
            <w:tcW w:w="1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Status</w:t>
            </w:r>
          </w:p>
        </w:tc>
        <w:tc>
          <w:tcPr>
            <w:tcW w:w="43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40" w:type="dxa"/>
            <w:vAlign w:val="bottom"/>
            <w:tcBorders>
              <w:left w:val="single" w:sz="8" w:color="auto"/>
              <w:right w:val="single" w:sz="8" w:color="auto"/>
            </w:tcBorders>
          </w:tcPr>
          <w:p>
            <w:pPr>
              <w:spacing w:after="0"/>
              <w:rPr>
                <w:sz w:val="22"/>
                <w:szCs w:val="22"/>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Chronic lymphocytic leukemia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(3)</w:t>
            </w: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in the U.S. in</w:t>
            </w:r>
          </w:p>
        </w:tc>
        <w:tc>
          <w:tcPr>
            <w:tcW w:w="0" w:type="dxa"/>
            <w:vAlign w:val="bottom"/>
          </w:tcPr>
          <w:p>
            <w:pPr>
              <w:spacing w:after="0"/>
              <w:rPr>
                <w:sz w:val="1"/>
                <w:szCs w:val="1"/>
                <w:color w:val="auto"/>
              </w:rPr>
            </w:pPr>
          </w:p>
        </w:tc>
      </w:tr>
      <w:tr>
        <w:trPr>
          <w:trHeight w:val="189"/>
        </w:trPr>
        <w:tc>
          <w:tcPr>
            <w:tcW w:w="244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438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2023. Submitted in the EU and Japan in 2024. Phase</w:t>
            </w:r>
          </w:p>
        </w:tc>
        <w:tc>
          <w:tcPr>
            <w:tcW w:w="0" w:type="dxa"/>
            <w:vAlign w:val="bottom"/>
          </w:tcPr>
          <w:p>
            <w:pPr>
              <w:spacing w:after="0"/>
              <w:rPr>
                <w:sz w:val="1"/>
                <w:szCs w:val="1"/>
                <w:color w:val="auto"/>
              </w:rPr>
            </w:pPr>
          </w:p>
        </w:tc>
      </w:tr>
      <w:tr>
        <w:trPr>
          <w:trHeight w:val="239"/>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w:t>
            </w:r>
          </w:p>
        </w:tc>
        <w:tc>
          <w:tcPr>
            <w:tcW w:w="29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trials are ongoing.</w:t>
            </w:r>
          </w:p>
        </w:tc>
        <w:tc>
          <w:tcPr>
            <w:tcW w:w="0" w:type="dxa"/>
            <w:vAlign w:val="bottom"/>
          </w:tcPr>
          <w:p>
            <w:pPr>
              <w:spacing w:after="0"/>
              <w:rPr>
                <w:sz w:val="1"/>
                <w:szCs w:val="1"/>
                <w:color w:val="auto"/>
              </w:rPr>
            </w:pPr>
          </w:p>
        </w:tc>
      </w:tr>
      <w:tr>
        <w:trPr>
          <w:trHeight w:val="72"/>
        </w:trPr>
        <w:tc>
          <w:tcPr>
            <w:tcW w:w="2440" w:type="dxa"/>
            <w:vAlign w:val="bottom"/>
            <w:tcBorders>
              <w:left w:val="single" w:sz="8" w:color="auto"/>
              <w:right w:val="single" w:sz="8" w:color="auto"/>
            </w:tcBorders>
            <w:vMerge w:val="continue"/>
          </w:tcPr>
          <w:p>
            <w:pPr>
              <w:spacing w:after="0"/>
              <w:rPr>
                <w:sz w:val="6"/>
                <w:szCs w:val="6"/>
                <w:color w:val="auto"/>
              </w:rPr>
            </w:pPr>
          </w:p>
        </w:tc>
        <w:tc>
          <w:tcPr>
            <w:tcW w:w="2920" w:type="dxa"/>
            <w:vAlign w:val="bottom"/>
            <w:tcBorders>
              <w:right w:val="single" w:sz="8" w:color="auto"/>
            </w:tcBorders>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(Jaypirca)</w:t>
            </w:r>
          </w:p>
        </w:tc>
        <w:tc>
          <w:tcPr>
            <w:tcW w:w="29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40" w:type="dxa"/>
            <w:vAlign w:val="bottom"/>
            <w:tcBorders>
              <w:left w:val="single" w:sz="8" w:color="auto"/>
              <w:right w:val="single" w:sz="8" w:color="auto"/>
            </w:tcBorders>
            <w:vMerge w:val="continue"/>
          </w:tcPr>
          <w:p>
            <w:pPr>
              <w:spacing w:after="0"/>
              <w:rPr>
                <w:sz w:val="16"/>
                <w:szCs w:val="16"/>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Mantle cell lymphoma</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FDA granted accelerated approval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in the U.S. in</w:t>
            </w:r>
          </w:p>
        </w:tc>
        <w:tc>
          <w:tcPr>
            <w:tcW w:w="0" w:type="dxa"/>
            <w:vAlign w:val="bottom"/>
          </w:tcPr>
          <w:p>
            <w:pPr>
              <w:spacing w:after="0"/>
              <w:rPr>
                <w:sz w:val="1"/>
                <w:szCs w:val="1"/>
                <w:color w:val="auto"/>
              </w:rPr>
            </w:pPr>
          </w:p>
        </w:tc>
      </w:tr>
      <w:tr>
        <w:trPr>
          <w:trHeight w:val="72"/>
        </w:trPr>
        <w:tc>
          <w:tcPr>
            <w:tcW w:w="2440" w:type="dxa"/>
            <w:vAlign w:val="bottom"/>
            <w:tcBorders>
              <w:left w:val="single" w:sz="8" w:color="auto"/>
              <w:right w:val="single" w:sz="8" w:color="auto"/>
            </w:tcBorders>
          </w:tcPr>
          <w:p>
            <w:pPr>
              <w:spacing w:after="0"/>
              <w:rPr>
                <w:sz w:val="6"/>
                <w:szCs w:val="6"/>
                <w:color w:val="auto"/>
              </w:rPr>
            </w:pPr>
          </w:p>
        </w:tc>
        <w:tc>
          <w:tcPr>
            <w:tcW w:w="2920" w:type="dxa"/>
            <w:vAlign w:val="bottom"/>
            <w:tcBorders>
              <w:right w:val="single" w:sz="8" w:color="auto"/>
            </w:tcBorders>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4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438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2023. Approved in the EU in 2023 and in Japan in</w:t>
            </w:r>
          </w:p>
        </w:tc>
        <w:tc>
          <w:tcPr>
            <w:tcW w:w="0" w:type="dxa"/>
            <w:vAlign w:val="bottom"/>
          </w:tcPr>
          <w:p>
            <w:pPr>
              <w:spacing w:after="0"/>
              <w:rPr>
                <w:sz w:val="1"/>
                <w:szCs w:val="1"/>
                <w:color w:val="auto"/>
              </w:rPr>
            </w:pPr>
          </w:p>
        </w:tc>
      </w:tr>
      <w:tr>
        <w:trPr>
          <w:trHeight w:val="239"/>
        </w:trPr>
        <w:tc>
          <w:tcPr>
            <w:tcW w:w="24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2024. Phase 3 trial is ongoing.</w:t>
            </w:r>
          </w:p>
        </w:tc>
        <w:tc>
          <w:tcPr>
            <w:tcW w:w="0" w:type="dxa"/>
            <w:vAlign w:val="bottom"/>
          </w:tcPr>
          <w:p>
            <w:pPr>
              <w:spacing w:after="0"/>
              <w:rPr>
                <w:sz w:val="1"/>
                <w:szCs w:val="1"/>
                <w:color w:val="auto"/>
              </w:rPr>
            </w:pPr>
          </w:p>
        </w:tc>
      </w:tr>
      <w:tr>
        <w:trPr>
          <w:trHeight w:val="99"/>
        </w:trPr>
        <w:tc>
          <w:tcPr>
            <w:tcW w:w="24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auto"/>
              <w:right w:val="single" w:sz="8" w:color="auto"/>
            </w:tcBorders>
          </w:tcPr>
          <w:p>
            <w:pPr>
              <w:spacing w:after="0"/>
              <w:rPr>
                <w:sz w:val="14"/>
                <w:szCs w:val="14"/>
                <w:color w:val="auto"/>
              </w:rPr>
            </w:pPr>
          </w:p>
        </w:tc>
        <w:tc>
          <w:tcPr>
            <w:tcW w:w="29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ER+HER2- metastatic breast</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 in the U.S., the EU, and Japan in 2024.</w:t>
            </w:r>
          </w:p>
        </w:tc>
        <w:tc>
          <w:tcPr>
            <w:tcW w:w="0" w:type="dxa"/>
            <w:vAlign w:val="bottom"/>
          </w:tcPr>
          <w:p>
            <w:pPr>
              <w:spacing w:after="0"/>
              <w:rPr>
                <w:sz w:val="1"/>
                <w:szCs w:val="1"/>
                <w:color w:val="auto"/>
              </w:rPr>
            </w:pPr>
          </w:p>
        </w:tc>
      </w:tr>
      <w:tr>
        <w:trPr>
          <w:trHeight w:val="153"/>
        </w:trPr>
        <w:tc>
          <w:tcPr>
            <w:tcW w:w="2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cancer</w:t>
            </w:r>
          </w:p>
        </w:tc>
        <w:tc>
          <w:tcPr>
            <w:tcW w:w="1520" w:type="dxa"/>
            <w:vAlign w:val="bottom"/>
            <w:tcBorders>
              <w:right w:val="single" w:sz="8" w:color="auto"/>
            </w:tcBorders>
            <w:vMerge w:val="continue"/>
          </w:tcPr>
          <w:p>
            <w:pPr>
              <w:spacing w:after="0"/>
              <w:rPr>
                <w:sz w:val="13"/>
                <w:szCs w:val="13"/>
                <w:color w:val="auto"/>
              </w:rPr>
            </w:pPr>
          </w:p>
        </w:tc>
        <w:tc>
          <w:tcPr>
            <w:tcW w:w="4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right w:val="single" w:sz="8" w:color="auto"/>
            </w:tcBorders>
            <w:vMerge w:val="continue"/>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Adjuvant breast cancer</w:t>
            </w:r>
          </w:p>
        </w:tc>
        <w:tc>
          <w:tcPr>
            <w:tcW w:w="1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3 trial is ongoing.</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43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44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Olomorasib</w:t>
            </w: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1L KRAS G12C+ NSCLC</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3</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initiated in 2024.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facilitate the development and expedite the review of medicines to treat serious conditions and fill an unmet medical need.</w:t>
      </w:r>
    </w:p>
    <w:p>
      <w:pPr>
        <w:spacing w:after="0" w:line="13"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Continued approval may be contingent on verification and description of clinical benefit in confirmatory Phase 3 trials.</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There are many difficulties and uncertainties inherent in pharmaceutical research and development, the introduction of new products and indications, business development activities to enhance or refine our product pipeline, and commercialization of our products. There is a high rate of failure inherent in drug discovery and development. To bring a product from the discovery phase to market takes considerable time and entails significant cost. See Item 1A, "Risk Factors—Risks Related to Our Business and Industry—Pharmaceutical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 for additional information.</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research and development spending across our portfolio of potential new medicines and indications.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the consolidated financial statements for a description of legal proceedings currently pending regarding certain of our patents.</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See Item 1, "Business—Patents, Trademarks, and Other Intellectual Property Rights," for a discussion of the impacts of trends involving intellectual property on our business and results.</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inflation or deflation, the emergence or escalation of, and responses to, international tension and conflicts, or government budgeting priorities, are expected to continue to result in added pressure on pricing and reimbursement for our products.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cost containment efforts by governmental authorities. Such measures include the use of mandated discounts, price reporting requirements, mandated reference prices, restrictive formularies, changes to available intellectual property protections, as well as other efforts. In 2022, the U.S. government enacted the Inflation Reduction Act of 2022 (IRA). Among other measures, the IRA requires the U.S. Department of Health and Human Services (HHS) to effectively set prices for certain single-source drugs and biologics reimbursed under Medicare Part B and Part D. Generally, these government prices apply beginning at nine years (for medicines approved under a New Drug Application) or thirteen years (for medicines approved under a Biologics License Application) following FDA approval or licensure for the molecule and are set at a price that generally represents a significant discount from existing prices to wholesalers and direct purchasers. While the law specifies a maximum price that HHS can set, it does not set a minimum price. The Medicare price HHS determines may impact the product's best price determination under the Medicaid Drug Rebate Program and the 340B Drug Pricing Program, potentially leading to a negative impact on both Medicaid and 340B prices. In August 2023, HHS selected Jardiance, which is part of our collaboration with Boehringer Ingelheim, as one of the first ten medicines subject to government-set prices effective in 2026. In August 2024, HHS announced the government-set prices for these medicines with Jardiance subject to a 66% discount compared to the 2023 U.S. calendar year list price for a 30-day supply and discounts for the other nine medicines ranging from approximately 38% to 79% below list price. Given our product portfolio, we expect additional significant products will be selected in future years, which would have the effect of accelerating revenue erosion prior to expiry of exclusivities. The effect of reducing prices and reimbursement for certain of our products could significantly impact our business and consolidated results of operations.</w:t>
      </w:r>
    </w:p>
    <w:p>
      <w:pPr>
        <w:spacing w:after="0" w:line="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Other IRA provisions require drug manufacturers to provide rebates for Medicare Part B and Part D medicines under certain circumstances. Also, on January 1, 2025, the Part D benefit redesign replaced the Part D Coverage Gap Discount Program with a new manufacturer discount program. Manufacturers that fail to comply with the IRA may be subject to various penalties, including civil monetary penalties, which could be significant.</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IRA has, and will continue to, meaningfully influence our business strategies and those of our competitors. In particular, the nine-year timeline to set prices for medicines approved under a New Drug Application reduces the attractiveness of investment in small molecule innovation. The IRA can cause changes to development approach and timing and investments at-risk. The full impact of the IRA on our business and the pharmaceutical industry, including the implications to us of a competitor's product being selected for price setting, remains uncertain.</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 policies, regulations, legislation, or enforcement, including those proposed or pursued by lawmakers, regulators, and other authorities in the U.S. and worldwide, could adversely impact our business and consolidated results of operations. For example, the U.S. House of Representatives recently passed the BIOSECURE Act, which is under consideration in the U.S. Senate. This legislation, if passed, could affect elements of the pharmaceutical supply chain; although as currently drafted we do not anticipate the bill would have a material impact on our business.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5" w:name="page46"/>
    <w:bookmarkEnd w:id="45"/>
    <w:p>
      <w:pPr>
        <w:ind w:right="60"/>
        <w:spacing w:after="0" w:line="255" w:lineRule="auto"/>
        <w:rPr>
          <w:sz w:val="20"/>
          <w:szCs w:val="20"/>
          <w:color w:val="auto"/>
        </w:rPr>
      </w:pPr>
      <w:r>
        <w:rPr>
          <w:rFonts w:ascii="Arial" w:cs="Arial" w:eastAsia="Arial" w:hAnsi="Arial"/>
          <w:sz w:val="18"/>
          <w:szCs w:val="18"/>
          <w:color w:val="auto"/>
        </w:rPr>
        <w:t>Consolidation and integration of private payers and pharmacy benefit managers in the U.S. has also significantly impacted the market for pharmaceuticals by increasing payer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See Item 1, "Business—Regulations and Private Payer Actions Affecting Pharmaceutical Pricing, Reimbursement, and Access," Item 1A, "Risk Factors," and Note 16 to the consolidated financial statements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various times during 2024, demand for our incretin medicines exceeded production. Supply and channel dynamics have also contributed to variability in quarter-over-quarter revenue growth rates for tirzepatide. Tirzepatide supply currently exceeds demand in the U.S. Demand in launched markets remains dynamic, and increases or changes in demand, by dose or overall, as well as the complex supply chain, may result in periodic unavailability of certain presentations and dose levels at certain locations even when total tirzepatide supply can meet demand. Supply considerations will continue to influence the timing and approach (including available presentations) of tirzepatide launches in new markets. We continue to expand manufacturing capacity and progress efforts to bring tirzepatide to patients via different delivery presentations, such as single-use vials and multi-use pens. Production increases will continue, and additional capacity is expected to be operational over the next several years.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seen an increase in the production, marketing, and sale of counterfeit, misbranded, adulterated, and compounded incretins. These practices may impact patient safety and undermine regulatory drug approval processes. Lilly will continue to consider all options, including filing lawsuits where appropriate, to address unlawful practices and the patient safety risks of unapproved, untested, and manipulated drugs.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Item 1, "Business—Government Regulation of Our Operations and Products” and Item 1A, "Risk —Risks Related to Our Business and Industry—We and our products face intense competition, including from multinational pharmaceutical companies, biotechnology companies, and lower-cost generic and biosimilar manufacturers, and such competition could have a material adverse effect on our business,"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have a material adverse impact our future consolidated results of operations and cash flows.</w:t>
      </w:r>
    </w:p>
    <w:p>
      <w:pPr>
        <w:spacing w:after="0" w:line="7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Effective January 1, 2024, several EU and non-EU countries enacted legislation (known as "Pillar Two") that provided for a minimum level of taxation of multinational companies. The increase to income tax expense as a result of the global minimum tax was not material in 2024 and is not expected to be material in current and future years. Our assessment of the impact for 2025 and subsequent years could be affected by legislative guidance and future enactment of additional provisions.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discussion regarding our recent acquisitions.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 For discussion of risks related to business development activities, see Item 1A, "Risk Factors—Risks Related to Our Business and Industry—Pharmaceutical research and development is very costly and highly uncertain; we may not succeed in developing, licensing, or acquiring commercially successful products sufficient in number or value to replace revenues of products that have lost or will lose intellectual property protection or are displaced by competing products or therapies."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or downturns or uncertainty, and an increase in overall demand in our industry for certain products and materials.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additional information on risk factors that could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Pr>
          <w:p>
            <w:pPr>
              <w:spacing w:after="0"/>
              <w:rPr>
                <w:sz w:val="17"/>
                <w:szCs w:val="17"/>
                <w:color w:val="auto"/>
              </w:rPr>
            </w:pPr>
          </w:p>
        </w:tc>
      </w:tr>
      <w:tr>
        <w:trPr>
          <w:trHeight w:val="197"/>
        </w:trPr>
        <w:tc>
          <w:tcPr>
            <w:tcW w:w="5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8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5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BDBDB"/>
          </w:tcPr>
          <w:p>
            <w:pPr>
              <w:ind w:left="540"/>
              <w:spacing w:after="0"/>
              <w:rPr>
                <w:sz w:val="20"/>
                <w:szCs w:val="20"/>
                <w:color w:val="auto"/>
              </w:rPr>
            </w:pPr>
            <w:r>
              <w:rPr>
                <w:rFonts w:ascii="Arial" w:cs="Arial" w:eastAsia="Arial" w:hAnsi="Arial"/>
                <w:sz w:val="18"/>
                <w:szCs w:val="18"/>
                <w:b w:val="1"/>
                <w:bCs w:val="1"/>
                <w:color w:val="auto"/>
              </w:rPr>
              <w:t>30,375.2</w:t>
            </w:r>
          </w:p>
        </w:tc>
        <w:tc>
          <w:tcPr>
            <w:tcW w:w="5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21,791.0</w:t>
            </w:r>
          </w:p>
        </w:tc>
        <w:tc>
          <w:tcPr>
            <w:tcW w:w="1880" w:type="dxa"/>
            <w:vAlign w:val="bottom"/>
            <w:shd w:val="clear" w:color="auto" w:fill="DBDBDB"/>
          </w:tcPr>
          <w:p>
            <w:pPr>
              <w:jc w:val="center"/>
              <w:ind w:left="75"/>
              <w:spacing w:after="0"/>
              <w:rPr>
                <w:sz w:val="20"/>
                <w:szCs w:val="20"/>
                <w:color w:val="auto"/>
              </w:rPr>
            </w:pPr>
            <w:r>
              <w:rPr>
                <w:rFonts w:ascii="Arial" w:cs="Arial" w:eastAsia="Arial" w:hAnsi="Arial"/>
                <w:sz w:val="18"/>
                <w:szCs w:val="18"/>
                <w:color w:val="auto"/>
                <w:w w:val="99"/>
              </w:rPr>
              <w:t>39</w:t>
            </w:r>
          </w:p>
        </w:tc>
      </w:tr>
      <w:tr>
        <w:trPr>
          <w:trHeight w:val="229"/>
        </w:trPr>
        <w:tc>
          <w:tcPr>
            <w:tcW w:w="5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14,667.5</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12,333.1</w:t>
            </w:r>
          </w:p>
        </w:tc>
        <w:tc>
          <w:tcPr>
            <w:tcW w:w="1880" w:type="dxa"/>
            <w:vAlign w:val="bottom"/>
            <w:tcBorders>
              <w:bottom w:val="single" w:sz="8" w:color="DBDBDB"/>
            </w:tcBorders>
          </w:tcPr>
          <w:p>
            <w:pPr>
              <w:jc w:val="center"/>
              <w:ind w:left="75"/>
              <w:spacing w:after="0"/>
              <w:rPr>
                <w:sz w:val="20"/>
                <w:szCs w:val="20"/>
                <w:color w:val="auto"/>
              </w:rPr>
            </w:pPr>
            <w:r>
              <w:rPr>
                <w:rFonts w:ascii="Arial" w:cs="Arial" w:eastAsia="Arial" w:hAnsi="Arial"/>
                <w:sz w:val="18"/>
                <w:szCs w:val="18"/>
                <w:color w:val="auto"/>
                <w:w w:val="99"/>
              </w:rPr>
              <w:t>19</w:t>
            </w:r>
          </w:p>
        </w:tc>
      </w:tr>
      <w:tr>
        <w:trPr>
          <w:trHeight w:val="230"/>
        </w:trPr>
        <w:tc>
          <w:tcPr>
            <w:tcW w:w="5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DBDBDB"/>
          </w:tcPr>
          <w:p>
            <w:pPr>
              <w:ind w:left="540"/>
              <w:spacing w:after="0"/>
              <w:rPr>
                <w:sz w:val="20"/>
                <w:szCs w:val="20"/>
                <w:color w:val="auto"/>
              </w:rPr>
            </w:pPr>
            <w:r>
              <w:rPr>
                <w:rFonts w:ascii="Arial" w:cs="Arial" w:eastAsia="Arial" w:hAnsi="Arial"/>
                <w:sz w:val="18"/>
                <w:szCs w:val="18"/>
                <w:b w:val="1"/>
                <w:bCs w:val="1"/>
                <w:color w:val="auto"/>
              </w:rPr>
              <w:t>45,042.7</w:t>
            </w:r>
          </w:p>
        </w:tc>
        <w:tc>
          <w:tcPr>
            <w:tcW w:w="5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34,124.1</w:t>
            </w:r>
          </w:p>
        </w:tc>
        <w:tc>
          <w:tcPr>
            <w:tcW w:w="1880" w:type="dxa"/>
            <w:vAlign w:val="bottom"/>
            <w:tcBorders>
              <w:bottom w:val="single" w:sz="8" w:color="DBDBDB"/>
            </w:tcBorders>
            <w:shd w:val="clear" w:color="auto" w:fill="DBDBDB"/>
          </w:tcPr>
          <w:p>
            <w:pPr>
              <w:jc w:val="center"/>
              <w:ind w:left="75"/>
              <w:spacing w:after="0"/>
              <w:rPr>
                <w:sz w:val="20"/>
                <w:szCs w:val="20"/>
                <w:color w:val="auto"/>
              </w:rPr>
            </w:pPr>
            <w:r>
              <w:rPr>
                <w:rFonts w:ascii="Arial" w:cs="Arial" w:eastAsia="Arial" w:hAnsi="Arial"/>
                <w:sz w:val="18"/>
                <w:szCs w:val="18"/>
                <w:color w:val="auto"/>
                <w:w w:val="99"/>
              </w:rPr>
              <w:t>32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 vs. 2023</w:t>
            </w:r>
          </w:p>
        </w:tc>
        <w:tc>
          <w:tcPr>
            <w:tcW w:w="1700" w:type="dxa"/>
            <w:vAlign w:val="bottom"/>
            <w:tcBorders>
              <w:bottom w:val="single" w:sz="8" w:color="auto"/>
            </w:tcBorders>
          </w:tcPr>
          <w:p>
            <w:pPr>
              <w:spacing w:after="0"/>
              <w:rPr>
                <w:sz w:val="17"/>
                <w:szCs w:val="17"/>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w:t>
            </w: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Outside U.S.</w:t>
            </w:r>
          </w:p>
        </w:tc>
        <w:tc>
          <w:tcPr>
            <w:tcW w:w="17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8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31 %</w:t>
            </w:r>
          </w:p>
        </w:tc>
        <w:tc>
          <w:tcPr>
            <w:tcW w:w="190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20 %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8 %</w:t>
            </w:r>
          </w:p>
        </w:tc>
        <w:tc>
          <w:tcPr>
            <w:tcW w:w="1900" w:type="dxa"/>
            <w:vAlign w:val="bottom"/>
          </w:tcPr>
          <w:p>
            <w:pPr>
              <w:jc w:val="right"/>
              <w:ind w:right="176"/>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exchange rates</w:t>
            </w:r>
          </w:p>
        </w:tc>
        <w:tc>
          <w:tcPr>
            <w:tcW w:w="12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auto"/>
            </w:tcBorders>
            <w:shd w:val="clear" w:color="auto" w:fill="DBDBDB"/>
          </w:tcPr>
          <w:p>
            <w:pPr>
              <w:jc w:val="right"/>
              <w:ind w:right="176"/>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39 %</w:t>
            </w:r>
          </w:p>
        </w:tc>
        <w:tc>
          <w:tcPr>
            <w:tcW w:w="19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19 %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the U.S. the increase in volume in 2024 was primarily driven by Zepbound and Mounjaro, partially offset by Trulicity. In the U.S. the higher realized prices in 2024 were primarily driven by Humalog, Mounjaro, Verzenio, and Zepbound.</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Outside the U.S. the increase in volume in 2024 was primarily driven by Mounjaro and, to a lesser extent, Verzenio, as well as a one-time payment received of $300.0 million related to Jardiance associated with an amendment to our collaboration with Boehringer Ingelheim. Outside the U.S. the increase in volume in 2024 was partially offset by the 2023 sale of rights for the olanzapine portfolio.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8" w:name="page49"/>
    <w:bookmarkEnd w:id="48"/>
    <w:p>
      <w:pPr>
        <w:ind w:right="70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in 2024 compared with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195"/>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480" w:type="dxa"/>
            <w:vAlign w:val="bottom"/>
          </w:tcPr>
          <w:p>
            <w:pPr>
              <w:spacing w:after="0"/>
              <w:rPr>
                <w:sz w:val="16"/>
                <w:szCs w:val="16"/>
                <w:color w:val="auto"/>
              </w:rPr>
            </w:pPr>
          </w:p>
        </w:tc>
      </w:tr>
      <w:tr>
        <w:trPr>
          <w:trHeight w:val="197"/>
        </w:trPr>
        <w:tc>
          <w:tcPr>
            <w:tcW w:w="4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8,949.9</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2,590.2</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11,540.1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5,163.1</w:t>
            </w:r>
          </w:p>
        </w:tc>
        <w:tc>
          <w:tcPr>
            <w:tcW w:w="148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124</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3,420.6</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1,886.0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3,863.4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37</w:t>
            </w:r>
          </w:p>
        </w:tc>
      </w:tr>
      <w:tr>
        <w:trPr>
          <w:trHeight w:val="229"/>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3,693.8</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1,559.7</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5,253.5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7,132.6</w:t>
            </w:r>
          </w:p>
        </w:tc>
        <w:tc>
          <w:tcPr>
            <w:tcW w:w="1480" w:type="dxa"/>
            <w:vAlign w:val="bottom"/>
            <w:shd w:val="clear" w:color="auto" w:fill="DBDBDB"/>
          </w:tcPr>
          <w:p>
            <w:pPr>
              <w:jc w:val="center"/>
              <w:ind w:left="31"/>
              <w:spacing w:after="0"/>
              <w:rPr>
                <w:sz w:val="20"/>
                <w:szCs w:val="20"/>
                <w:color w:val="auto"/>
              </w:rPr>
            </w:pPr>
            <w:r>
              <w:rPr>
                <w:rFonts w:ascii="Arial" w:cs="Arial" w:eastAsia="Arial" w:hAnsi="Arial"/>
                <w:sz w:val="18"/>
                <w:szCs w:val="18"/>
                <w:color w:val="auto"/>
                <w:w w:val="99"/>
              </w:rPr>
              <w:t>(26)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4,925.7</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30"/>
        </w:trPr>
        <w:tc>
          <w:tcPr>
            <w:tcW w:w="40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(1)</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1,597.5</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1,743.4</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3,340.9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2,744.7</w:t>
            </w:r>
          </w:p>
        </w:tc>
        <w:tc>
          <w:tcPr>
            <w:tcW w:w="1480" w:type="dxa"/>
            <w:vAlign w:val="bottom"/>
            <w:shd w:val="clear" w:color="auto" w:fill="DBDBDB"/>
          </w:tcPr>
          <w:p>
            <w:pPr>
              <w:jc w:val="center"/>
              <w:ind w:left="31"/>
              <w:spacing w:after="0"/>
              <w:rPr>
                <w:sz w:val="20"/>
                <w:szCs w:val="20"/>
                <w:color w:val="auto"/>
              </w:rPr>
            </w:pPr>
            <w:r>
              <w:rPr>
                <w:rFonts w:ascii="Arial" w:cs="Arial" w:eastAsia="Arial" w:hAnsi="Arial"/>
                <w:sz w:val="18"/>
                <w:szCs w:val="18"/>
                <w:color w:val="auto"/>
                <w:w w:val="99"/>
              </w:rPr>
              <w:t>22</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2,152.3</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1,108.1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29"/>
        </w:trPr>
        <w:tc>
          <w:tcPr>
            <w:tcW w:w="40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(2)</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1,502.6</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822.2</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2,324.8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1,663.3</w:t>
            </w:r>
          </w:p>
        </w:tc>
        <w:tc>
          <w:tcPr>
            <w:tcW w:w="1480" w:type="dxa"/>
            <w:vAlign w:val="bottom"/>
            <w:shd w:val="clear" w:color="auto" w:fill="DBDBDB"/>
          </w:tcPr>
          <w:p>
            <w:pPr>
              <w:jc w:val="center"/>
              <w:ind w:left="31"/>
              <w:spacing w:after="0"/>
              <w:rPr>
                <w:sz w:val="20"/>
                <w:szCs w:val="20"/>
                <w:color w:val="auto"/>
              </w:rPr>
            </w:pPr>
            <w:r>
              <w:rPr>
                <w:rFonts w:ascii="Arial" w:cs="Arial" w:eastAsia="Arial" w:hAnsi="Arial"/>
                <w:sz w:val="18"/>
                <w:szCs w:val="18"/>
                <w:color w:val="auto"/>
                <w:w w:val="99"/>
              </w:rPr>
              <w:t>40</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Cyramza</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442.2</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531.0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70"/>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Olumiant</w:t>
            </w:r>
          </w:p>
        </w:tc>
        <w:tc>
          <w:tcPr>
            <w:tcW w:w="320" w:type="dxa"/>
            <w:vAlign w:val="bottom"/>
            <w:shd w:val="clear" w:color="auto" w:fill="DBDBDB"/>
          </w:tcPr>
          <w:p>
            <w:pPr>
              <w:spacing w:after="0"/>
              <w:rPr>
                <w:sz w:val="23"/>
                <w:szCs w:val="23"/>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228.7</w:t>
            </w:r>
          </w:p>
        </w:tc>
        <w:tc>
          <w:tcPr>
            <w:tcW w:w="260" w:type="dxa"/>
            <w:vAlign w:val="bottom"/>
            <w:shd w:val="clear" w:color="auto" w:fill="DBDBDB"/>
          </w:tcPr>
          <w:p>
            <w:pPr>
              <w:spacing w:after="0"/>
              <w:rPr>
                <w:sz w:val="23"/>
                <w:szCs w:val="23"/>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728.7</w:t>
            </w:r>
          </w:p>
        </w:tc>
        <w:tc>
          <w:tcPr>
            <w:tcW w:w="400" w:type="dxa"/>
            <w:vAlign w:val="bottom"/>
            <w:shd w:val="clear" w:color="auto" w:fill="DBDBDB"/>
          </w:tcPr>
          <w:p>
            <w:pPr>
              <w:spacing w:after="0"/>
              <w:rPr>
                <w:sz w:val="23"/>
                <w:szCs w:val="23"/>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957.4</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922.6</w:t>
            </w:r>
          </w:p>
        </w:tc>
        <w:tc>
          <w:tcPr>
            <w:tcW w:w="148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4</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Humulin</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643.4</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273.7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852.1</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8</w:t>
            </w:r>
          </w:p>
        </w:tc>
      </w:tr>
      <w:tr>
        <w:trPr>
          <w:trHeight w:val="230"/>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Emgality</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559.7</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310.7</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870.4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678.3</w:t>
            </w:r>
          </w:p>
        </w:tc>
        <w:tc>
          <w:tcPr>
            <w:tcW w:w="1480" w:type="dxa"/>
            <w:vAlign w:val="bottom"/>
            <w:shd w:val="clear" w:color="auto" w:fill="DBDBDB"/>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375.4</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301.5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29"/>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Erbitux</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562.1</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65.3</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627.4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596.5</w:t>
            </w:r>
          </w:p>
        </w:tc>
        <w:tc>
          <w:tcPr>
            <w:tcW w:w="148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Tyvyt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526.0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34</w:t>
            </w:r>
          </w:p>
        </w:tc>
      </w:tr>
      <w:tr>
        <w:trPr>
          <w:trHeight w:val="229"/>
        </w:trPr>
        <w:tc>
          <w:tcPr>
            <w:tcW w:w="40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(4)</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114.3</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116.3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1,694.8</w:t>
            </w:r>
          </w:p>
        </w:tc>
        <w:tc>
          <w:tcPr>
            <w:tcW w:w="1480" w:type="dxa"/>
            <w:vAlign w:val="bottom"/>
            <w:shd w:val="clear" w:color="auto" w:fill="DBDBDB"/>
          </w:tcPr>
          <w:p>
            <w:pPr>
              <w:jc w:val="center"/>
              <w:ind w:left="31"/>
              <w:spacing w:after="0"/>
              <w:rPr>
                <w:sz w:val="20"/>
                <w:szCs w:val="20"/>
                <w:color w:val="auto"/>
              </w:rPr>
            </w:pPr>
            <w:r>
              <w:rPr>
                <w:rFonts w:ascii="Arial" w:cs="Arial" w:eastAsia="Arial" w:hAnsi="Arial"/>
                <w:sz w:val="18"/>
                <w:szCs w:val="18"/>
                <w:color w:val="auto"/>
                <w:w w:val="99"/>
              </w:rPr>
              <w:t>(93)</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Baqsimi</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26.7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(96)</w:t>
            </w:r>
          </w:p>
        </w:tc>
      </w:tr>
      <w:tr>
        <w:trPr>
          <w:trHeight w:val="230"/>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1,316.8</w:t>
            </w:r>
          </w:p>
        </w:tc>
        <w:tc>
          <w:tcPr>
            <w:tcW w:w="2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2,080.0</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3,396.8</w:t>
            </w:r>
          </w:p>
        </w:tc>
        <w:tc>
          <w:tcPr>
            <w:tcW w:w="1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3,103.3</w:t>
            </w:r>
          </w:p>
        </w:tc>
        <w:tc>
          <w:tcPr>
            <w:tcW w:w="1480" w:type="dxa"/>
            <w:vAlign w:val="bottom"/>
            <w:shd w:val="clear" w:color="auto" w:fill="DBDBDB"/>
          </w:tcPr>
          <w:p>
            <w:pPr>
              <w:jc w:val="center"/>
              <w:ind w:left="11"/>
              <w:spacing w:after="0"/>
              <w:rPr>
                <w:sz w:val="20"/>
                <w:szCs w:val="20"/>
                <w:color w:val="auto"/>
              </w:rPr>
            </w:pPr>
            <w:r>
              <w:rPr>
                <w:rFonts w:ascii="Arial" w:cs="Arial" w:eastAsia="Arial" w:hAnsi="Arial"/>
                <w:sz w:val="18"/>
                <w:szCs w:val="18"/>
                <w:color w:val="auto"/>
                <w:w w:val="99"/>
              </w:rPr>
              <w:t>9</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30,375.2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14,667.5</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45,042.7</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34,124.1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8"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Jardiance revenue includes Glyxambi, Synjardy, and Trijardy XR.</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Basaglar revenue includes Rezvoglar.</w:t>
      </w:r>
    </w:p>
    <w:p>
      <w:pPr>
        <w:spacing w:after="0" w:line="40"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the rights for the olanzapine portfolio in 2023.</w:t>
      </w:r>
    </w:p>
    <w:p>
      <w:pPr>
        <w:spacing w:after="0" w:line="18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Revenue of Mounjaro increased 85 percent in the U.S., primarily driven by strong demand and increased supply. Revenue outside of the U.S. was $2.59 billion in 2024 compared to $328.9 million in 2023, primarily driven by volume growth in launched markets.</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Revenue of Verzenio increased 36 percent in the U.S., driven by increased demand, wholesaler buying patterns and, to a lesser extent, higher realized prices. Revenue outside the U.S. increased 39 percent, driven by increased demand.</w:t>
      </w:r>
    </w:p>
    <w:p>
      <w:pPr>
        <w:spacing w:after="0" w:line="45" w:lineRule="exact"/>
        <w:rPr>
          <w:sz w:val="20"/>
          <w:szCs w:val="20"/>
          <w:color w:val="auto"/>
        </w:rPr>
      </w:pPr>
    </w:p>
    <w:p>
      <w:pPr>
        <w:jc w:val="both"/>
        <w:ind w:right="620"/>
        <w:spacing w:after="0" w:line="268" w:lineRule="auto"/>
        <w:rPr>
          <w:sz w:val="20"/>
          <w:szCs w:val="20"/>
          <w:color w:val="auto"/>
        </w:rPr>
      </w:pPr>
      <w:r>
        <w:rPr>
          <w:rFonts w:ascii="Arial" w:cs="Arial" w:eastAsia="Arial" w:hAnsi="Arial"/>
          <w:sz w:val="18"/>
          <w:szCs w:val="18"/>
          <w:color w:val="auto"/>
        </w:rPr>
        <w:t>Revenue of Trulicity decreased 32 percent in the U.S., driven by decreased volume primarily due to competitive dynamics and supply constraints during the first half of 2024. Revenue outside the U.S. decreased 8 percent, driven by decreased volume primarily due to competitive dynamics and actions we have taken to manage demand.</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Revenue of Zepbound in the U.S. in 2024 was $4.93 billion, compared to $175.8 million in 2023. Zepbound launched in the U.S. for the treatment of adult patients with obesity or overweight with weight-related comorbidities in November 2023.</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of Jardiance remained relatively flat in the U.S. as increased demand was offset by lower realized prices. Revenue outside the U.S. increased 52 percent, driven by increased volume and a one-time payment received of $300.0 million associated with an amendment to our collaboration with Boehringer Ingelheim. Pursuant to the amendment, we and Boehringer Ingelheim adjusted commercialization responsibilities for Jardiance within certain smaller markets. See Note 4 to the consolidated financial statements for information regarding our collaboration with Boehringer Ingelheim involving Jardiance.</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 of Taltz increased 18 percent in the U.S., driven by higher realized prices due to changes in estimates for rebates and discounts, as well as increased demand. Revenue outside the U.S. increased 19 percent, primarily driven by increased demand.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Gross Margin, Costs, and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7"/>
                <w:szCs w:val="17"/>
                <w:color w:val="auto"/>
              </w:rPr>
            </w:pPr>
          </w:p>
        </w:tc>
      </w:tr>
      <w:tr>
        <w:trPr>
          <w:trHeight w:val="197"/>
        </w:trPr>
        <w:tc>
          <w:tcPr>
            <w:tcW w:w="6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margin</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36,624.4</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27,041.9</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35</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81.3 %</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79.2 %</w:t>
            </w:r>
          </w:p>
        </w:tc>
        <w:tc>
          <w:tcPr>
            <w:tcW w:w="1280" w:type="dxa"/>
            <w:vAlign w:val="bottom"/>
          </w:tcPr>
          <w:p>
            <w:pPr>
              <w:spacing w:after="0"/>
              <w:rPr>
                <w:sz w:val="19"/>
                <w:szCs w:val="19"/>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10,990.6</w:t>
            </w:r>
          </w:p>
        </w:tc>
        <w:tc>
          <w:tcPr>
            <w:tcW w:w="50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9,313.4</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18</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8,593.8</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7,403.1</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16</w:t>
            </w: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3,280.4</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3,799.8</w:t>
            </w:r>
          </w:p>
        </w:tc>
        <w:tc>
          <w:tcPr>
            <w:tcW w:w="1280" w:type="dxa"/>
            <w:vAlign w:val="bottom"/>
            <w:shd w:val="clear" w:color="auto" w:fill="DBDBDB"/>
          </w:tcPr>
          <w:p>
            <w:pPr>
              <w:jc w:val="right"/>
              <w:ind w:right="332"/>
              <w:spacing w:after="0"/>
              <w:rPr>
                <w:sz w:val="20"/>
                <w:szCs w:val="20"/>
                <w:color w:val="auto"/>
              </w:rPr>
            </w:pPr>
            <w:r>
              <w:rPr>
                <w:rFonts w:ascii="Arial" w:cs="Arial" w:eastAsia="Arial" w:hAnsi="Arial"/>
                <w:sz w:val="18"/>
                <w:szCs w:val="18"/>
                <w:color w:val="auto"/>
              </w:rPr>
              <w:t>(14)</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860.6</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67.7</w:t>
            </w:r>
          </w:p>
        </w:tc>
        <w:tc>
          <w:tcPr>
            <w:tcW w:w="1280" w:type="dxa"/>
            <w:vAlign w:val="bottom"/>
          </w:tcPr>
          <w:p>
            <w:pPr>
              <w:jc w:val="right"/>
              <w:ind w:right="352"/>
              <w:spacing w:after="0"/>
              <w:rPr>
                <w:sz w:val="20"/>
                <w:szCs w:val="20"/>
                <w:color w:val="auto"/>
              </w:rPr>
            </w:pPr>
            <w:r>
              <w:rPr>
                <w:rFonts w:ascii="Arial" w:cs="Arial" w:eastAsia="Arial" w:hAnsi="Arial"/>
                <w:sz w:val="18"/>
                <w:szCs w:val="18"/>
                <w:color w:val="auto"/>
              </w:rPr>
              <w:t>NM</w:t>
            </w: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Other—net, (income) expense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ind w:right="213"/>
              <w:spacing w:after="0"/>
              <w:rPr>
                <w:sz w:val="20"/>
                <w:szCs w:val="20"/>
                <w:color w:val="auto"/>
              </w:rPr>
            </w:pPr>
            <w:r>
              <w:rPr>
                <w:rFonts w:ascii="Arial" w:cs="Arial" w:eastAsia="Arial" w:hAnsi="Arial"/>
                <w:sz w:val="18"/>
                <w:szCs w:val="18"/>
                <w:b w:val="1"/>
                <w:bCs w:val="1"/>
                <w:color w:val="auto"/>
              </w:rPr>
              <w:t>218.6</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(96.7)</w:t>
            </w:r>
          </w:p>
        </w:tc>
        <w:tc>
          <w:tcPr>
            <w:tcW w:w="1280" w:type="dxa"/>
            <w:vAlign w:val="bottom"/>
            <w:shd w:val="clear" w:color="auto" w:fill="DBDBDB"/>
          </w:tcPr>
          <w:p>
            <w:pPr>
              <w:jc w:val="right"/>
              <w:ind w:right="352"/>
              <w:spacing w:after="0"/>
              <w:rPr>
                <w:sz w:val="20"/>
                <w:szCs w:val="20"/>
                <w:color w:val="auto"/>
              </w:rPr>
            </w:pPr>
            <w:r>
              <w:rPr>
                <w:rFonts w:ascii="Arial" w:cs="Arial" w:eastAsia="Arial" w:hAnsi="Arial"/>
                <w:sz w:val="18"/>
                <w:szCs w:val="18"/>
                <w:color w:val="auto"/>
              </w:rPr>
              <w:t>NM</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9"/>
                <w:szCs w:val="19"/>
                <w:color w:val="auto"/>
              </w:rPr>
            </w:pPr>
          </w:p>
        </w:tc>
        <w:tc>
          <w:tcPr>
            <w:tcW w:w="1500" w:type="dxa"/>
            <w:vAlign w:val="bottom"/>
          </w:tcPr>
          <w:p>
            <w:pPr>
              <w:jc w:val="right"/>
              <w:ind w:right="213"/>
              <w:spacing w:after="0"/>
              <w:rPr>
                <w:sz w:val="20"/>
                <w:szCs w:val="20"/>
                <w:color w:val="auto"/>
              </w:rPr>
            </w:pPr>
            <w:r>
              <w:rPr>
                <w:rFonts w:ascii="Arial" w:cs="Arial" w:eastAsia="Arial" w:hAnsi="Arial"/>
                <w:sz w:val="18"/>
                <w:szCs w:val="18"/>
                <w:b w:val="1"/>
                <w:bCs w:val="1"/>
                <w:color w:val="auto"/>
              </w:rPr>
              <w:t>2,090.4</w:t>
            </w:r>
          </w:p>
        </w:tc>
        <w:tc>
          <w:tcPr>
            <w:tcW w:w="500" w:type="dxa"/>
            <w:vAlign w:val="bottom"/>
          </w:tcPr>
          <w:p>
            <w:pPr>
              <w:spacing w:after="0"/>
              <w:rPr>
                <w:sz w:val="19"/>
                <w:szCs w:val="19"/>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1,314.2</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59</w:t>
            </w:r>
          </w:p>
        </w:tc>
      </w:tr>
      <w:tr>
        <w:trPr>
          <w:trHeight w:val="229"/>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16.5 %</w:t>
            </w:r>
          </w:p>
        </w:tc>
        <w:tc>
          <w:tcPr>
            <w:tcW w:w="5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20.1 %</w:t>
            </w:r>
          </w:p>
        </w:tc>
        <w:tc>
          <w:tcPr>
            <w:tcW w:w="1280" w:type="dxa"/>
            <w:vAlign w:val="bottom"/>
            <w:shd w:val="clear" w:color="auto" w:fill="DBDBDB"/>
          </w:tcPr>
          <w:p>
            <w:pPr>
              <w:spacing w:after="0"/>
              <w:rPr>
                <w:sz w:val="19"/>
                <w:szCs w:val="19"/>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Gross margin as a percent of revenue in 2024 increased 2.1 percentage points compared with 2023, primarily driven by favorable product mix and higher realized prices.</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Research and development expenses increased 18 percent in 2024, primarily driven by continued investments in our early and late-stage portfolio.</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Marketing, selling, and administrative expenses increased 16 percent in 2024, primarily driven by promotional efforts supporting ongoing and future launches.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Acquired in-process research and development (IPR&amp;D) charges recognized in 2024 primarily related to the acquisition of Morphic. Acquired IPR&amp;D charges recognized in 2023 primarily related to acquisitions of DICE Therapeutics, Inc., Versanis Bio, Inc., Emergence Therapeutics AG, and Mablink Biosciences SAS and from a business development transaction with Beam Therapeutics Inc. See Note 3 to the consolidated financial statements for additional information.</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Asset impairment, restructuring, and other special charges recognized in 2024 primarily related to a $ 435.0 million litigation charge and an intangible asset impairment for Vitrakvi, driven by expected commercial projections. See Notes 5 and 16 to the consolidated financial statements for additional information.</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effective tax rate was 16.5 percent in 2024, compared with an effective tax rate of 20.1 percent in 2023. The effective tax rates for 2024 and 2023 were both unfavorably impacted by non-deductible acquired IPR&amp;D charges, with a larger impact occurring in 2023. See Note 14 to the consolidated financial statements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for other–net, (income) expense, see Note 18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Results—2023</w:t>
      </w:r>
    </w:p>
    <w:p>
      <w:pPr>
        <w:spacing w:after="0" w:line="117" w:lineRule="exact"/>
        <w:rPr>
          <w:sz w:val="20"/>
          <w:szCs w:val="20"/>
          <w:color w:val="auto"/>
        </w:rPr>
      </w:pPr>
    </w:p>
    <w:p>
      <w:pPr>
        <w:ind w:right="16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pertaining to 2023 and 2022 see Item 7, "Management's Discussion and Analysis of Results of Operations and Financial Condition" in our Annual Report on </w:t>
      </w:r>
      <w:hyperlink r:id="rId6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4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and benefits,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milestone and royalty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collaborations, investments, and licensing arrangements;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contributions to our defined benefit pension and retiree health benefit plans.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2024, our material cash requirements primarily related to purchases of goods and services to produce our products and conduct our operations, income tax payments, capital expenditures, dividends, milestone and royalty payments, business development activities, share repurchases and repayment of outstanding borrowings (see Notes 14, 4, 3, 13, and 11 to the consolidated financial statements). We anticipate our cash requirements related to ordinary course purchases of goods and services will be consistent with our past levels relative to revenues.</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Capital expenditures were $5.06 billion during 2024, compared to $3.45 billion in 2023. We are making investments in global facilities to manufacture existing and future products. These investments, and other capital investments that support our operations, have increased our capital expenditures and will result in meaningfully higher capital expenditures over the next several years.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The executed agreements could, under certain circumstances, require us to pay up to approximately $ 14 billion if we do not purchase specified amounts of goods or services primarily related to our incretin medicines, including medicines in development, over the durations of the agreements, which are generally up to 8 years.</w:t>
      </w:r>
    </w:p>
    <w:p>
      <w:pPr>
        <w:spacing w:after="0" w:line="71"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Cash and cash equivalents increased to $ 3.27 billion as of December 31, 2024, compared with $2.82 billion at December 31, 2023. Net cash provided by operating activities increased to $ 8.82 billion in 2024, compared with $ 4.24 billion in 2023. Refer to the consolidated statements of cash flows for additional information on the significant sources and uses of cash for the years ended December 31, 2024 and 2023.</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$3.37 billion and $3.16 billion as of December 31, 2024 and 2023, respectively. See Note 7 to the consolidated financial statements for additional information.</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paid $3.35 billion in 2024 for acquired IPR&amp;D primarily related to the acquisition of Morphic. We paid $947.7 million in 2024 primarily related to the acquisition of a manufacturing site in Wisconsin. See Note 3 to the consolidated financial statements for additional information.</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2024, total debt was $33.64 billion, an increase of $8.42 billion compared with $25.23 billion at December 31, 2023. In February 2025, we issued $6.5 billion of fixed-rate notes. We expect to use the net cash proceeds from the offering to fund potential business development activities, as well as general business purposes, including the repayment of outstanding commercial paper. See Note 11 to the consolidated financial statements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jc w:val="both"/>
        <w:ind w:right="480"/>
        <w:spacing w:after="0" w:line="268" w:lineRule="auto"/>
        <w:rPr>
          <w:sz w:val="20"/>
          <w:szCs w:val="20"/>
          <w:color w:val="auto"/>
        </w:rPr>
      </w:pPr>
      <w:r>
        <w:rPr>
          <w:rFonts w:ascii="Arial" w:cs="Arial" w:eastAsia="Arial" w:hAnsi="Arial"/>
          <w:sz w:val="18"/>
          <w:szCs w:val="18"/>
          <w:color w:val="auto"/>
        </w:rPr>
        <w:t>As of December 31, 2024, we had a total of $8.45 billion of unused committed bank credit facilities, $8.00 billion of which is available to support our commercial paper program. See Note 11 to the consolidated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Dividends of $5.20 per share and $ 4.52 per share were paid in 2024 and 2023, respectively. The quarterly dividend was increased to $1.50 per share effective for the dividend to be paid in the first quarter of 2025, resulting in an indicated annual rate for 2025 of $6.00 per share.</w:t>
      </w:r>
    </w:p>
    <w:p>
      <w:pPr>
        <w:spacing w:after="0" w:line="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2024, we repurchased $2.50 billion of shares, which completed our $5.00 billion share repurchase program that our board authorized in May 2021. Our board authorized a $15.00 billion share repurchase program in December 2024. No shares were repurchased under this new program as of December 31, 2024. See Note 13 to the consolidated financial statements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Overview—Other Matters—Patent Matters" for information regarding losses of patent protection.</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and various international government funding levels.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impact the costs of financing, investing, and operating our business.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7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Our primary interest rate risk exposure results from changes in short-term U.S. dollar interest rates. In an effort to manage interest rate exposures, we strive to achieve an acceptable balance between fixed and floating rate debt positions and in some cases we enter into interest rate derivatives to help maintain that balance. As of December 31, 2024, all of our total long-term debt is at a fixed rate. We have converted approximately 5 percent of our long-term fixed-rate notes to floating rates through the use of interest rate swaps. Based on our overall interest rate exposure at December 31, 2024 and 2023, including derivatives and other interest rate risk-sensitive instruments, a hypothetical 10 percent change in interest rates applied to the fair value of the instruments as of December 31, 2024 and 2023, respectively, would not have a material impact on earnings, cash flows, or fair values of interest rate risk-sensitive instruments over a one-year period.</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Chinese yuan.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in some cases enter into foreign currency forward or option derivative contracts to reduce the effect of fluctuating currency exchange rates (primarily the euro, Chinese yuan, and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2024 and 2023,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fair value risk exposure relates primarily to our public equity investments and to our equity investments that do not have readily determinable fair values. As of December 31, 2024 and 2023, our carrying values of these investments were $1.35 billion and $1.32 billion, respectively. A hypothetical 20 percent change in fair value of the equity instruments would have impacted other-net, (income) expense by $269.9 million and $263.9 million as of December 31, 2024 and 2023,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ind w:right="60"/>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4 to the consolidated financial statements for additional information. These arrangements often give us the discretion to unilaterally terminate development of the product, which would allow us to avoid making the contingent payments; however, we are unlikely to cease development if the compound successfully achieves milestone objectives. We view these payments as positive because they signify that the product is successfully moving through development and is now generating or is more likely to generate cash flows from sales of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Annual Report on Form 10-K. Our most critical accounting estimates have been discussed with our audit committee and are described below.</w:t>
      </w:r>
    </w:p>
    <w:p>
      <w:pPr>
        <w:spacing w:after="0" w:line="77" w:lineRule="exact"/>
        <w:rPr>
          <w:sz w:val="20"/>
          <w:szCs w:val="20"/>
          <w:color w:val="auto"/>
        </w:rPr>
      </w:pPr>
    </w:p>
    <w:p>
      <w:pPr>
        <w:ind w:right="5120"/>
        <w:spacing w:after="0" w:line="375" w:lineRule="auto"/>
        <w:rPr>
          <w:sz w:val="20"/>
          <w:szCs w:val="20"/>
          <w:color w:val="auto"/>
        </w:rPr>
      </w:pPr>
      <w:r>
        <w:rPr>
          <w:rFonts w:ascii="Arial" w:cs="Arial" w:eastAsia="Arial" w:hAnsi="Arial"/>
          <w:sz w:val="18"/>
          <w:szCs w:val="18"/>
          <w:b w:val="1"/>
          <w:bCs w:val="1"/>
          <w:color w:val="auto"/>
        </w:rPr>
        <w:t xml:space="preserve">Revenue Recognition and Sales Return, Rebate, and Discount Accruals </w:t>
      </w:r>
      <w:r>
        <w:rPr>
          <w:rFonts w:ascii="Arial" w:cs="Arial" w:eastAsia="Arial" w:hAnsi="Arial"/>
          <w:sz w:val="18"/>
          <w:szCs w:val="18"/>
          <w:i w:val="1"/>
          <w:iCs w:val="1"/>
          <w:u w:val="single" w:color="auto"/>
          <w:color w:val="auto"/>
        </w:rPr>
        <w:t>Background and Uncertainties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revenue reductions related to these programs at the time we record the sale, the reduction related to that sale is typically paid up to six months later. Because of this time lag, in any particular period our net product revenue may incorporate revisions of accruals for several periods.</w:t>
      </w:r>
    </w:p>
    <w:p>
      <w:pPr>
        <w:spacing w:after="0" w:line="7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Revenue recognized from collaborations and other arrangements includes our share of profits from the collaborations, as well as royalties, upfront and milestone payments we receive under these types of contracts.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rebate and discount liabilities are included in sales rebates and discounts on our consolidated balance sheet. Our sales return liability is included in other current liabilities and other noncurrent liabilities on our consolidated balance sheet. As of December 31, 2024, a 5 percent change in our consolidated sales return, rebate, and discount liability would result in a change in revenue of approximately $600 million.</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portion of our consolidated sales return, rebate, and discount liability resulting from sales of our products in the U.S. was approximately 90 percent as of December 31, 2024 and 2023.</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 Medicare, Medicaid, chargeback, and patient assistance programs: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r>
      <w:tr>
        <w:trPr>
          <w:trHeight w:val="224"/>
        </w:trPr>
        <w:tc>
          <w:tcPr>
            <w:tcW w:w="8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return, rebate, and discount liabilities, beginning of year</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BDBDB"/>
          </w:tcPr>
          <w:p>
            <w:pPr>
              <w:ind w:left="220"/>
              <w:spacing w:after="0"/>
              <w:rPr>
                <w:sz w:val="20"/>
                <w:szCs w:val="20"/>
                <w:color w:val="auto"/>
              </w:rPr>
            </w:pPr>
            <w:r>
              <w:rPr>
                <w:rFonts w:ascii="Arial" w:cs="Arial" w:eastAsia="Arial" w:hAnsi="Arial"/>
                <w:sz w:val="18"/>
                <w:szCs w:val="18"/>
                <w:b w:val="1"/>
                <w:bCs w:val="1"/>
                <w:color w:val="auto"/>
              </w:rPr>
              <w:t>10,667.5</w:t>
            </w:r>
          </w:p>
        </w:tc>
        <w:tc>
          <w:tcPr>
            <w:tcW w:w="32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8,214.1</w:t>
            </w:r>
          </w:p>
        </w:tc>
      </w:tr>
      <w:tr>
        <w:trPr>
          <w:trHeight w:val="229"/>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ind w:left="220"/>
              <w:spacing w:after="0"/>
              <w:rPr>
                <w:sz w:val="20"/>
                <w:szCs w:val="20"/>
                <w:color w:val="auto"/>
              </w:rPr>
            </w:pPr>
            <w:r>
              <w:rPr>
                <w:rFonts w:ascii="Arial" w:cs="Arial" w:eastAsia="Arial" w:hAnsi="Arial"/>
                <w:sz w:val="18"/>
                <w:szCs w:val="18"/>
                <w:b w:val="1"/>
                <w:bCs w:val="1"/>
                <w:color w:val="auto"/>
              </w:rPr>
              <w:t>41,452.3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37,866.8</w:t>
            </w:r>
          </w:p>
        </w:tc>
      </w:tr>
      <w:tr>
        <w:trPr>
          <w:trHeight w:val="230"/>
        </w:trPr>
        <w:tc>
          <w:tcPr>
            <w:tcW w:w="85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8"/>
                <w:szCs w:val="18"/>
                <w:b w:val="1"/>
                <w:bCs w:val="1"/>
                <w:color w:val="auto"/>
              </w:rPr>
              <w:t>(41,807.0)</w:t>
            </w: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(35,413.4)</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return, rebate, and discount liabilities,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10,312.8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10,667.5</w:t>
            </w:r>
          </w:p>
        </w:tc>
      </w:tr>
    </w:tbl>
    <w:p>
      <w:pPr>
        <w:spacing w:after="0" w:line="9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Adjustments of the estimates for these returns, rebates, and discounts to actual results were less than 2 percent of consolidated revenue for each of the years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Liabilities and Other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Litigation liabilities and other contingencies are, by their nature, uncertain and based upon complex judgments and probabilities. The factors we consider in developing our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as applicable,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w:t>
      </w:r>
    </w:p>
    <w:p>
      <w:pPr>
        <w:spacing w:after="0" w:line="7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liability insurance, we are predominantly self-insured for liability losses for all our currently and previously marketed products, as well as for litigation or investigations related to our pricing practices or other similar matters.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5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are reflected on a gross basis as liabilities and assets,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on our consolidated balance sheet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acquired IPR&amp;D on our consolidated statement of operations at the acquisition date, and goodwill is not recorded. See Note 3 to the consolidated financial statements for additional information.</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projections, and discount rate. Depending on the facts and circumstances, we may deem it necessary to engage an independent valuation expert to assist in valuing significant assets and liabilities.</w:t>
      </w:r>
    </w:p>
    <w:p>
      <w:pPr>
        <w:spacing w:after="0" w:line="74"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The fair values of identifiable intangible assets are primarily determined using the "income method," as described in Note 8 to the consolidated financial statements.</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primarily determined using a discounted cash flow analysis, as described in Note 7 to the consolidated financial statements. Estimating the fair value of contingent consideration requires the use of significant estimates and judgments, including, but not limited to, probability of technical success, timing of the potential milestone event, and the discount rate.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December 31, 2024, a 5 percent change in the contingent consideration liabilities would result in a change in income before income taxes of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Impairment of Indefinite-Lived and Long-Lived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6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Several methods may be used to determine the estimated fair value of long-lived assets, all of which require multiple assumptions. When determining the fair value of indefinite-lived acquired IPR&amp;D as well as the fair value of finite-lived intangible assets for impairment testing purposes, we utilize the "income method," as described in Note 8 to the consolidated financial statements.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"—Executive Overview—Clinical Development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6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file tax returns based upon our interpretation of tax laws and regulations, and we record estimates in our financial statements based upon these interpretations at the applicable tax rates in the jurisdictions in which we operate. Our tax returns are routinely subject to examination by taxing authorities, which could result in future tax, interest, and penalty assessments. Inherent uncertainties also exist in estimates of many tax positions due to the complexity of tax laws. We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such as changes to existing tax law, the issuance of regulations by taxing authorities, new information obtained during a tax examination, or resolution of a tax examination. We believe our estimates for uncertain tax positions are both appropriate and sufficient to pay assessments that may result from examinations of our tax returns; however, given the uncertainty of positions that could be taken by taxing authorities during the examinations of our tax returns, the ultimate outcome of any tax matters may result in liabilities that are greater than amounts accrued. We recognize both accrued interest and penalties related to unrecognized tax benefits in income tax expense.</w:t>
      </w:r>
    </w:p>
    <w:p>
      <w:pPr>
        <w:spacing w:after="0" w:line="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tax credits, and other tax carryforwards in certain taxing jurisdictions, when the amount of future taxable income is unlikely to support their utilization.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December 31, 2024, a 5 percent change in the amount of uncertain tax positions and the valuation allowance would result in a change in net income of $131.3 million and $48.2 million, respectively.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Retirement Benefits Assumptions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and Uncertainties</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75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 Impact</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2024 discount rate for the U.S. defined benefit pension and retiree health benefit plans (U.S. plans) were to change by a quarter percentage point, income before income taxes would change by $15.0 million. If the 2024 expected return on plan assets for U.S. plans were to change by a quarter percentage point, income before income taxes would change by $33.2 million. If our assumption regarding the 2024 expected age of future retirees for U.S. plans were adjusted by one year, our income before income taxes would be affected by $35.9 million. The U.S. plans, including Puerto Rico, represent approximately 80 percent for total projected benefit obligation and 85 percent for total plan assets at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MATTERS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You can find quantitative and qualitative disclosures about market risk (e.g.</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Item 8. Financial Statements and Supplementary Data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per-share data, and shares in thousands)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 (Note 2)</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45,042.7</w:t>
            </w:r>
          </w:p>
        </w:tc>
        <w:tc>
          <w:tcPr>
            <w:tcW w:w="52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34,124.1</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28,541.4</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8,418.3</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7,082.2</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6,629.8</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10,990.6</w:t>
            </w:r>
          </w:p>
        </w:tc>
        <w:tc>
          <w:tcPr>
            <w:tcW w:w="5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9,313.4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7,190.8</w:t>
            </w:r>
          </w:p>
        </w:tc>
        <w:tc>
          <w:tcPr>
            <w:tcW w:w="0" w:type="dxa"/>
            <w:vAlign w:val="bottom"/>
          </w:tcPr>
          <w:p>
            <w:pPr>
              <w:spacing w:after="0"/>
              <w:rPr>
                <w:sz w:val="1"/>
                <w:szCs w:val="1"/>
                <w:color w:val="auto"/>
              </w:rPr>
            </w:pPr>
          </w:p>
        </w:tc>
      </w:tr>
      <w:tr>
        <w:trPr>
          <w:trHeight w:val="229"/>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8,593.8</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7,403.1</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6,440.4</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3,280.4</w:t>
            </w:r>
          </w:p>
        </w:tc>
        <w:tc>
          <w:tcPr>
            <w:tcW w:w="5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3,799.8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184"/>
        </w:trPr>
        <w:tc>
          <w:tcPr>
            <w:tcW w:w="6780" w:type="dxa"/>
            <w:vAlign w:val="bottom"/>
            <w:shd w:val="clear" w:color="auto" w:fill="DBDBDB"/>
          </w:tcPr>
          <w:p>
            <w:pPr>
              <w:ind w:left="140"/>
              <w:spacing w:after="0" w:line="183" w:lineRule="exact"/>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shd w:val="clear" w:color="auto" w:fill="DBDBDB"/>
          </w:tcPr>
          <w:p>
            <w:pPr>
              <w:spacing w:after="0"/>
              <w:rPr>
                <w:sz w:val="15"/>
                <w:szCs w:val="15"/>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860.6</w:t>
            </w:r>
          </w:p>
        </w:tc>
        <w:tc>
          <w:tcPr>
            <w:tcW w:w="52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1"/>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DBDBDB"/>
          </w:tcPr>
          <w:p>
            <w:pPr>
              <w:spacing w:after="0"/>
              <w:rPr>
                <w:sz w:val="15"/>
                <w:szCs w:val="15"/>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35"/>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(Note 5)</w:t>
            </w:r>
          </w:p>
        </w:tc>
        <w:tc>
          <w:tcPr>
            <w:tcW w:w="320" w:type="dxa"/>
            <w:vAlign w:val="bottom"/>
            <w:shd w:val="clear" w:color="auto" w:fill="DBDBDB"/>
          </w:tcPr>
          <w:p>
            <w:pPr>
              <w:spacing w:after="0"/>
              <w:rPr>
                <w:sz w:val="20"/>
                <w:szCs w:val="20"/>
                <w:color w:val="auto"/>
              </w:rPr>
            </w:pPr>
          </w:p>
        </w:tc>
        <w:tc>
          <w:tcPr>
            <w:tcW w:w="1000" w:type="dxa"/>
            <w:vAlign w:val="bottom"/>
            <w:vMerge w:val="continue"/>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120" w:type="dxa"/>
            <w:vAlign w:val="bottom"/>
            <w:vMerge w:val="continue"/>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0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Other—net, (income) expense (Note 18)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218.6</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23"/>
        </w:trPr>
        <w:tc>
          <w:tcPr>
            <w:tcW w:w="678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32,362.3</w:t>
            </w:r>
          </w:p>
        </w:tc>
        <w:tc>
          <w:tcPr>
            <w:tcW w:w="5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27,569.5</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21,735.0</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12,680.4</w:t>
            </w:r>
          </w:p>
        </w:tc>
        <w:tc>
          <w:tcPr>
            <w:tcW w:w="5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6,554.6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6,806.4</w:t>
            </w:r>
          </w:p>
        </w:tc>
        <w:tc>
          <w:tcPr>
            <w:tcW w:w="0" w:type="dxa"/>
            <w:vAlign w:val="bottom"/>
          </w:tcPr>
          <w:p>
            <w:pPr>
              <w:spacing w:after="0"/>
              <w:rPr>
                <w:sz w:val="1"/>
                <w:szCs w:val="1"/>
                <w:color w:val="auto"/>
              </w:rPr>
            </w:pPr>
          </w:p>
        </w:tc>
      </w:tr>
      <w:tr>
        <w:trPr>
          <w:trHeight w:val="230"/>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(Note 14)</w:t>
            </w:r>
          </w:p>
        </w:tc>
        <w:tc>
          <w:tcPr>
            <w:tcW w:w="3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2,090.4</w:t>
            </w:r>
          </w:p>
        </w:tc>
        <w:tc>
          <w:tcPr>
            <w:tcW w:w="5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1,314.2</w:t>
            </w:r>
          </w:p>
        </w:tc>
        <w:tc>
          <w:tcPr>
            <w:tcW w:w="4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10,590.0</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5,240.4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6,244.8</w:t>
            </w:r>
          </w:p>
        </w:tc>
        <w:tc>
          <w:tcPr>
            <w:tcW w:w="0" w:type="dxa"/>
            <w:vAlign w:val="bottom"/>
          </w:tcPr>
          <w:p>
            <w:pPr>
              <w:spacing w:after="0"/>
              <w:rPr>
                <w:sz w:val="1"/>
                <w:szCs w:val="1"/>
                <w:color w:val="auto"/>
              </w:rPr>
            </w:pPr>
          </w:p>
        </w:tc>
      </w:tr>
      <w:tr>
        <w:trPr>
          <w:trHeight w:val="243"/>
        </w:trPr>
        <w:tc>
          <w:tcPr>
            <w:tcW w:w="67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11.76</w:t>
            </w:r>
          </w:p>
        </w:tc>
        <w:tc>
          <w:tcPr>
            <w:tcW w:w="5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5.82</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67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900,605</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900,181</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901,736</w:t>
            </w:r>
          </w:p>
        </w:tc>
        <w:tc>
          <w:tcPr>
            <w:tcW w:w="0" w:type="dxa"/>
            <w:vAlign w:val="bottom"/>
          </w:tcPr>
          <w:p>
            <w:pPr>
              <w:spacing w:after="0"/>
              <w:rPr>
                <w:sz w:val="1"/>
                <w:szCs w:val="1"/>
                <w:color w:val="auto"/>
              </w:rPr>
            </w:pPr>
          </w:p>
        </w:tc>
      </w:tr>
      <w:tr>
        <w:trPr>
          <w:trHeight w:val="247"/>
        </w:trPr>
        <w:tc>
          <w:tcPr>
            <w:tcW w:w="67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904,059</w:t>
            </w:r>
          </w:p>
        </w:tc>
        <w:tc>
          <w:tcPr>
            <w:tcW w:w="5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903,284</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904,619</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24"/>
        </w:trPr>
        <w:tc>
          <w:tcPr>
            <w:tcW w:w="7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10,590.0</w:t>
            </w:r>
          </w:p>
        </w:tc>
        <w:tc>
          <w:tcPr>
            <w:tcW w:w="34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5,240.4</w:t>
            </w: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6,244.8</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(424.2)</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(248.1)</w:t>
            </w:r>
          </w:p>
        </w:tc>
      </w:tr>
      <w:tr>
        <w:trPr>
          <w:trHeight w:val="229"/>
        </w:trPr>
        <w:tc>
          <w:tcPr>
            <w:tcW w:w="7160" w:type="dxa"/>
            <w:vAlign w:val="bottom"/>
          </w:tcPr>
          <w:p>
            <w:pPr>
              <w:ind w:left="180"/>
              <w:spacing w:after="0"/>
              <w:rPr>
                <w:sz w:val="20"/>
                <w:szCs w:val="20"/>
                <w:color w:val="auto"/>
              </w:rPr>
            </w:pPr>
            <w:r>
              <w:rPr>
                <w:rFonts w:ascii="Arial" w:cs="Arial" w:eastAsia="Arial" w:hAnsi="Arial"/>
                <w:sz w:val="18"/>
                <w:szCs w:val="18"/>
                <w:color w:val="auto"/>
              </w:rPr>
              <w:t>Change in net unrealized gains (losses) on available-for-sale securities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71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Change in retirement benefit plans (Note 15)</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651.8</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(776.5)</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616.9</w:t>
            </w:r>
          </w:p>
        </w:tc>
      </w:tr>
      <w:tr>
        <w:trPr>
          <w:trHeight w:val="229"/>
        </w:trPr>
        <w:tc>
          <w:tcPr>
            <w:tcW w:w="71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Change in net unrealized gains (losses) on cash flow hedges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79.3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109.5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r>
      <w:tr>
        <w:trPr>
          <w:trHeight w:val="223"/>
        </w:trPr>
        <w:tc>
          <w:tcPr>
            <w:tcW w:w="71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299.8</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(678.7)</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748.5</w:t>
            </w:r>
          </w:p>
        </w:tc>
      </w:tr>
      <w:tr>
        <w:trPr>
          <w:trHeight w:val="229"/>
        </w:trPr>
        <w:tc>
          <w:tcPr>
            <w:tcW w:w="71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Benefit (expense) for income taxes related to other comprehensive income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196.3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223"/>
        </w:trPr>
        <w:tc>
          <w:tcPr>
            <w:tcW w:w="7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comprehensive income (loss), net of tax (Note 17)</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b w:val="1"/>
                <w:bCs w:val="1"/>
                <w:color w:val="auto"/>
              </w:rPr>
              <w:t>5.1</w:t>
            </w:r>
          </w:p>
        </w:tc>
        <w:tc>
          <w:tcPr>
            <w:tcW w:w="3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(482.4)</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498.5</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10,595.1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4,758.0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6,743.3</w:t>
            </w:r>
          </w:p>
        </w:tc>
      </w:tr>
    </w:tbl>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shares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 (Note 7)</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3,268.4</w:t>
            </w:r>
          </w:p>
        </w:tc>
        <w:tc>
          <w:tcPr>
            <w:tcW w:w="54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Short-term investments (Note 7)</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154.8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$14.9 (2024)</w:t>
            </w:r>
            <w:r>
              <w:rPr>
                <w:rFonts w:ascii="Arial" w:cs="Arial" w:eastAsia="Arial" w:hAnsi="Arial"/>
                <w:sz w:val="18"/>
                <w:szCs w:val="18"/>
                <w:color w:val="auto"/>
              </w:rPr>
              <w:t xml:space="preserve"> and $14.8 (2023)</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11,005.7</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9,090.5</w:t>
            </w: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2,269.7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2,245.7</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 (Note 6)</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7,589.2</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5,772.8</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8,340.5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5,540.8</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111.4</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32,739.7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25,727.0</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(Note 7)</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3,215.9</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3,052.2</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5,770.3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intangibles, net (Note 8)</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6,166.3</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6,906.6</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Deferred tax assets (Note 14)</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8,000.6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5,477.3</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 net (Note 9)</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17,102.4</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12,913.6</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5,719.7</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78,714.9</w:t>
            </w:r>
          </w:p>
        </w:tc>
        <w:tc>
          <w:tcPr>
            <w:tcW w:w="54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of long-term debt (Note 11)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5,117.1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6,904.5</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3,228.6</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Employee compensation</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2,093.9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Sales rebates and discounts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11,539.3</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11,689.0</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1,346.3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5,051.4</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3,281.3</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28,376.6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27,293.2</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20"/>
              <w:spacing w:after="0"/>
              <w:rPr>
                <w:sz w:val="20"/>
                <w:szCs w:val="20"/>
                <w:color w:val="auto"/>
              </w:rPr>
            </w:pPr>
            <w:r>
              <w:rPr>
                <w:rFonts w:ascii="Arial" w:cs="Arial" w:eastAsia="Arial" w:hAnsi="Arial"/>
                <w:sz w:val="18"/>
                <w:szCs w:val="18"/>
                <w:color w:val="auto"/>
              </w:rPr>
              <w:t>Long-term debt (Note 11)</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28,527.1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18,320.8</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retirement benefits (Note 15)</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1,300.5</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Long-term income taxes payable (Note 14)</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4,060.9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2,178.2</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36,066.7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25,849.4</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Commitments and Contingencies (Note 16)</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Eli Lilly and Company Shareholders' Equity (Notes 12 and 13)</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0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Common stock—no par value</w:t>
            </w: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Authorized shares: 3,200,000</w:t>
            </w:r>
          </w:p>
        </w:tc>
        <w:tc>
          <w:tcPr>
            <w:tcW w:w="32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592.4</w:t>
            </w:r>
          </w:p>
        </w:tc>
        <w:tc>
          <w:tcPr>
            <w:tcW w:w="540" w:type="dxa"/>
            <w:vAlign w:val="bottom"/>
            <w:shd w:val="clear" w:color="auto" w:fill="DBDBDB"/>
          </w:tcPr>
          <w:p>
            <w:pPr>
              <w:spacing w:after="0"/>
              <w:rPr>
                <w:sz w:val="15"/>
                <w:szCs w:val="15"/>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43"/>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947,903 (2024)</w:t>
            </w:r>
            <w:r>
              <w:rPr>
                <w:rFonts w:ascii="Arial" w:cs="Arial" w:eastAsia="Arial" w:hAnsi="Arial"/>
                <w:sz w:val="18"/>
                <w:szCs w:val="18"/>
                <w:color w:val="auto"/>
              </w:rPr>
              <w:t xml:space="preserve"> and 949,781 (2023)</w:t>
            </w:r>
          </w:p>
        </w:tc>
        <w:tc>
          <w:tcPr>
            <w:tcW w:w="320" w:type="dxa"/>
            <w:vAlign w:val="bottom"/>
            <w:shd w:val="clear" w:color="auto" w:fill="DBDBDB"/>
          </w:tcPr>
          <w:p>
            <w:pPr>
              <w:spacing w:after="0"/>
              <w:rPr>
                <w:sz w:val="21"/>
                <w:szCs w:val="21"/>
                <w:color w:val="auto"/>
              </w:rPr>
            </w:pPr>
          </w:p>
        </w:tc>
        <w:tc>
          <w:tcPr>
            <w:tcW w:w="1120" w:type="dxa"/>
            <w:vAlign w:val="bottom"/>
            <w:vMerge w:val="continue"/>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9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7,439.3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29"/>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13,545.0</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10,312.3</w:t>
            </w:r>
          </w:p>
        </w:tc>
        <w:tc>
          <w:tcPr>
            <w:tcW w:w="0" w:type="dxa"/>
            <w:vAlign w:val="bottom"/>
          </w:tcPr>
          <w:p>
            <w:pPr>
              <w:spacing w:after="0"/>
              <w:rPr>
                <w:sz w:val="1"/>
                <w:szCs w:val="1"/>
                <w:color w:val="auto"/>
              </w:rPr>
            </w:pPr>
          </w:p>
        </w:tc>
      </w:tr>
      <w:tr>
        <w:trPr>
          <w:trHeight w:val="230"/>
        </w:trPr>
        <w:tc>
          <w:tcPr>
            <w:tcW w:w="8300" w:type="dxa"/>
            <w:vAlign w:val="bottom"/>
          </w:tcPr>
          <w:p>
            <w:pPr>
              <w:ind w:left="220"/>
              <w:spacing w:after="0"/>
              <w:rPr>
                <w:sz w:val="20"/>
                <w:szCs w:val="20"/>
                <w:color w:val="auto"/>
              </w:rPr>
            </w:pPr>
            <w:r>
              <w:rPr>
                <w:rFonts w:ascii="Arial" w:cs="Arial" w:eastAsia="Arial" w:hAnsi="Arial"/>
                <w:sz w:val="18"/>
                <w:szCs w:val="18"/>
                <w:color w:val="auto"/>
              </w:rPr>
              <w:t>Employee benefit trust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(3,013.2)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30"/>
        </w:trPr>
        <w:tc>
          <w:tcPr>
            <w:tcW w:w="83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Accumulated other comprehensive loss (Note 17)</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(4,321.9)</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Cost of common stock in treasury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14,192.1</w:t>
            </w:r>
          </w:p>
        </w:tc>
        <w:tc>
          <w:tcPr>
            <w:tcW w:w="5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10,771.9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8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b w:val="1"/>
                <w:bCs w:val="1"/>
                <w:color w:val="auto"/>
              </w:rPr>
              <w:t>14,271.6</w:t>
            </w:r>
          </w:p>
        </w:tc>
        <w:tc>
          <w:tcPr>
            <w:tcW w:w="54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10,863.7</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78,714.9</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64,006.3</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00"/>
          </w:cols>
          <w:pgMar w:left="34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6"/>
          </w:tcPr>
          <w:p>
            <w:pPr>
              <w:ind w:left="70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860" w:type="dxa"/>
            <w:vAlign w:val="bottom"/>
            <w:gridSpan w:val="3"/>
          </w:tcPr>
          <w:p>
            <w:pPr>
              <w:jc w:val="right"/>
              <w:ind w:right="47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21"/>
                <w:szCs w:val="21"/>
                <w:color w:val="auto"/>
              </w:rPr>
            </w:pPr>
          </w:p>
        </w:tc>
        <w:tc>
          <w:tcPr>
            <w:tcW w:w="800" w:type="dxa"/>
            <w:vAlign w:val="bottom"/>
          </w:tcPr>
          <w:p>
            <w:pPr>
              <w:jc w:val="right"/>
              <w:ind w:right="160"/>
              <w:spacing w:after="0"/>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gridSpan w:val="3"/>
          </w:tcPr>
          <w:p>
            <w:pPr>
              <w:jc w:val="right"/>
              <w:ind w:right="1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right"/>
              <w:ind w:right="240"/>
              <w:spacing w:after="0" w:line="95" w:lineRule="exact"/>
              <w:rPr>
                <w:sz w:val="20"/>
                <w:szCs w:val="20"/>
                <w:color w:val="auto"/>
              </w:rPr>
            </w:pPr>
            <w:r>
              <w:rPr>
                <w:rFonts w:ascii="Arial" w:cs="Arial" w:eastAsia="Arial" w:hAnsi="Arial"/>
                <w:sz w:val="10"/>
                <w:szCs w:val="10"/>
                <w:b w:val="1"/>
                <w:bCs w:val="1"/>
                <w:color w:val="auto"/>
              </w:rPr>
              <w:t>Paid-in</w:t>
            </w:r>
          </w:p>
        </w:tc>
        <w:tc>
          <w:tcPr>
            <w:tcW w:w="220" w:type="dxa"/>
            <w:vAlign w:val="bottom"/>
          </w:tcPr>
          <w:p>
            <w:pPr>
              <w:spacing w:after="0"/>
              <w:rPr>
                <w:sz w:val="4"/>
                <w:szCs w:val="4"/>
                <w:color w:val="auto"/>
              </w:rPr>
            </w:pPr>
          </w:p>
        </w:tc>
        <w:tc>
          <w:tcPr>
            <w:tcW w:w="780" w:type="dxa"/>
            <w:vAlign w:val="bottom"/>
            <w:vMerge w:val="restart"/>
          </w:tcPr>
          <w:p>
            <w:pPr>
              <w:jc w:val="right"/>
              <w:ind w:right="198"/>
              <w:spacing w:after="0" w:line="95"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4"/>
                <w:szCs w:val="4"/>
                <w:color w:val="auto"/>
              </w:rPr>
            </w:pPr>
          </w:p>
        </w:tc>
        <w:tc>
          <w:tcPr>
            <w:tcW w:w="840" w:type="dxa"/>
            <w:vAlign w:val="bottom"/>
            <w:vMerge w:val="restart"/>
          </w:tcPr>
          <w:p>
            <w:pPr>
              <w:jc w:val="right"/>
              <w:ind w:right="181"/>
              <w:spacing w:after="0" w:line="95" w:lineRule="exact"/>
              <w:rPr>
                <w:sz w:val="20"/>
                <w:szCs w:val="20"/>
                <w:color w:val="auto"/>
              </w:rPr>
            </w:pPr>
            <w:r>
              <w:rPr>
                <w:rFonts w:ascii="Arial" w:cs="Arial" w:eastAsia="Arial" w:hAnsi="Arial"/>
                <w:sz w:val="10"/>
                <w:szCs w:val="10"/>
                <w:b w:val="1"/>
                <w:bCs w:val="1"/>
                <w:color w:val="auto"/>
              </w:rPr>
              <w:t>Employee</w:t>
            </w:r>
          </w:p>
        </w:tc>
        <w:tc>
          <w:tcPr>
            <w:tcW w:w="1300" w:type="dxa"/>
            <w:vAlign w:val="bottom"/>
            <w:gridSpan w:val="2"/>
            <w:vMerge w:val="restart"/>
          </w:tcPr>
          <w:p>
            <w:pPr>
              <w:jc w:val="right"/>
              <w:ind w:right="117"/>
              <w:spacing w:after="0" w:line="95" w:lineRule="exact"/>
              <w:rPr>
                <w:sz w:val="20"/>
                <w:szCs w:val="20"/>
                <w:color w:val="auto"/>
              </w:rPr>
            </w:pPr>
            <w:r>
              <w:rPr>
                <w:rFonts w:ascii="Arial" w:cs="Arial" w:eastAsia="Arial" w:hAnsi="Arial"/>
                <w:sz w:val="10"/>
                <w:szCs w:val="10"/>
                <w:b w:val="1"/>
                <w:bCs w:val="1"/>
                <w:color w:val="auto"/>
              </w:rPr>
              <w:t>Accumulated Other</w:t>
            </w: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restart"/>
          </w:tcPr>
          <w:p>
            <w:pPr>
              <w:jc w:val="right"/>
              <w:ind w:right="9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080" w:type="dxa"/>
            <w:vAlign w:val="bottom"/>
            <w:vMerge w:val="continue"/>
          </w:tcPr>
          <w:p>
            <w:pPr>
              <w:spacing w:after="0" w:line="20" w:lineRule="exact"/>
              <w:rPr>
                <w:sz w:val="1"/>
                <w:szCs w:val="1"/>
                <w:color w:val="auto"/>
              </w:rPr>
            </w:pPr>
          </w:p>
        </w:tc>
        <w:tc>
          <w:tcPr>
            <w:tcW w:w="940" w:type="dxa"/>
            <w:vAlign w:val="bottom"/>
            <w:vMerge w:val="restart"/>
          </w:tcPr>
          <w:p>
            <w:pPr>
              <w:jc w:val="right"/>
              <w:ind w:right="259"/>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line="20" w:lineRule="exact"/>
              <w:rPr>
                <w:sz w:val="1"/>
                <w:szCs w:val="1"/>
                <w:color w:val="auto"/>
              </w:rPr>
            </w:pPr>
          </w:p>
        </w:tc>
        <w:tc>
          <w:tcPr>
            <w:tcW w:w="70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line="20" w:lineRule="exact"/>
              <w:rPr>
                <w:sz w:val="1"/>
                <w:szCs w:val="1"/>
                <w:color w:val="auto"/>
              </w:rPr>
            </w:pPr>
          </w:p>
        </w:tc>
        <w:tc>
          <w:tcPr>
            <w:tcW w:w="7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data, and shares in thousands)</w:t>
            </w: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w w:val="97"/>
              </w:rPr>
              <w:t>Benefit Trust</w:t>
            </w: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Comprehensive Loss</w:t>
            </w: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176"/>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January 1, 2022</w:t>
            </w:r>
          </w:p>
        </w:tc>
        <w:tc>
          <w:tcPr>
            <w:tcW w:w="9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954,116</w:t>
            </w:r>
          </w:p>
        </w:tc>
        <w:tc>
          <w:tcPr>
            <w:tcW w:w="2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596.3</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6,833.4</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8,958.5</w:t>
            </w:r>
          </w:p>
        </w:tc>
        <w:tc>
          <w:tcPr>
            <w:tcW w:w="1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ind w:right="21"/>
              <w:spacing w:after="0"/>
              <w:rPr>
                <w:sz w:val="20"/>
                <w:szCs w:val="20"/>
                <w:color w:val="auto"/>
              </w:rPr>
            </w:pPr>
            <w:r>
              <w:rPr>
                <w:rFonts w:ascii="Arial" w:cs="Arial" w:eastAsia="Arial" w:hAnsi="Arial"/>
                <w:sz w:val="13"/>
                <w:szCs w:val="13"/>
                <w:color w:val="auto"/>
              </w:rPr>
              <w:t>(3,013.2)</w:t>
            </w:r>
          </w:p>
        </w:tc>
        <w:tc>
          <w:tcPr>
            <w:tcW w:w="460" w:type="dxa"/>
            <w:vAlign w:val="bottom"/>
            <w:shd w:val="clear" w:color="auto" w:fill="D8D8D8"/>
          </w:tcPr>
          <w:p>
            <w:pPr>
              <w:ind w:lef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(4,343.1)</w:t>
            </w: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463</w:t>
            </w:r>
          </w:p>
        </w:tc>
        <w:tc>
          <w:tcPr>
            <w:tcW w:w="2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(52.7)</w:t>
            </w:r>
          </w:p>
        </w:tc>
        <w:tc>
          <w:tcPr>
            <w:tcW w:w="2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175.6</w:t>
            </w: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6,244.8</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26"/>
        </w:trPr>
        <w:tc>
          <w:tcPr>
            <w:tcW w:w="2080" w:type="dxa"/>
            <w:vAlign w:val="bottom"/>
            <w:shd w:val="clear" w:color="auto" w:fill="D8D8D8"/>
          </w:tcPr>
          <w:p>
            <w:pPr>
              <w:ind w:left="20"/>
              <w:spacing w:after="0" w:line="126"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46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82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840" w:type="dxa"/>
            <w:vAlign w:val="bottom"/>
            <w:shd w:val="clear" w:color="auto" w:fill="D8D8D8"/>
          </w:tcPr>
          <w:p>
            <w:pPr>
              <w:jc w:val="right"/>
              <w:ind w:right="97"/>
              <w:spacing w:after="0"/>
              <w:rPr>
                <w:sz w:val="20"/>
                <w:szCs w:val="20"/>
                <w:color w:val="auto"/>
              </w:rPr>
            </w:pPr>
            <w:r>
              <w:rPr>
                <w:rFonts w:ascii="Arial" w:cs="Arial" w:eastAsia="Arial" w:hAnsi="Arial"/>
                <w:sz w:val="13"/>
                <w:szCs w:val="13"/>
                <w:color w:val="auto"/>
              </w:rPr>
              <w:t>498.5</w:t>
            </w:r>
          </w:p>
        </w:tc>
        <w:tc>
          <w:tcPr>
            <w:tcW w:w="8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9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3"/>
                <w:szCs w:val="13"/>
                <w:color w:val="auto"/>
              </w:rPr>
              <w:t>$4.07</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(3,667.5)</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3"/>
                <w:szCs w:val="13"/>
                <w:color w:val="auto"/>
              </w:rPr>
              <w:t>(5,607)</w:t>
            </w: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(3.5)</w:t>
            </w: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(1,496.5)</w:t>
            </w: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(5,607)</w:t>
            </w: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1,500.0</w:t>
            </w: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5,607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(1,500.0)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D8D8D8"/>
          </w:tcPr>
          <w:p>
            <w:pPr>
              <w:ind w:left="20"/>
              <w:spacing w:after="0" w:line="126" w:lineRule="exact"/>
              <w:rPr>
                <w:sz w:val="20"/>
                <w:szCs w:val="20"/>
                <w:color w:val="auto"/>
              </w:rPr>
            </w:pPr>
            <w:r>
              <w:rPr>
                <w:rFonts w:ascii="Arial" w:cs="Arial" w:eastAsia="Arial" w:hAnsi="Arial"/>
                <w:sz w:val="13"/>
                <w:szCs w:val="13"/>
                <w:color w:val="auto"/>
              </w:rPr>
              <w:t>Issuance of stock under employee</w:t>
            </w:r>
          </w:p>
        </w:tc>
        <w:tc>
          <w:tcPr>
            <w:tcW w:w="94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46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82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2,123</w:t>
            </w:r>
          </w:p>
        </w:tc>
        <w:tc>
          <w:tcPr>
            <w:tcW w:w="22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jc w:val="right"/>
              <w:ind w:right="20"/>
              <w:spacing w:after="0"/>
              <w:rPr>
                <w:sz w:val="20"/>
                <w:szCs w:val="20"/>
                <w:color w:val="auto"/>
              </w:rPr>
            </w:pPr>
            <w:r>
              <w:rPr>
                <w:rFonts w:ascii="Arial" w:cs="Arial" w:eastAsia="Arial" w:hAnsi="Arial"/>
                <w:sz w:val="13"/>
                <w:szCs w:val="13"/>
                <w:color w:val="auto"/>
              </w:rPr>
              <w:t>(283.1)</w:t>
            </w:r>
          </w:p>
        </w:tc>
        <w:tc>
          <w:tcPr>
            <w:tcW w:w="22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(13)</w:t>
            </w: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2.2</w:t>
            </w:r>
          </w:p>
        </w:tc>
        <w:tc>
          <w:tcPr>
            <w:tcW w:w="240" w:type="dxa"/>
            <w:vAlign w:val="bottom"/>
            <w:shd w:val="clear" w:color="auto" w:fill="D8D8D8"/>
          </w:tcPr>
          <w:p>
            <w:pPr>
              <w:spacing w:after="0"/>
              <w:rPr>
                <w:sz w:val="16"/>
                <w:szCs w:val="16"/>
                <w:color w:val="auto"/>
              </w:rPr>
            </w:pPr>
          </w:p>
        </w:tc>
        <w:tc>
          <w:tcPr>
            <w:tcW w:w="9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371.1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80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jc w:val="right"/>
              <w:ind w:right="58"/>
              <w:spacing w:after="0"/>
              <w:rPr>
                <w:sz w:val="20"/>
                <w:szCs w:val="20"/>
                <w:color w:val="auto"/>
              </w:rPr>
            </w:pPr>
            <w:r>
              <w:rPr>
                <w:rFonts w:ascii="Arial" w:cs="Arial" w:eastAsia="Arial" w:hAnsi="Arial"/>
                <w:sz w:val="13"/>
                <w:szCs w:val="13"/>
                <w:color w:val="auto"/>
              </w:rPr>
              <w:t>3.3</w:t>
            </w:r>
          </w:p>
        </w:tc>
        <w:tc>
          <w:tcPr>
            <w:tcW w:w="140" w:type="dxa"/>
            <w:vAlign w:val="bottom"/>
            <w:tcBorders>
              <w:bottom w:val="single" w:sz="8" w:color="auto"/>
            </w:tcBorders>
            <w:shd w:val="clear" w:color="auto" w:fill="D8D8D8"/>
          </w:tcPr>
          <w:p>
            <w:pPr>
              <w:spacing w:after="0"/>
              <w:rPr>
                <w:sz w:val="15"/>
                <w:szCs w:val="15"/>
                <w:color w:val="auto"/>
              </w:rPr>
            </w:pPr>
          </w:p>
        </w:tc>
        <w:tc>
          <w:tcPr>
            <w:tcW w:w="840" w:type="dxa"/>
            <w:vAlign w:val="bottom"/>
            <w:tcBorders>
              <w:bottom w:val="single" w:sz="8" w:color="auto"/>
            </w:tcBorders>
            <w:shd w:val="clear" w:color="auto" w:fill="D8D8D8"/>
          </w:tcPr>
          <w:p>
            <w:pPr>
              <w:spacing w:after="0"/>
              <w:rPr>
                <w:sz w:val="15"/>
                <w:szCs w:val="15"/>
                <w:color w:val="auto"/>
              </w:rPr>
            </w:pPr>
          </w:p>
        </w:tc>
        <w:tc>
          <w:tcPr>
            <w:tcW w:w="460" w:type="dxa"/>
            <w:vAlign w:val="bottom"/>
            <w:tcBorders>
              <w:bottom w:val="single" w:sz="8" w:color="auto"/>
            </w:tcBorders>
            <w:shd w:val="clear" w:color="auto" w:fill="D8D8D8"/>
          </w:tcPr>
          <w:p>
            <w:pPr>
              <w:spacing w:after="0"/>
              <w:rPr>
                <w:sz w:val="15"/>
                <w:szCs w:val="15"/>
                <w:color w:val="auto"/>
              </w:rPr>
            </w:pPr>
          </w:p>
        </w:tc>
        <w:tc>
          <w:tcPr>
            <w:tcW w:w="84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940" w:type="dxa"/>
            <w:vAlign w:val="bottom"/>
          </w:tcPr>
          <w:p>
            <w:pPr>
              <w:jc w:val="right"/>
              <w:ind w:right="59"/>
              <w:spacing w:after="0"/>
              <w:rPr>
                <w:sz w:val="20"/>
                <w:szCs w:val="20"/>
                <w:color w:val="auto"/>
              </w:rPr>
            </w:pPr>
            <w:r>
              <w:rPr>
                <w:rFonts w:ascii="Arial" w:cs="Arial" w:eastAsia="Arial" w:hAnsi="Arial"/>
                <w:sz w:val="13"/>
                <w:szCs w:val="13"/>
                <w:color w:val="auto"/>
              </w:rPr>
              <w:t>950,632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594.1</w:t>
            </w:r>
          </w:p>
        </w:tc>
        <w:tc>
          <w:tcPr>
            <w:tcW w:w="24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3"/>
                <w:szCs w:val="13"/>
                <w:color w:val="auto"/>
              </w:rPr>
              <w:t>6,921.4</w:t>
            </w: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10,042.6</w:t>
            </w:r>
          </w:p>
        </w:tc>
        <w:tc>
          <w:tcPr>
            <w:tcW w:w="14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3"/>
                <w:szCs w:val="13"/>
                <w:color w:val="auto"/>
              </w:rPr>
              <w:t>(3,013.2)</w:t>
            </w:r>
          </w:p>
        </w:tc>
        <w:tc>
          <w:tcPr>
            <w:tcW w:w="46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(3,844.6)</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450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(50.5)</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125.6</w:t>
            </w: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5,240.4</w:t>
            </w: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 net of</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3"/>
                <w:szCs w:val="13"/>
                <w:color w:val="auto"/>
              </w:rPr>
              <w:t>tax</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(482.4)</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80" w:type="dxa"/>
            <w:vAlign w:val="bottom"/>
            <w:shd w:val="clear" w:color="auto" w:fill="D8D8D8"/>
          </w:tcPr>
          <w:p>
            <w:pPr>
              <w:ind w:left="20"/>
              <w:spacing w:after="0" w:line="129"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84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840" w:type="dxa"/>
            <w:vAlign w:val="bottom"/>
            <w:shd w:val="clear" w:color="auto" w:fill="D8D8D8"/>
          </w:tcPr>
          <w:p>
            <w:pPr>
              <w:spacing w:after="0"/>
              <w:rPr>
                <w:sz w:val="11"/>
                <w:szCs w:val="11"/>
                <w:color w:val="auto"/>
              </w:rPr>
            </w:pPr>
          </w:p>
        </w:tc>
        <w:tc>
          <w:tcPr>
            <w:tcW w:w="82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9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$4.69</w:t>
            </w:r>
          </w:p>
        </w:tc>
        <w:tc>
          <w:tcPr>
            <w:tcW w:w="9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0" w:type="dxa"/>
            <w:vAlign w:val="bottom"/>
            <w:shd w:val="clear" w:color="auto" w:fill="D8D8D8"/>
          </w:tcPr>
          <w:p>
            <w:pPr>
              <w:jc w:val="right"/>
              <w:ind w:right="18"/>
              <w:spacing w:after="0"/>
              <w:rPr>
                <w:sz w:val="20"/>
                <w:szCs w:val="20"/>
                <w:color w:val="auto"/>
              </w:rPr>
            </w:pPr>
            <w:r>
              <w:rPr>
                <w:rFonts w:ascii="Arial" w:cs="Arial" w:eastAsia="Arial" w:hAnsi="Arial"/>
                <w:sz w:val="13"/>
                <w:szCs w:val="13"/>
                <w:color w:val="auto"/>
              </w:rPr>
              <w:t>(4,221.3)</w:t>
            </w:r>
          </w:p>
        </w:tc>
        <w:tc>
          <w:tcPr>
            <w:tcW w:w="1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9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(2,299)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(748.6)</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(2,299)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750.0</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2,299</w:t>
            </w: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(750.0)</w:t>
            </w: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under employee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tcPr>
          <w:p>
            <w:pPr>
              <w:jc w:val="right"/>
              <w:ind w:right="59"/>
              <w:spacing w:after="0"/>
              <w:rPr>
                <w:sz w:val="20"/>
                <w:szCs w:val="20"/>
                <w:color w:val="auto"/>
              </w:rPr>
            </w:pPr>
            <w:r>
              <w:rPr>
                <w:rFonts w:ascii="Arial" w:cs="Arial" w:eastAsia="Arial" w:hAnsi="Arial"/>
                <w:sz w:val="13"/>
                <w:szCs w:val="13"/>
                <w:color w:val="auto"/>
              </w:rPr>
              <w:t>1,448</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0.9</w:t>
            </w:r>
          </w:p>
        </w:tc>
        <w:tc>
          <w:tcPr>
            <w:tcW w:w="24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3"/>
                <w:szCs w:val="13"/>
                <w:color w:val="auto"/>
              </w:rPr>
              <w:t>(299.5)</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628.5</w:t>
            </w: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D8D8D8"/>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(0.8)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7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December 31, 2023</w:t>
            </w:r>
          </w:p>
        </w:tc>
        <w:tc>
          <w:tcPr>
            <w:tcW w:w="940" w:type="dxa"/>
            <w:vAlign w:val="bottom"/>
            <w:shd w:val="clear" w:color="auto" w:fill="D8D8D8"/>
          </w:tcPr>
          <w:p>
            <w:pPr>
              <w:jc w:val="right"/>
              <w:ind w:right="59"/>
              <w:spacing w:after="0"/>
              <w:rPr>
                <w:sz w:val="20"/>
                <w:szCs w:val="20"/>
                <w:color w:val="auto"/>
              </w:rPr>
            </w:pPr>
            <w:r>
              <w:rPr>
                <w:rFonts w:ascii="Arial" w:cs="Arial" w:eastAsia="Arial" w:hAnsi="Arial"/>
                <w:sz w:val="13"/>
                <w:szCs w:val="13"/>
                <w:color w:val="auto"/>
              </w:rPr>
              <w:t>949,781</w:t>
            </w: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593.6</w:t>
            </w: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3"/>
                <w:szCs w:val="13"/>
                <w:color w:val="auto"/>
              </w:rPr>
              <w:t>7,250.4</w:t>
            </w: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jc w:val="right"/>
              <w:ind w:right="58"/>
              <w:spacing w:after="0"/>
              <w:rPr>
                <w:sz w:val="20"/>
                <w:szCs w:val="20"/>
                <w:color w:val="auto"/>
              </w:rPr>
            </w:pPr>
            <w:r>
              <w:rPr>
                <w:rFonts w:ascii="Arial" w:cs="Arial" w:eastAsia="Arial" w:hAnsi="Arial"/>
                <w:sz w:val="13"/>
                <w:szCs w:val="13"/>
                <w:color w:val="auto"/>
              </w:rPr>
              <w:t>10,312.3</w:t>
            </w: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jc w:val="right"/>
              <w:ind w:right="21"/>
              <w:spacing w:after="0"/>
              <w:rPr>
                <w:sz w:val="20"/>
                <w:szCs w:val="20"/>
                <w:color w:val="auto"/>
              </w:rPr>
            </w:pPr>
            <w:r>
              <w:rPr>
                <w:rFonts w:ascii="Arial" w:cs="Arial" w:eastAsia="Arial" w:hAnsi="Arial"/>
                <w:sz w:val="13"/>
                <w:szCs w:val="13"/>
                <w:color w:val="auto"/>
              </w:rPr>
              <w:t>(3,013.2)</w:t>
            </w: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(4,327.0)</w:t>
            </w:r>
          </w:p>
        </w:tc>
        <w:tc>
          <w:tcPr>
            <w:tcW w:w="820" w:type="dxa"/>
            <w:vAlign w:val="bottom"/>
            <w:shd w:val="clear" w:color="auto" w:fill="D8D8D8"/>
          </w:tcPr>
          <w:p>
            <w:pPr>
              <w:jc w:val="right"/>
              <w:ind w:right="38"/>
              <w:spacing w:after="0"/>
              <w:rPr>
                <w:sz w:val="20"/>
                <w:szCs w:val="20"/>
                <w:color w:val="auto"/>
              </w:rPr>
            </w:pPr>
            <w:r>
              <w:rPr>
                <w:rFonts w:ascii="Arial" w:cs="Arial" w:eastAsia="Arial" w:hAnsi="Arial"/>
                <w:sz w:val="13"/>
                <w:szCs w:val="13"/>
                <w:color w:val="auto"/>
              </w:rPr>
              <w:t>402</w:t>
            </w: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(44.2)</w:t>
            </w: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10,590.0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(6.0)</w:t>
            </w:r>
          </w:p>
        </w:tc>
        <w:tc>
          <w:tcPr>
            <w:tcW w:w="0" w:type="dxa"/>
            <w:vAlign w:val="bottom"/>
          </w:tcPr>
          <w:p>
            <w:pPr>
              <w:spacing w:after="0"/>
              <w:rPr>
                <w:sz w:val="1"/>
                <w:szCs w:val="1"/>
                <w:color w:val="auto"/>
              </w:rPr>
            </w:pPr>
          </w:p>
        </w:tc>
      </w:tr>
      <w:tr>
        <w:trPr>
          <w:trHeight w:val="123"/>
        </w:trPr>
        <w:tc>
          <w:tcPr>
            <w:tcW w:w="2080" w:type="dxa"/>
            <w:vAlign w:val="bottom"/>
            <w:shd w:val="clear" w:color="auto" w:fill="D8D8D8"/>
          </w:tcPr>
          <w:p>
            <w:pPr>
              <w:ind w:left="20"/>
              <w:spacing w:after="0" w:line="123"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0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80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460" w:type="dxa"/>
            <w:vAlign w:val="bottom"/>
            <w:shd w:val="clear" w:color="auto" w:fill="D8D8D8"/>
          </w:tcPr>
          <w:p>
            <w:pPr>
              <w:spacing w:after="0"/>
              <w:rPr>
                <w:sz w:val="10"/>
                <w:szCs w:val="10"/>
                <w:color w:val="auto"/>
              </w:rPr>
            </w:pPr>
          </w:p>
        </w:tc>
        <w:tc>
          <w:tcPr>
            <w:tcW w:w="840" w:type="dxa"/>
            <w:vAlign w:val="bottom"/>
            <w:vMerge w:val="restart"/>
            <w:shd w:val="clear" w:color="auto" w:fill="D8D8D8"/>
          </w:tcPr>
          <w:p>
            <w:pPr>
              <w:jc w:val="right"/>
              <w:ind w:right="97"/>
              <w:spacing w:after="0"/>
              <w:rPr>
                <w:sz w:val="20"/>
                <w:szCs w:val="20"/>
                <w:color w:val="auto"/>
              </w:rPr>
            </w:pPr>
            <w:r>
              <w:rPr>
                <w:rFonts w:ascii="Arial" w:cs="Arial" w:eastAsia="Arial" w:hAnsi="Arial"/>
                <w:sz w:val="13"/>
                <w:szCs w:val="13"/>
                <w:b w:val="1"/>
                <w:bCs w:val="1"/>
                <w:color w:val="auto"/>
              </w:rPr>
              <w:t>5.1</w:t>
            </w:r>
          </w:p>
        </w:tc>
        <w:tc>
          <w:tcPr>
            <w:tcW w:w="82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720" w:type="dxa"/>
            <w:vAlign w:val="bottom"/>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840" w:type="dxa"/>
            <w:vAlign w:val="bottom"/>
            <w:vMerge w:val="continue"/>
            <w:shd w:val="clear" w:color="auto" w:fill="D8D8D8"/>
          </w:tcPr>
          <w:p>
            <w:pPr>
              <w:spacing w:after="0"/>
              <w:rPr>
                <w:sz w:val="16"/>
                <w:szCs w:val="16"/>
                <w:color w:val="auto"/>
              </w:rPr>
            </w:pPr>
          </w:p>
        </w:tc>
        <w:tc>
          <w:tcPr>
            <w:tcW w:w="8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9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(4,857.5)</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20"/>
              <w:spacing w:after="0"/>
              <w:rPr>
                <w:sz w:val="20"/>
                <w:szCs w:val="20"/>
                <w:color w:val="auto"/>
              </w:rPr>
            </w:pPr>
            <w:r>
              <w:rPr>
                <w:rFonts w:ascii="Arial" w:cs="Arial" w:eastAsia="Arial" w:hAnsi="Arial"/>
                <w:sz w:val="13"/>
                <w:szCs w:val="13"/>
                <w:color w:val="auto"/>
              </w:rPr>
              <w:t>$5.40</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3"/>
                <w:szCs w:val="13"/>
                <w:b w:val="1"/>
                <w:bCs w:val="1"/>
                <w:color w:val="auto"/>
              </w:rPr>
              <w:t>(2,964)</w:t>
            </w:r>
          </w:p>
        </w:tc>
        <w:tc>
          <w:tcPr>
            <w:tcW w:w="220" w:type="dxa"/>
            <w:vAlign w:val="bottom"/>
            <w:shd w:val="clear" w:color="auto" w:fill="D8D8D8"/>
          </w:tcPr>
          <w:p>
            <w:pPr>
              <w:spacing w:after="0"/>
              <w:rPr>
                <w:sz w:val="15"/>
                <w:szCs w:val="15"/>
                <w:color w:val="auto"/>
              </w:rPr>
            </w:pP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(1.8)</w:t>
            </w:r>
          </w:p>
        </w:tc>
        <w:tc>
          <w:tcPr>
            <w:tcW w:w="2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220" w:type="dxa"/>
            <w:vAlign w:val="bottom"/>
            <w:shd w:val="clear" w:color="auto" w:fill="D8D8D8"/>
          </w:tcPr>
          <w:p>
            <w:pPr>
              <w:spacing w:after="0"/>
              <w:rPr>
                <w:sz w:val="15"/>
                <w:szCs w:val="15"/>
                <w:color w:val="auto"/>
              </w:rPr>
            </w:pPr>
          </w:p>
        </w:tc>
        <w:tc>
          <w:tcPr>
            <w:tcW w:w="780" w:type="dxa"/>
            <w:vAlign w:val="bottom"/>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(2,498.2)</w:t>
            </w:r>
          </w:p>
        </w:tc>
        <w:tc>
          <w:tcPr>
            <w:tcW w:w="14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4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(2,964)</w:t>
            </w:r>
          </w:p>
        </w:tc>
        <w:tc>
          <w:tcPr>
            <w:tcW w:w="220" w:type="dxa"/>
            <w:vAlign w:val="bottom"/>
            <w:shd w:val="clear" w:color="auto" w:fill="D8D8D8"/>
          </w:tcPr>
          <w:p>
            <w:pPr>
              <w:spacing w:after="0"/>
              <w:rPr>
                <w:sz w:val="15"/>
                <w:szCs w:val="15"/>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2,500.0</w:t>
            </w:r>
          </w:p>
        </w:tc>
        <w:tc>
          <w:tcPr>
            <w:tcW w:w="240" w:type="dxa"/>
            <w:vAlign w:val="bottom"/>
            <w:shd w:val="clear" w:color="auto" w:fill="D8D8D8"/>
          </w:tcPr>
          <w:p>
            <w:pPr>
              <w:spacing w:after="0"/>
              <w:rPr>
                <w:sz w:val="15"/>
                <w:szCs w:val="15"/>
                <w:color w:val="auto"/>
              </w:rPr>
            </w:pPr>
          </w:p>
        </w:tc>
        <w:tc>
          <w:tcPr>
            <w:tcW w:w="9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2,964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(2,500.0)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80" w:type="dxa"/>
            <w:vAlign w:val="bottom"/>
            <w:shd w:val="clear" w:color="auto" w:fill="D8D8D8"/>
          </w:tcPr>
          <w:p>
            <w:pPr>
              <w:ind w:left="20"/>
              <w:spacing w:after="0" w:line="123"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shd w:val="clear" w:color="auto" w:fill="D8D8D8"/>
          </w:tcPr>
          <w:p>
            <w:pPr>
              <w:jc w:val="right"/>
              <w:ind w:right="59"/>
              <w:spacing w:after="0"/>
              <w:rPr>
                <w:sz w:val="20"/>
                <w:szCs w:val="20"/>
                <w:color w:val="auto"/>
              </w:rPr>
            </w:pPr>
            <w:r>
              <w:rPr>
                <w:rFonts w:ascii="Arial" w:cs="Arial" w:eastAsia="Arial" w:hAnsi="Arial"/>
                <w:sz w:val="13"/>
                <w:szCs w:val="13"/>
                <w:b w:val="1"/>
                <w:bCs w:val="1"/>
                <w:color w:val="auto"/>
              </w:rPr>
              <w:t>1,086</w:t>
            </w:r>
          </w:p>
        </w:tc>
        <w:tc>
          <w:tcPr>
            <w:tcW w:w="220" w:type="dxa"/>
            <w:vAlign w:val="bottom"/>
            <w:shd w:val="clear" w:color="auto" w:fill="D8D8D8"/>
          </w:tcPr>
          <w:p>
            <w:pPr>
              <w:spacing w:after="0"/>
              <w:rPr>
                <w:sz w:val="10"/>
                <w:szCs w:val="10"/>
                <w:color w:val="auto"/>
              </w:rPr>
            </w:pPr>
          </w:p>
        </w:tc>
        <w:tc>
          <w:tcPr>
            <w:tcW w:w="70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0.6</w:t>
            </w:r>
          </w:p>
        </w:tc>
        <w:tc>
          <w:tcPr>
            <w:tcW w:w="240" w:type="dxa"/>
            <w:vAlign w:val="bottom"/>
            <w:shd w:val="clear" w:color="auto" w:fill="D8D8D8"/>
          </w:tcPr>
          <w:p>
            <w:pPr>
              <w:spacing w:after="0"/>
              <w:rPr>
                <w:sz w:val="10"/>
                <w:szCs w:val="10"/>
                <w:color w:val="auto"/>
              </w:rPr>
            </w:pPr>
          </w:p>
        </w:tc>
        <w:tc>
          <w:tcPr>
            <w:tcW w:w="800" w:type="dxa"/>
            <w:vAlign w:val="bottom"/>
            <w:vMerge w:val="restart"/>
            <w:shd w:val="clear" w:color="auto" w:fill="D8D8D8"/>
          </w:tcPr>
          <w:p>
            <w:pPr>
              <w:jc w:val="right"/>
              <w:ind w:right="20"/>
              <w:spacing w:after="0"/>
              <w:rPr>
                <w:sz w:val="20"/>
                <w:szCs w:val="20"/>
                <w:color w:val="auto"/>
              </w:rPr>
            </w:pPr>
            <w:r>
              <w:rPr>
                <w:rFonts w:ascii="Arial" w:cs="Arial" w:eastAsia="Arial" w:hAnsi="Arial"/>
                <w:sz w:val="13"/>
                <w:szCs w:val="13"/>
                <w:b w:val="1"/>
                <w:bCs w:val="1"/>
                <w:color w:val="auto"/>
              </w:rPr>
              <w:t>(456.7)</w:t>
            </w:r>
          </w:p>
        </w:tc>
        <w:tc>
          <w:tcPr>
            <w:tcW w:w="220" w:type="dxa"/>
            <w:vAlign w:val="bottom"/>
            <w:shd w:val="clear" w:color="auto" w:fill="D8D8D8"/>
          </w:tcPr>
          <w:p>
            <w:pPr>
              <w:spacing w:after="0"/>
              <w:rPr>
                <w:sz w:val="10"/>
                <w:szCs w:val="10"/>
                <w:color w:val="auto"/>
              </w:rPr>
            </w:pPr>
          </w:p>
        </w:tc>
        <w:tc>
          <w:tcPr>
            <w:tcW w:w="780" w:type="dxa"/>
            <w:vAlign w:val="bottom"/>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46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(37)</w:t>
            </w:r>
          </w:p>
        </w:tc>
        <w:tc>
          <w:tcPr>
            <w:tcW w:w="220" w:type="dxa"/>
            <w:vAlign w:val="bottom"/>
            <w:shd w:val="clear" w:color="auto" w:fill="D8D8D8"/>
          </w:tcPr>
          <w:p>
            <w:pPr>
              <w:spacing w:after="0"/>
              <w:rPr>
                <w:sz w:val="10"/>
                <w:szCs w:val="10"/>
                <w:color w:val="auto"/>
              </w:rPr>
            </w:pPr>
          </w:p>
        </w:tc>
        <w:tc>
          <w:tcPr>
            <w:tcW w:w="72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11.5</w:t>
            </w:r>
          </w:p>
        </w:tc>
        <w:tc>
          <w:tcPr>
            <w:tcW w:w="240" w:type="dxa"/>
            <w:vAlign w:val="bottom"/>
            <w:shd w:val="clear" w:color="auto" w:fill="D8D8D8"/>
          </w:tcPr>
          <w:p>
            <w:pPr>
              <w:spacing w:after="0"/>
              <w:rPr>
                <w:sz w:val="10"/>
                <w:szCs w:val="10"/>
                <w:color w:val="auto"/>
              </w:rPr>
            </w:pPr>
          </w:p>
        </w:tc>
        <w:tc>
          <w:tcPr>
            <w:tcW w:w="98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0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80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820" w:type="dxa"/>
            <w:vAlign w:val="bottom"/>
            <w:vMerge w:val="continue"/>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vMerge w:val="continue"/>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9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3"/>
                <w:szCs w:val="13"/>
                <w:b w:val="1"/>
                <w:bCs w:val="1"/>
                <w:color w:val="auto"/>
              </w:rPr>
              <w:t>645.6</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80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jc w:val="right"/>
              <w:ind w:right="18"/>
              <w:spacing w:after="0"/>
              <w:rPr>
                <w:sz w:val="20"/>
                <w:szCs w:val="20"/>
                <w:color w:val="auto"/>
              </w:rPr>
            </w:pPr>
            <w:r>
              <w:rPr>
                <w:rFonts w:ascii="Arial" w:cs="Arial" w:eastAsia="Arial" w:hAnsi="Arial"/>
                <w:sz w:val="13"/>
                <w:szCs w:val="13"/>
                <w:b w:val="1"/>
                <w:bCs w:val="1"/>
                <w:color w:val="auto"/>
              </w:rPr>
              <w:t>(1.6)</w:t>
            </w:r>
          </w:p>
        </w:tc>
        <w:tc>
          <w:tcPr>
            <w:tcW w:w="140" w:type="dxa"/>
            <w:vAlign w:val="bottom"/>
            <w:tcBorders>
              <w:bottom w:val="single" w:sz="8" w:color="auto"/>
            </w:tcBorders>
            <w:shd w:val="clear" w:color="auto" w:fill="D8D8D8"/>
          </w:tcPr>
          <w:p>
            <w:pPr>
              <w:spacing w:after="0"/>
              <w:rPr>
                <w:sz w:val="15"/>
                <w:szCs w:val="15"/>
                <w:color w:val="auto"/>
              </w:rPr>
            </w:pPr>
          </w:p>
        </w:tc>
        <w:tc>
          <w:tcPr>
            <w:tcW w:w="840" w:type="dxa"/>
            <w:vAlign w:val="bottom"/>
            <w:tcBorders>
              <w:bottom w:val="single" w:sz="8" w:color="auto"/>
            </w:tcBorders>
            <w:shd w:val="clear" w:color="auto" w:fill="D8D8D8"/>
          </w:tcPr>
          <w:p>
            <w:pPr>
              <w:spacing w:after="0"/>
              <w:rPr>
                <w:sz w:val="15"/>
                <w:szCs w:val="15"/>
                <w:color w:val="auto"/>
              </w:rPr>
            </w:pPr>
          </w:p>
        </w:tc>
        <w:tc>
          <w:tcPr>
            <w:tcW w:w="460" w:type="dxa"/>
            <w:vAlign w:val="bottom"/>
            <w:tcBorders>
              <w:bottom w:val="single" w:sz="8" w:color="auto"/>
            </w:tcBorders>
            <w:shd w:val="clear" w:color="auto" w:fill="D8D8D8"/>
          </w:tcPr>
          <w:p>
            <w:pPr>
              <w:spacing w:after="0"/>
              <w:rPr>
                <w:sz w:val="15"/>
                <w:szCs w:val="15"/>
                <w:color w:val="auto"/>
              </w:rPr>
            </w:pPr>
          </w:p>
        </w:tc>
        <w:tc>
          <w:tcPr>
            <w:tcW w:w="840" w:type="dxa"/>
            <w:vAlign w:val="bottom"/>
            <w:tcBorders>
              <w:bottom w:val="single" w:sz="8" w:color="auto"/>
            </w:tcBorders>
            <w:shd w:val="clear" w:color="auto" w:fill="D8D8D8"/>
          </w:tcPr>
          <w:p>
            <w:pPr>
              <w:spacing w:after="0"/>
              <w:rPr>
                <w:sz w:val="15"/>
                <w:szCs w:val="15"/>
                <w:color w:val="auto"/>
              </w:rPr>
            </w:pPr>
          </w:p>
        </w:tc>
        <w:tc>
          <w:tcPr>
            <w:tcW w:w="820" w:type="dxa"/>
            <w:vAlign w:val="bottom"/>
            <w:tcBorders>
              <w:bottom w:val="single" w:sz="8" w:color="auto"/>
            </w:tcBorders>
            <w:shd w:val="clear" w:color="auto" w:fill="D8D8D8"/>
          </w:tcPr>
          <w:p>
            <w:pPr>
              <w:spacing w:after="0"/>
              <w:rPr>
                <w:sz w:val="15"/>
                <w:szCs w:val="15"/>
                <w:color w:val="auto"/>
              </w:rPr>
            </w:pPr>
          </w:p>
        </w:tc>
        <w:tc>
          <w:tcPr>
            <w:tcW w:w="22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(16.8)</w:t>
            </w:r>
          </w:p>
        </w:tc>
        <w:tc>
          <w:tcPr>
            <w:tcW w:w="240" w:type="dxa"/>
            <w:vAlign w:val="bottom"/>
            <w:tcBorders>
              <w:bottom w:val="single" w:sz="8" w:color="auto"/>
            </w:tcBorders>
            <w:shd w:val="clear" w:color="auto" w:fill="D8D8D8"/>
          </w:tcPr>
          <w:p>
            <w:pPr>
              <w:spacing w:after="0"/>
              <w:rPr>
                <w:sz w:val="15"/>
                <w:szCs w:val="15"/>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178"/>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2024</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947,903</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7,439.3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13,545.0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(3,013.2)</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(4,321.9)</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6"/>
        </w:trPr>
        <w:tc>
          <w:tcPr>
            <w:tcW w:w="7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24"/>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10,590.0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5,240.4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6,244.8</w:t>
            </w:r>
          </w:p>
        </w:tc>
      </w:tr>
      <w:tr>
        <w:trPr>
          <w:trHeight w:val="230"/>
        </w:trPr>
        <w:tc>
          <w:tcPr>
            <w:tcW w:w="712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1,766.6</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1,527.3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1,522.5</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Change in deferred income taxes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(2,683.1)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(2,341.0)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(2,185.2)</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645.6</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628.5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371.1</w:t>
            </w:r>
          </w:p>
        </w:tc>
      </w:tr>
      <w:tr>
        <w:trPr>
          <w:trHeight w:val="229"/>
        </w:trPr>
        <w:tc>
          <w:tcPr>
            <w:tcW w:w="7120" w:type="dxa"/>
            <w:vAlign w:val="bottom"/>
            <w:shd w:val="clear" w:color="auto" w:fill="DBDBDB"/>
          </w:tcPr>
          <w:p>
            <w:pPr>
              <w:ind w:left="400"/>
              <w:spacing w:after="0"/>
              <w:rPr>
                <w:sz w:val="20"/>
                <w:szCs w:val="20"/>
                <w:color w:val="auto"/>
              </w:rPr>
            </w:pPr>
            <w:r>
              <w:rPr>
                <w:rFonts w:ascii="Arial" w:cs="Arial" w:eastAsia="Arial" w:hAnsi="Arial"/>
                <w:sz w:val="18"/>
                <w:szCs w:val="18"/>
                <w:color w:val="auto"/>
              </w:rPr>
              <w:t>Investment (gains) losses, net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49.8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420.0</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Gains on sale of product rights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(1,878.9)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3,280.4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3,799.8</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908.5</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777.4</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295.5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184"/>
        </w:trPr>
        <w:tc>
          <w:tcPr>
            <w:tcW w:w="7120" w:type="dxa"/>
            <w:vAlign w:val="bottom"/>
            <w:shd w:val="clear" w:color="auto" w:fill="DBDBDB"/>
          </w:tcPr>
          <w:p>
            <w:pPr>
              <w:ind w:left="360"/>
              <w:spacing w:after="0" w:line="183"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235"/>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divestitures:</w:t>
            </w:r>
          </w:p>
        </w:tc>
        <w:tc>
          <w:tcPr>
            <w:tcW w:w="3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r>
      <w:tr>
        <w:trPr>
          <w:trHeight w:val="229"/>
        </w:trPr>
        <w:tc>
          <w:tcPr>
            <w:tcW w:w="7120" w:type="dxa"/>
            <w:vAlign w:val="bottom"/>
          </w:tcPr>
          <w:p>
            <w:pPr>
              <w:ind w:left="480"/>
              <w:spacing w:after="0"/>
              <w:rPr>
                <w:sz w:val="20"/>
                <w:szCs w:val="20"/>
                <w:color w:val="auto"/>
              </w:rPr>
            </w:pPr>
            <w:r>
              <w:rPr>
                <w:rFonts w:ascii="Arial" w:cs="Arial" w:eastAsia="Arial" w:hAnsi="Arial"/>
                <w:sz w:val="18"/>
                <w:szCs w:val="18"/>
                <w:color w:val="auto"/>
              </w:rPr>
              <w:t>Receivables—(increase) decrease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(2,155.2)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(2,451.0)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29"/>
        </w:trPr>
        <w:tc>
          <w:tcPr>
            <w:tcW w:w="712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Inventories—(increase) decrease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(2,507.4)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(1,425.0)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(599.7)</w:t>
            </w:r>
          </w:p>
        </w:tc>
      </w:tr>
      <w:tr>
        <w:trPr>
          <w:trHeight w:val="230"/>
        </w:trPr>
        <w:tc>
          <w:tcPr>
            <w:tcW w:w="7120" w:type="dxa"/>
            <w:vAlign w:val="bottom"/>
          </w:tcPr>
          <w:p>
            <w:pPr>
              <w:ind w:left="480"/>
              <w:spacing w:after="0"/>
              <w:rPr>
                <w:sz w:val="20"/>
                <w:szCs w:val="20"/>
                <w:color w:val="auto"/>
              </w:rPr>
            </w:pPr>
            <w:r>
              <w:rPr>
                <w:rFonts w:ascii="Arial" w:cs="Arial" w:eastAsia="Arial" w:hAnsi="Arial"/>
                <w:sz w:val="18"/>
                <w:szCs w:val="18"/>
                <w:color w:val="auto"/>
              </w:rPr>
              <w:t>Prepaid expenses and other assets—(increase) decrease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(3,331.2)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(793.5)</w:t>
            </w:r>
          </w:p>
        </w:tc>
      </w:tr>
      <w:tr>
        <w:trPr>
          <w:trHeight w:val="229"/>
        </w:trPr>
        <w:tc>
          <w:tcPr>
            <w:tcW w:w="7120" w:type="dxa"/>
            <w:vAlign w:val="bottom"/>
            <w:shd w:val="clear" w:color="auto" w:fill="DBDBDB"/>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2,608.8</w:t>
            </w:r>
          </w:p>
        </w:tc>
        <w:tc>
          <w:tcPr>
            <w:tcW w:w="3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4,274.4</w:t>
            </w:r>
          </w:p>
        </w:tc>
        <w:tc>
          <w:tcPr>
            <w:tcW w:w="36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1,692.0</w:t>
            </w: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8,817.9</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4,240.1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7,585.7</w:t>
            </w:r>
          </w:p>
        </w:tc>
      </w:tr>
      <w:tr>
        <w:trPr>
          <w:trHeight w:val="229"/>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(5,057.8)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(3,447.6)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(1,854.3)</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148.9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192.2</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373.6</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508.1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342.2</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Purchases of noncurrent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(677.3)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sale of product rights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601.3</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1,604.3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(3,345.8)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(3,944.5)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(1,131.0)</w:t>
            </w:r>
          </w:p>
        </w:tc>
      </w:tr>
      <w:tr>
        <w:trPr>
          <w:trHeight w:val="229"/>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(947.7)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(1,044.3)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(327.2)</w:t>
            </w:r>
          </w:p>
        </w:tc>
      </w:tr>
      <w:tr>
        <w:trPr>
          <w:trHeight w:val="230"/>
        </w:trPr>
        <w:tc>
          <w:tcPr>
            <w:tcW w:w="712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r>
      <w:tr>
        <w:trPr>
          <w:trHeight w:val="223"/>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(9,301.5)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(7,152.7)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(3,762.9)</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(4,680.4)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(4,069.3)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(3,535.8)</w:t>
            </w: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(1,851.8)</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4,691.4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1,498.0</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11,417.1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3,958.5</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(664.2)</w:t>
            </w:r>
          </w:p>
        </w:tc>
        <w:tc>
          <w:tcPr>
            <w:tcW w:w="3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r>
      <w:tr>
        <w:trPr>
          <w:trHeight w:val="230"/>
        </w:trPr>
        <w:tc>
          <w:tcPr>
            <w:tcW w:w="7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common stock</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(2,500.0)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712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r>
      <w:tr>
        <w:trPr>
          <w:trHeight w:val="223"/>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1,230.1</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3,495.6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(5,406.7)</w:t>
            </w:r>
          </w:p>
        </w:tc>
      </w:tr>
      <w:tr>
        <w:trPr>
          <w:trHeight w:val="229"/>
        </w:trPr>
        <w:tc>
          <w:tcPr>
            <w:tcW w:w="7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23"/>
        </w:trPr>
        <w:tc>
          <w:tcPr>
            <w:tcW w:w="7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449.8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751.6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(1,751.5)</w:t>
            </w:r>
          </w:p>
        </w:tc>
      </w:tr>
      <w:tr>
        <w:trPr>
          <w:trHeight w:val="229"/>
        </w:trPr>
        <w:tc>
          <w:tcPr>
            <w:tcW w:w="7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2,818.6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2,067.0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3,818.5</w:t>
            </w:r>
          </w:p>
        </w:tc>
      </w:tr>
      <w:tr>
        <w:trPr>
          <w:trHeight w:val="230"/>
        </w:trPr>
        <w:tc>
          <w:tcPr>
            <w:tcW w:w="7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8"/>
                <w:szCs w:val="18"/>
                <w:b w:val="1"/>
                <w:bCs w:val="1"/>
                <w:color w:val="auto"/>
              </w:rPr>
              <w:t>3,268.4</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8"/>
                <w:szCs w:val="18"/>
                <w:color w:val="auto"/>
              </w:rPr>
              <w:t>2,818.6</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2,067.0</w:t>
            </w:r>
          </w:p>
        </w:tc>
      </w:tr>
    </w:tbl>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w:t>
      </w:r>
    </w:p>
    <w:p>
      <w:pPr>
        <w:spacing w:after="0" w:line="200" w:lineRule="exact"/>
        <w:rPr>
          <w:sz w:val="20"/>
          <w:szCs w:val="20"/>
          <w:color w:val="auto"/>
        </w:rPr>
      </w:pPr>
    </w:p>
    <w:p>
      <w:pPr>
        <w:ind w:right="1580"/>
        <w:spacing w:after="0" w:line="375" w:lineRule="auto"/>
        <w:rPr>
          <w:sz w:val="20"/>
          <w:szCs w:val="20"/>
          <w:color w:val="auto"/>
        </w:rPr>
      </w:pPr>
      <w:r>
        <w:rPr>
          <w:rFonts w:ascii="Arial" w:cs="Arial" w:eastAsia="Arial" w:hAnsi="Arial"/>
          <w:sz w:val="18"/>
          <w:szCs w:val="18"/>
          <w:b w:val="1"/>
          <w:bCs w:val="1"/>
          <w:color w:val="auto"/>
        </w:rPr>
        <w:t>Note 1: Summary of Significant Accounting Policies and Implementation of New Financial Accounting Standards Basis of Presentation</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Where our ownership of consolidated subsidiaries is less than 100 percent, the noncontrolling shareholders' interests are reflected as a separate component of equity. All intercompany balances and transactions have been eliminated.</w:t>
      </w:r>
    </w:p>
    <w:p>
      <w:pPr>
        <w:spacing w:after="0" w:line="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this Annual Report on Form 10-K.</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19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but not limited to, compensation and benefits, facilities and overhead expense, clinical trial expense and fees paid to contract research organizations.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includes the initial costs and development milestones incurred related to externally developed IPR&amp;D projects, acquired directly in a transaction other than a business combination, that do not have an alternative future use. Development milestones are milestone payment obligations that are incurred prior to regulatory approval of the compound and are expensed when the event triggering an obligation to pay the milestone occurs.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All per-share amounts, unless otherwise stated in the notes to the consolidated financial statements, are presented on a diluted basis. We calculate basic EPS based on the weighted-average number of common shares outstanding plus the effect of incremental shares from potential participating securities. We calculate diluted EPS based on the weighted-average number of common shares outstanding plus the effect of incremental shares from our stock-based compensation programs.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Advertising Expenses</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Global advertising expenses, comprised primarily of online marketing and television advertising, totaled $1.44 billion, $1.12 billion, and $966.8 million in 2024, 2023, and 2022, respectively, which were less than 5 percent of revenue each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Effective January 1, 2024, we adopted Accounting Standards Update (ASU) 2023-07, </w:t>
      </w:r>
      <w:r>
        <w:rPr>
          <w:rFonts w:ascii="Arial" w:cs="Arial" w:eastAsia="Arial" w:hAnsi="Arial"/>
          <w:sz w:val="18"/>
          <w:szCs w:val="18"/>
          <w:i w:val="1"/>
          <w:iCs w:val="1"/>
          <w:color w:val="auto"/>
        </w:rPr>
        <w:t>Segment Reporting (Topic 280):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which requires disclosures about significant segment expenses and additional interim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This standard also requires a single reportable segment company to provide all disclosures required by Topic 280. See Note 19 for the segment disclosures as required by Topic 280, as amended by ASU 2023-07.</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Statement—Reporting Comprehensive Income—Expense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requires disaggregation of specific expense categories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r>
      <w:tr>
        <w:trPr>
          <w:trHeight w:val="224"/>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40,747.9</w:t>
            </w:r>
          </w:p>
        </w:tc>
        <w:tc>
          <w:tcPr>
            <w:tcW w:w="4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28,813.9</w:t>
            </w:r>
          </w:p>
        </w:tc>
        <w:tc>
          <w:tcPr>
            <w:tcW w:w="5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25,462.8</w:t>
            </w:r>
          </w:p>
        </w:tc>
      </w:tr>
      <w:tr>
        <w:trPr>
          <w:trHeight w:val="230"/>
        </w:trPr>
        <w:tc>
          <w:tcPr>
            <w:tcW w:w="5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4,294.8</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5,310.2</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3,078.6</w:t>
            </w:r>
          </w:p>
        </w:tc>
      </w:tr>
      <w:tr>
        <w:trPr>
          <w:trHeight w:val="230"/>
        </w:trPr>
        <w:tc>
          <w:tcPr>
            <w:tcW w:w="5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b w:val="1"/>
                <w:bCs w:val="1"/>
                <w:color w:val="auto"/>
              </w:rPr>
              <w:t>45,042.7</w:t>
            </w:r>
          </w:p>
        </w:tc>
        <w:tc>
          <w:tcPr>
            <w:tcW w:w="4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8"/>
                <w:szCs w:val="18"/>
                <w:color w:val="auto"/>
              </w:rPr>
              <w:t>34,124.1</w:t>
            </w:r>
          </w:p>
        </w:tc>
        <w:tc>
          <w:tcPr>
            <w:tcW w:w="5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28,541.4</w:t>
            </w: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resulting from our collaboration with Boehringer Ingelheim, as well as from the 2023 sales of rights for the olanzapine portfolio, including Zyprexa, and for Baqsimi, all of which are discussed in Note 4. Substantially all of the remainder of collaboration and other revenue is related to contracts accounted for as contracts with customers. Collaboration and other revenue associated with intellectual property licensed in prior periods was not material for the years ended December 31, 2024, 2023, and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Net Product Revenue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product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Most of our products are sold to wholesalers that serve pharmacies, physicians and other healthcare professionals, and hospitals. For the years ended December 31, 2024, 2023, and 2022, our three largest wholesalers each accounted for between 16 percent and 24 percent of consolidated revenue. Further, they each accounted for between 21 percent and 29 percent of accounts receivable as of December 31, 2024 and 2023.</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Rebates and Discounts - Background and Uncertainties</w:t>
      </w:r>
    </w:p>
    <w:p>
      <w:pPr>
        <w:spacing w:after="0" w:line="115" w:lineRule="exact"/>
        <w:rPr>
          <w:sz w:val="20"/>
          <w:szCs w:val="20"/>
          <w:color w:val="auto"/>
        </w:rPr>
      </w:pPr>
    </w:p>
    <w:p>
      <w:pPr>
        <w:ind w:left="660" w:right="2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w:t>
      </w:r>
    </w:p>
    <w:p>
      <w:pPr>
        <w:spacing w:after="0" w:line="71"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68"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The largest of our sales rebate and discount amounts include rebates associated with sales covered by managed care, Medicare, Medicaid, and chargeback programs, as well as reductions in revenue related to our patient assistance programs, in the U.S. In determining the appropriate accrual amount, we consider our historical rebate payments for these programs, as well as patient assistance program costs,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revenue reductions related to these programs at the time we record the sale, the reduction related to that sale is typically paid up to six months later. Because of this time lag, in any particular period our net product revenue may incorporate revisions of accruals for several periods.</w:t>
      </w:r>
    </w:p>
    <w:p>
      <w:pPr>
        <w:spacing w:after="0" w:line="76" w:lineRule="exact"/>
        <w:rPr>
          <w:rFonts w:ascii="Arial" w:cs="Arial" w:eastAsia="Arial" w:hAnsi="Arial"/>
          <w:sz w:val="18"/>
          <w:szCs w:val="18"/>
          <w:i w:val="1"/>
          <w:iCs w:val="1"/>
          <w:color w:val="auto"/>
        </w:rPr>
      </w:pPr>
    </w:p>
    <w:p>
      <w:pPr>
        <w:ind w:left="660" w:right="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auto"/>
        </w:rPr>
        <w:t>Sales Returns - Background and Uncertainties</w:t>
      </w:r>
    </w:p>
    <w:p>
      <w:pPr>
        <w:spacing w:after="0" w:line="115" w:lineRule="exact"/>
        <w:rPr>
          <w:sz w:val="20"/>
          <w:szCs w:val="20"/>
          <w:color w:val="auto"/>
        </w:rPr>
      </w:pPr>
    </w:p>
    <w:p>
      <w:pPr>
        <w:ind w:left="660" w:right="6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 identified anticipated returns due to known factors such as the loss of patent exclusivity, product recalls and discontinuations, or a changing competitive environment. We maintain a returns policy that allows most U.S. customers to return most of our products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79"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at the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7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U.S. product returns have been less than 1 percent of our U.S. revenue during each of the past three years and have not fluctuated significantly as a percentage of revenue, although fluctuations are more likely in periods following loss of patent exclusivity for major products in the U.S. market.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Adjustments to Revenue</w:t>
      </w:r>
    </w:p>
    <w:p>
      <w:pPr>
        <w:spacing w:after="0" w:line="11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less than 3 percent of U.S. revenue during the year ended December 31, 2024, and less than 1 percent of U.S. revenue during each of the years ended December 31, 2023 and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We recognize several types of revenue from our collaborations and other arrangements, which we discuss in general terms immediately below and more specifically in Note 4 for each of our significant collaborations and other arrangements. Our collaborations and other arrangements are evaluated to determine if the arrangements in their entirety, or contain aspects that, are contracts with customers.</w:t>
      </w:r>
    </w:p>
    <w:p>
      <w:pPr>
        <w:spacing w:after="0" w:line="45" w:lineRule="exact"/>
        <w:rPr>
          <w:sz w:val="20"/>
          <w:szCs w:val="20"/>
          <w:color w:val="auto"/>
        </w:rPr>
      </w:pPr>
    </w:p>
    <w:p>
      <w:pPr>
        <w:ind w:left="660" w:right="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at the earlier of when control of the asset transfers to the other party or when the product has no alternative use to us and we have right to payment.</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44"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Royalty revenue from licensees and certain of our collaboration partners, which is based on sales to third 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6" w:name="page67"/>
    <w:bookmarkEnd w:id="66"/>
    <w:p>
      <w:pPr>
        <w:ind w:left="660" w:right="10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gain or loss related to the sale of rights of a product is included in collaboration and other revenue when control of the asset transfers to the other party.</w:t>
      </w:r>
    </w:p>
    <w:p>
      <w:pPr>
        <w:spacing w:after="0" w:line="44"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arrangements that involve variable consideration where we have sold intellectual property, we recognize revenue based on estimates of the amount of consideration we believe we will be entitled to receive from the other party, but only to the extent a significant reversal in the amount of revenue recognized is not probable of occurring when the uncertainties associated with the variable consideration are subsequently resolved. These estimates are adjusted to reflect the actual amounts to be collected when those facts and circumstances become known. 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74"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 at December 31:</w:t>
      </w:r>
    </w:p>
    <w:p>
      <w:pPr>
        <w:spacing w:after="0" w:line="158" w:lineRule="exact"/>
        <w:rPr>
          <w:sz w:val="20"/>
          <w:szCs w:val="20"/>
          <w:color w:val="auto"/>
        </w:rPr>
      </w:pPr>
    </w:p>
    <w:p>
      <w:pPr>
        <w:ind w:left="8820"/>
        <w:spacing w:after="0"/>
        <w:tabs>
          <w:tab w:leader="none" w:pos="1032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320" w:val="left"/>
          <w:tab w:leader="none" w:pos="9180" w:val="left"/>
          <w:tab w:leader="none" w:pos="9840" w:val="left"/>
          <w:tab w:leader="none" w:pos="10700" w:val="left"/>
        </w:tabs>
        <w:rPr>
          <w:sz w:val="20"/>
          <w:szCs w:val="20"/>
          <w:color w:val="auto"/>
        </w:rPr>
      </w:pPr>
      <w:r>
        <w:rPr>
          <w:rFonts w:ascii="Arial" w:cs="Arial" w:eastAsia="Arial" w:hAnsi="Arial"/>
          <w:sz w:val="18"/>
          <w:szCs w:val="18"/>
          <w:color w:val="auto"/>
        </w:rPr>
        <w:t>Contract liabilities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166.3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193.6</w:t>
      </w:r>
    </w:p>
    <w:p>
      <w:pPr>
        <w:spacing w:after="0" w:line="2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contract liabilities balances disclosed above as of December 31, 2024 and 2023 were primarily related to the remaining license period of symbolic intellectual property and obligations to supply product for a defined period of time.</w:t>
      </w:r>
    </w:p>
    <w:p>
      <w:pPr>
        <w:spacing w:after="0" w:line="4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During the years ended December 31, 2024, 2023, and 2022,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r>
      <w:tr>
        <w:trPr>
          <w:trHeight w:val="224"/>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Cardiometabolic Health:</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Mounjaro</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8,949.9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4,834.2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2,590.2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328.9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Trulicity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3,693.8</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5,433.3</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5,688.8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1,559.7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1,699.2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1,750.9</w:t>
            </w:r>
          </w:p>
        </w:tc>
      </w:tr>
      <w:tr>
        <w:trPr>
          <w:trHeight w:val="230"/>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Zepbound</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4,925.7</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i w:val="1"/>
                <w:iCs w:val="1"/>
                <w:color w:val="auto"/>
                <w:vertAlign w:val="superscript"/>
              </w:rPr>
              <w:t>(1)</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1,597.5</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1,600.4</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1,743.4</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1,144.2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871.5</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i w:val="1"/>
                <w:iCs w:val="1"/>
                <w:color w:val="auto"/>
                <w:vertAlign w:val="superscript"/>
              </w:rPr>
              <w:t>(2)</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1,502.6</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822.2</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800.2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868.7</w:t>
            </w: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Humulin</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643.4</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610.1</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730.2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273.7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242.0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(3)</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375.4</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443.1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301.5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30"/>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Baqsimi</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2.5</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645.7</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26.7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cardiometabolic health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353.1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cardiometabolic health</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21,850.4</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14,780.8</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9,911.1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7,670.5</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4,886.8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4,553.7</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Oncology: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Verzenio</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3,420.6</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2,509.0</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1,653.2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1,886.0</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1,354.3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830.3</w:t>
            </w:r>
          </w:p>
        </w:tc>
      </w:tr>
      <w:tr>
        <w:trPr>
          <w:trHeight w:val="230"/>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Cyramza</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442.2</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402.3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531.0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572.4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Erbitux</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562.1</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528.9</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65.3</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67.6</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Tyvyt</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526.0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610.9</w:t>
            </w:r>
          </w:p>
        </w:tc>
        <w:tc>
          <w:tcPr>
            <w:tcW w:w="3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356.8</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708.3</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473.6</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638.1</w:t>
            </w:r>
          </w:p>
        </w:tc>
      </w:tr>
      <w:tr>
        <w:trPr>
          <w:trHeight w:val="223"/>
        </w:trPr>
        <w:tc>
          <w:tcPr>
            <w:tcW w:w="3580" w:type="dxa"/>
            <w:vAlign w:val="bottom"/>
          </w:tcPr>
          <w:p>
            <w:pPr>
              <w:ind w:left="46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5,035.8</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3,797.0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3,716.6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2,861.3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2,448.1</w:t>
            </w:r>
          </w:p>
        </w:tc>
      </w:tr>
      <w:tr>
        <w:trPr>
          <w:trHeight w:val="229"/>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30"/>
        </w:trPr>
        <w:tc>
          <w:tcPr>
            <w:tcW w:w="3580" w:type="dxa"/>
            <w:vAlign w:val="bottom"/>
          </w:tcPr>
          <w:p>
            <w:pPr>
              <w:ind w:left="800"/>
              <w:spacing w:after="0"/>
              <w:rPr>
                <w:sz w:val="20"/>
                <w:szCs w:val="20"/>
                <w:color w:val="auto"/>
              </w:rPr>
            </w:pPr>
            <w:r>
              <w:rPr>
                <w:rFonts w:ascii="Arial" w:cs="Arial" w:eastAsia="Arial" w:hAnsi="Arial"/>
                <w:sz w:val="18"/>
                <w:szCs w:val="18"/>
                <w:i w:val="1"/>
                <w:iCs w:val="1"/>
                <w:color w:val="auto"/>
              </w:rPr>
              <w:t>Taltz</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2,152.3</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1,108.1</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928.0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w:t>
            </w:r>
          </w:p>
        </w:tc>
      </w:tr>
      <w:tr>
        <w:trPr>
          <w:trHeight w:val="229"/>
        </w:trPr>
        <w:tc>
          <w:tcPr>
            <w:tcW w:w="358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i w:val="1"/>
                <w:iCs w:val="1"/>
                <w:color w:val="auto"/>
                <w:vertAlign w:val="superscript"/>
              </w:rPr>
              <w:t>(4)</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228.7</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225.5</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728.7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697.2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682.3</w:t>
            </w:r>
          </w:p>
        </w:tc>
      </w:tr>
      <w:tr>
        <w:trPr>
          <w:trHeight w:val="230"/>
        </w:trPr>
        <w:tc>
          <w:tcPr>
            <w:tcW w:w="358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98.5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114.4</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35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immunology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2,457.6</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2,057.9</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1,935.3</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1,739.6</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1,451.8</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Emgality</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559.7</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482.2</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310.7</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196.0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188.1</w:t>
            </w: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(5)</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114.3</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306.5</w:t>
            </w:r>
          </w:p>
        </w:tc>
      </w:tr>
      <w:tr>
        <w:trPr>
          <w:trHeight w:val="229"/>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218.2</w:t>
            </w:r>
          </w:p>
        </w:tc>
        <w:tc>
          <w:tcPr>
            <w:tcW w:w="3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134.4</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268.5</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371.1</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439.2</w:t>
            </w:r>
          </w:p>
        </w:tc>
      </w:tr>
      <w:tr>
        <w:trPr>
          <w:trHeight w:val="223"/>
        </w:trPr>
        <w:tc>
          <w:tcPr>
            <w:tcW w:w="3580" w:type="dxa"/>
            <w:vAlign w:val="bottom"/>
          </w:tcPr>
          <w:p>
            <w:pPr>
              <w:ind w:left="460"/>
              <w:spacing w:after="0"/>
              <w:rPr>
                <w:sz w:val="20"/>
                <w:szCs w:val="20"/>
                <w:color w:val="auto"/>
              </w:rPr>
            </w:pPr>
            <w:r>
              <w:rPr>
                <w:rFonts w:ascii="Arial" w:cs="Arial" w:eastAsia="Arial" w:hAnsi="Arial"/>
                <w:sz w:val="18"/>
                <w:szCs w:val="18"/>
                <w:color w:val="auto"/>
              </w:rPr>
              <w:t>Total neuroscience</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779.9</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696.0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693.5</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2,182.5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933.8</w:t>
            </w:r>
          </w:p>
        </w:tc>
      </w:tr>
      <w:tr>
        <w:trPr>
          <w:trHeight w:val="230"/>
        </w:trPr>
        <w:tc>
          <w:tcPr>
            <w:tcW w:w="3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30"/>
        </w:trPr>
        <w:tc>
          <w:tcPr>
            <w:tcW w:w="358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COVID-19 antibodies</w:t>
            </w:r>
            <w:r>
              <w:rPr>
                <w:rFonts w:ascii="Arial" w:cs="Arial" w:eastAsia="Arial" w:hAnsi="Arial"/>
                <w:sz w:val="23"/>
                <w:szCs w:val="23"/>
                <w:i w:val="1"/>
                <w:iCs w:val="1"/>
                <w:color w:val="auto"/>
                <w:vertAlign w:val="superscript"/>
              </w:rPr>
              <w:t>(6)</w:t>
            </w:r>
          </w:p>
        </w:tc>
        <w:tc>
          <w:tcPr>
            <w:tcW w:w="2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358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251.4</w:t>
            </w:r>
          </w:p>
        </w:tc>
        <w:tc>
          <w:tcPr>
            <w:tcW w:w="3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459.3</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651.6</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662.9</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949.3</w:t>
            </w:r>
          </w:p>
        </w:tc>
      </w:tr>
      <w:tr>
        <w:trPr>
          <w:trHeight w:val="223"/>
        </w:trPr>
        <w:tc>
          <w:tcPr>
            <w:tcW w:w="35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251.4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651.6</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662.9</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r>
      <w:tr>
        <w:trPr>
          <w:trHeight w:val="230"/>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30,375.2</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21,791.0</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18,190.0</w:t>
            </w:r>
          </w:p>
        </w:tc>
        <w:tc>
          <w:tcPr>
            <w:tcW w:w="10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14,667.5</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12,333.1</w:t>
            </w:r>
          </w:p>
        </w:tc>
        <w:tc>
          <w:tcPr>
            <w:tcW w:w="3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10,351.3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9"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17"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5"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Basaglar revenue includes Rezvoglar.</w:t>
      </w:r>
    </w:p>
    <w:p>
      <w:pPr>
        <w:spacing w:after="0" w:line="28"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Olumiant revenue includes sales for baricitinib that were made pursuant to Emergency Use Authorization (EUA) or similar regulatory authorizations.</w:t>
      </w:r>
    </w:p>
    <w:p>
      <w:pPr>
        <w:spacing w:after="0" w:line="40"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Zyprexa revenue includes sale of rights for the olanzapine portfolio in July 2023.</w:t>
      </w:r>
    </w:p>
    <w:p>
      <w:pPr>
        <w:spacing w:after="0" w:line="19" w:lineRule="exact"/>
        <w:rPr>
          <w:rFonts w:ascii="Arial" w:cs="Arial" w:eastAsia="Arial" w:hAnsi="Arial"/>
          <w:sz w:val="16"/>
          <w:szCs w:val="16"/>
          <w:color w:val="auto"/>
          <w:vertAlign w:val="superscript"/>
        </w:rPr>
      </w:pPr>
    </w:p>
    <w:p>
      <w:pPr>
        <w:ind w:left="180" w:right="360" w:hanging="172"/>
        <w:spacing w:after="0" w:line="229" w:lineRule="auto"/>
        <w:tabs>
          <w:tab w:leader="none" w:pos="158"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COVID-19 antibodies include sales for bamlanivimab administered alone, for bamlanivimab and etesevimab administered together, and for bebtelovimab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24"/>
        </w:trPr>
        <w:tc>
          <w:tcPr>
            <w:tcW w:w="6980" w:type="dxa"/>
            <w:vAlign w:val="bottom"/>
            <w:shd w:val="clear" w:color="auto" w:fill="DBDBDB"/>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30,375.2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21,791.0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18,190.0</w:t>
            </w:r>
          </w:p>
        </w:tc>
      </w:tr>
      <w:tr>
        <w:trPr>
          <w:trHeight w:val="229"/>
        </w:trPr>
        <w:tc>
          <w:tcPr>
            <w:tcW w:w="6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6,920.7</w:t>
            </w: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6,174.7</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4,299.2</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1,814.9</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1,672.6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1,747.3</w:t>
            </w:r>
          </w:p>
        </w:tc>
      </w:tr>
      <w:tr>
        <w:trPr>
          <w:trHeight w:val="229"/>
        </w:trPr>
        <w:tc>
          <w:tcPr>
            <w:tcW w:w="6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1,660.4</w:t>
            </w: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1,539.7</w:t>
            </w:r>
          </w:p>
        </w:tc>
        <w:tc>
          <w:tcPr>
            <w:tcW w:w="4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1,452.8</w:t>
            </w:r>
          </w:p>
        </w:tc>
      </w:tr>
      <w:tr>
        <w:trPr>
          <w:trHeight w:val="229"/>
        </w:trPr>
        <w:tc>
          <w:tcPr>
            <w:tcW w:w="6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4,271.4</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2,946.2</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2,852.0</w:t>
            </w:r>
          </w:p>
        </w:tc>
      </w:tr>
      <w:tr>
        <w:trPr>
          <w:trHeight w:val="230"/>
        </w:trPr>
        <w:tc>
          <w:tcPr>
            <w:tcW w:w="6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45,042.7</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34,124.1</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28,541.4</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9"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should products be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May 2024, we acquired all outstanding membership interests of NexPharm Parent HoldCo, LLC and Isopro Holdings, LLC, which together own the assets of a manufacturing site in Wisconsin, for a purchase price of $924.7 million, net of cash acquired. The facility is intended to further expand our global parenteral (injectable) product manufacturing network.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May 23,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9"/>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6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6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Less:</w:t>
            </w: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9480" w:type="dxa"/>
            <w:vAlign w:val="bottom"/>
            <w:shd w:val="clear" w:color="auto" w:fill="DBDBDB"/>
          </w:tcPr>
          <w:p>
            <w:pPr>
              <w:ind w:left="260"/>
              <w:spacing w:after="0"/>
              <w:rPr>
                <w:sz w:val="20"/>
                <w:szCs w:val="20"/>
                <w:color w:val="auto"/>
              </w:rPr>
            </w:pPr>
            <w:r>
              <w:rPr>
                <w:rFonts w:ascii="Arial" w:cs="Arial" w:eastAsia="Arial" w:hAnsi="Arial"/>
                <w:sz w:val="18"/>
                <w:szCs w:val="18"/>
                <w:color w:val="auto"/>
              </w:rPr>
              <w:t>Cash acquired</w:t>
            </w:r>
          </w:p>
        </w:tc>
        <w:tc>
          <w:tcPr>
            <w:tcW w:w="6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bl>
    <w:p>
      <w:pPr>
        <w:spacing w:after="0" w:line="99" w:lineRule="exact"/>
        <w:rPr>
          <w:sz w:val="20"/>
          <w:szCs w:val="20"/>
          <w:color w:val="auto"/>
        </w:rPr>
      </w:pPr>
    </w:p>
    <w:p>
      <w:pPr>
        <w:ind w:left="180" w:right="480" w:hanging="172"/>
        <w:spacing w:after="0" w:line="238" w:lineRule="auto"/>
        <w:tabs>
          <w:tab w:leader="none" w:pos="15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synergies between the manufacturing capabilities of the site and our products as well as the assembled workforce of the site, which is deductible for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this acquisition for the year ended December 31, 2024 were not material.</w:t>
      </w:r>
    </w:p>
    <w:p>
      <w:pPr>
        <w:spacing w:after="0" w:line="117"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 ended December 31,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POINT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December 2023, we acquired all shares of POINT Biopharma Global Inc. (POINT) for a purchase price of $12.50 per share in cash (or an aggregate of $ 1.04 billion, net of cash acquired). POINT has capabilities in radiopharmaceutical discovery, development, and manufacturing efforts, as well as clinical and pre-clinical radioligand therapies in development for the treatment of cancer.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27,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DBDBDB"/>
          </w:tcPr>
          <w:p>
            <w:pPr>
              <w:jc w:val="right"/>
              <w:ind w:right="7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Acquired IPR&amp;D</w:t>
            </w: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29"/>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853.9</w:t>
            </w:r>
          </w:p>
        </w:tc>
      </w:tr>
      <w:tr>
        <w:trPr>
          <w:trHeight w:val="230"/>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1,338.5</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(302.7)</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r>
    </w:tbl>
    <w:p>
      <w:pPr>
        <w:spacing w:after="0" w:line="99" w:lineRule="exact"/>
        <w:rPr>
          <w:sz w:val="20"/>
          <w:szCs w:val="20"/>
          <w:color w:val="auto"/>
        </w:rPr>
      </w:pPr>
    </w:p>
    <w:p>
      <w:pPr>
        <w:ind w:left="180" w:right="200" w:hanging="172"/>
        <w:spacing w:after="0" w:line="229" w:lineRule="auto"/>
        <w:tabs>
          <w:tab w:leader="none" w:pos="15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radiopharmaceutical discovery, development, and manufacturing capabilities and the assembled workforce for POINT, which is not deductible for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POINT for the years ended December 31, 2024 and 2023 were not 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 ended December 31,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auto"/>
        </w:rPr>
        <w:t>Akouos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December 2022, we acquired all shares of Akouos, Inc. (Akouos) for a purchase price that included $12.50 per share in cash (or an aggregate of $327.2 million, net of cash acquired) plus one non-tradable contingent value right (CVR) per share. The CVR entitles the Akouos shareholders up to an additional $3.00 per share in cash (or an aggregate of approximately $122 million) payable, subject to certain terms and conditions, upon the achievement of certain specified milestones prior to December 2028.</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Under the terms of the agreement, we acquired potential gene therapy treatments for hearing loss and other inner ear conditions. The lead gene therapies in clinical development that we acquired included GJB2 (which encodes connexin 26) for a common form of monogenic deafness and hearing loss; AK-OTOF for hearing loss due to mutations in the otoferlin gene; AK-CLRN1 for Usher Type 3A, an autosomal recessive disorder characterized by progressive loss of both hearing and vision; and AK-antiVEGF for vestibular schwannoma.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December 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Borders>
              <w:top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8860" w:type="dxa"/>
            <w:vAlign w:val="bottom"/>
          </w:tcPr>
          <w:p>
            <w:pPr>
              <w:ind w:left="20"/>
              <w:spacing w:after="0" w:line="230"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29"/>
        </w:trPr>
        <w:tc>
          <w:tcPr>
            <w:tcW w:w="8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185.6</w:t>
            </w:r>
          </w:p>
        </w:tc>
      </w:tr>
      <w:tr>
        <w:trPr>
          <w:trHeight w:val="230"/>
        </w:trPr>
        <w:tc>
          <w:tcPr>
            <w:tcW w:w="8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547.3</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acquired</w:t>
            </w:r>
          </w:p>
        </w:tc>
        <w:tc>
          <w:tcPr>
            <w:tcW w:w="9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8860" w:type="dxa"/>
            <w:vAlign w:val="bottom"/>
            <w:tcBorders>
              <w:bottom w:val="single" w:sz="8" w:color="DBDBDB"/>
            </w:tcBorders>
          </w:tcPr>
          <w:p>
            <w:pPr>
              <w:ind w:left="14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9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8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paid, net of cash acquired</w:t>
            </w:r>
          </w:p>
        </w:tc>
        <w:tc>
          <w:tcPr>
            <w:tcW w:w="960" w:type="dxa"/>
            <w:vAlign w:val="bottom"/>
            <w:tcBorders>
              <w:bottom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327.2</w:t>
            </w:r>
          </w:p>
        </w:tc>
      </w:tr>
    </w:tbl>
    <w:p>
      <w:pPr>
        <w:spacing w:after="0" w:line="99"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GJB2.</w:t>
      </w:r>
    </w:p>
    <w:p>
      <w:pPr>
        <w:spacing w:after="0" w:line="19" w:lineRule="exact"/>
        <w:rPr>
          <w:rFonts w:ascii="Arial" w:cs="Arial" w:eastAsia="Arial" w:hAnsi="Arial"/>
          <w:sz w:val="16"/>
          <w:szCs w:val="16"/>
          <w:color w:val="auto"/>
          <w:vertAlign w:val="superscript"/>
        </w:rPr>
      </w:pPr>
    </w:p>
    <w:p>
      <w:pPr>
        <w:ind w:left="180" w:right="680" w:hanging="172"/>
        <w:spacing w:after="0" w:line="229" w:lineRule="auto"/>
        <w:tabs>
          <w:tab w:leader="none" w:pos="158"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future unidentified projects and products and the assembled workforce for Akouos and is not deductible for tax purposes.</w:t>
      </w: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See Note 7 for a discussion on the estimation of the CVR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attributable to Akouos for the years ended December 31, 2024, 2023 and 2022 were not material.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 ended December 31, 2022.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has 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alternative future use. Milestone payment obligations incurred prior to regulatory approval of the compound were expensed when the event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triggering an obligation to pay the milestone occurred. We recognized acquired IPR&amp;D charges of $3.28 billion, $3.80 billion,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$908.5 million for the years ended December 31, 2024, 2023, and 2022, respectively. The following table summarizes our significant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during 2024,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6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Compound, Therapy, or Asset</w:t>
            </w:r>
          </w:p>
        </w:tc>
        <w:tc>
          <w:tcPr>
            <w:tcW w:w="1380" w:type="dxa"/>
            <w:vAlign w:val="bottom"/>
          </w:tcPr>
          <w:p>
            <w:pPr>
              <w:jc w:val="center"/>
              <w:ind w:right="34"/>
              <w:spacing w:after="0"/>
              <w:rPr>
                <w:sz w:val="20"/>
                <w:szCs w:val="20"/>
                <w:color w:val="auto"/>
              </w:rPr>
            </w:pPr>
            <w:r>
              <w:rPr>
                <w:rFonts w:ascii="Arial" w:cs="Arial" w:eastAsia="Arial" w:hAnsi="Arial"/>
                <w:sz w:val="14"/>
                <w:szCs w:val="14"/>
                <w:b w:val="1"/>
                <w:bCs w:val="1"/>
                <w:color w:val="auto"/>
              </w:rPr>
              <w:t>Acquisition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Acquired IPR&amp;D Charge</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Month</w:t>
            </w:r>
          </w:p>
        </w:tc>
        <w:tc>
          <w:tcPr>
            <w:tcW w:w="14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1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DBDBDB"/>
          </w:tcPr>
          <w:p>
            <w:pPr>
              <w:spacing w:after="0"/>
              <w:rPr>
                <w:sz w:val="14"/>
                <w:szCs w:val="14"/>
                <w:color w:val="auto"/>
              </w:rPr>
            </w:pPr>
          </w:p>
        </w:tc>
        <w:tc>
          <w:tcPr>
            <w:tcW w:w="3660" w:type="dxa"/>
            <w:vAlign w:val="bottom"/>
            <w:shd w:val="clear" w:color="auto" w:fill="DBDBDB"/>
          </w:tcPr>
          <w:p>
            <w:pPr>
              <w:ind w:left="420"/>
              <w:spacing w:after="0" w:line="169" w:lineRule="exact"/>
              <w:rPr>
                <w:sz w:val="20"/>
                <w:szCs w:val="20"/>
                <w:color w:val="auto"/>
              </w:rPr>
            </w:pPr>
            <w:r>
              <w:rPr>
                <w:rFonts w:ascii="Arial" w:cs="Arial" w:eastAsia="Arial" w:hAnsi="Arial"/>
                <w:sz w:val="18"/>
                <w:szCs w:val="18"/>
                <w:color w:val="auto"/>
              </w:rPr>
              <w:t>MORF-057, inhibitor of α4β7 integrin for</w:t>
            </w:r>
          </w:p>
        </w:tc>
        <w:tc>
          <w:tcPr>
            <w:tcW w:w="138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Morphic Holding, Inc. (Morphic)</w:t>
            </w:r>
          </w:p>
        </w:tc>
        <w:tc>
          <w:tcPr>
            <w:tcW w:w="3660" w:type="dxa"/>
            <w:vAlign w:val="bottom"/>
            <w:shd w:val="clear" w:color="auto" w:fill="DBDBDB"/>
          </w:tcPr>
          <w:p>
            <w:pPr>
              <w:ind w:left="420"/>
              <w:spacing w:after="0" w:line="183" w:lineRule="exact"/>
              <w:rPr>
                <w:sz w:val="20"/>
                <w:szCs w:val="20"/>
                <w:color w:val="auto"/>
              </w:rPr>
            </w:pPr>
            <w:r>
              <w:rPr>
                <w:rFonts w:ascii="Arial" w:cs="Arial" w:eastAsia="Arial" w:hAnsi="Arial"/>
                <w:sz w:val="18"/>
                <w:szCs w:val="18"/>
                <w:color w:val="auto"/>
              </w:rPr>
              <w:t>the treatment of inflammatory bowel</w:t>
            </w:r>
          </w:p>
        </w:tc>
        <w:tc>
          <w:tcPr>
            <w:tcW w:w="1380" w:type="dxa"/>
            <w:vAlign w:val="bottom"/>
            <w:vMerge w:val="restart"/>
            <w:shd w:val="clear" w:color="auto" w:fill="DBDBDB"/>
          </w:tcPr>
          <w:p>
            <w:pPr>
              <w:jc w:val="center"/>
              <w:ind w:right="14"/>
              <w:spacing w:after="0"/>
              <w:rPr>
                <w:sz w:val="20"/>
                <w:szCs w:val="20"/>
                <w:color w:val="auto"/>
              </w:rPr>
            </w:pPr>
            <w:r>
              <w:rPr>
                <w:rFonts w:ascii="Arial" w:cs="Arial" w:eastAsia="Arial" w:hAnsi="Arial"/>
                <w:sz w:val="18"/>
                <w:szCs w:val="18"/>
                <w:color w:val="auto"/>
                <w:w w:val="98"/>
              </w:rPr>
              <w:t>August 2024</w:t>
            </w:r>
          </w:p>
        </w:tc>
        <w:tc>
          <w:tcPr>
            <w:tcW w:w="14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Phase 2</w:t>
            </w:r>
          </w:p>
        </w:tc>
        <w:tc>
          <w:tcPr>
            <w:tcW w:w="680" w:type="dxa"/>
            <w:vAlign w:val="bottom"/>
            <w:vMerge w:val="restart"/>
            <w:shd w:val="clear" w:color="auto" w:fill="DBDBDB"/>
          </w:tcPr>
          <w:p>
            <w:pPr>
              <w:ind w:left="14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2,548.5</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vMerge w:val="continue"/>
            <w:shd w:val="clear" w:color="auto" w:fill="DBDBDB"/>
          </w:tcPr>
          <w:p>
            <w:pPr>
              <w:spacing w:after="0"/>
              <w:rPr>
                <w:sz w:val="20"/>
                <w:szCs w:val="20"/>
                <w:color w:val="auto"/>
              </w:rPr>
            </w:pPr>
          </w:p>
        </w:tc>
        <w:tc>
          <w:tcPr>
            <w:tcW w:w="366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8"/>
                <w:szCs w:val="18"/>
                <w:color w:val="auto"/>
              </w:rPr>
              <w:t>disease</w:t>
            </w:r>
          </w:p>
        </w:tc>
        <w:tc>
          <w:tcPr>
            <w:tcW w:w="1380" w:type="dxa"/>
            <w:vAlign w:val="bottom"/>
            <w:tcBorders>
              <w:bottom w:val="single" w:sz="8" w:color="auto"/>
            </w:tcBorders>
            <w:vMerge w:val="continue"/>
            <w:shd w:val="clear" w:color="auto" w:fill="DBDBDB"/>
          </w:tcPr>
          <w:p>
            <w:pPr>
              <w:spacing w:after="0"/>
              <w:rPr>
                <w:sz w:val="20"/>
                <w:szCs w:val="20"/>
                <w:color w:val="auto"/>
              </w:rPr>
            </w:pPr>
          </w:p>
        </w:tc>
        <w:tc>
          <w:tcPr>
            <w:tcW w:w="1440" w:type="dxa"/>
            <w:vAlign w:val="bottom"/>
            <w:tcBorders>
              <w:bottom w:val="single" w:sz="8" w:color="auto"/>
            </w:tcBorders>
            <w:vMerge w:val="continue"/>
            <w:shd w:val="clear" w:color="auto" w:fill="DBDBDB"/>
          </w:tcPr>
          <w:p>
            <w:pPr>
              <w:spacing w:after="0"/>
              <w:rPr>
                <w:sz w:val="20"/>
                <w:szCs w:val="20"/>
                <w:color w:val="auto"/>
              </w:rPr>
            </w:pPr>
          </w:p>
        </w:tc>
        <w:tc>
          <w:tcPr>
            <w:tcW w:w="680" w:type="dxa"/>
            <w:vAlign w:val="bottom"/>
            <w:tcBorders>
              <w:bottom w:val="single" w:sz="8" w:color="auto"/>
            </w:tcBorders>
            <w:vMerge w:val="continue"/>
            <w:shd w:val="clear" w:color="auto" w:fill="DBDBDB"/>
          </w:tcPr>
          <w:p>
            <w:pPr>
              <w:spacing w:after="0"/>
              <w:rPr>
                <w:sz w:val="20"/>
                <w:szCs w:val="20"/>
                <w:color w:val="auto"/>
              </w:rPr>
            </w:pPr>
          </w:p>
        </w:tc>
        <w:tc>
          <w:tcPr>
            <w:tcW w:w="112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DBDBDB"/>
          </w:tcPr>
          <w:p>
            <w:pPr>
              <w:spacing w:after="0"/>
              <w:rPr>
                <w:sz w:val="14"/>
                <w:szCs w:val="14"/>
                <w:color w:val="auto"/>
              </w:rPr>
            </w:pPr>
          </w:p>
        </w:tc>
        <w:tc>
          <w:tcPr>
            <w:tcW w:w="3660" w:type="dxa"/>
            <w:vAlign w:val="bottom"/>
            <w:shd w:val="clear" w:color="auto" w:fill="DBDBDB"/>
          </w:tcPr>
          <w:p>
            <w:pPr>
              <w:ind w:left="420"/>
              <w:spacing w:after="0" w:line="169" w:lineRule="exact"/>
              <w:rPr>
                <w:sz w:val="20"/>
                <w:szCs w:val="20"/>
                <w:color w:val="auto"/>
              </w:rPr>
            </w:pPr>
            <w:r>
              <w:rPr>
                <w:rFonts w:ascii="Arial" w:cs="Arial" w:eastAsia="Arial" w:hAnsi="Arial"/>
                <w:sz w:val="18"/>
                <w:szCs w:val="18"/>
                <w:color w:val="auto"/>
              </w:rPr>
              <w:t>MBK-103, a folate receptor alpha</w:t>
            </w:r>
          </w:p>
        </w:tc>
        <w:tc>
          <w:tcPr>
            <w:tcW w:w="1380" w:type="dxa"/>
            <w:vAlign w:val="bottom"/>
            <w:vMerge w:val="restart"/>
            <w:shd w:val="clear" w:color="auto" w:fill="DBDBDB"/>
          </w:tcPr>
          <w:p>
            <w:pPr>
              <w:jc w:val="center"/>
              <w:ind w:right="14"/>
              <w:spacing w:after="0"/>
              <w:rPr>
                <w:sz w:val="20"/>
                <w:szCs w:val="20"/>
                <w:color w:val="auto"/>
              </w:rPr>
            </w:pPr>
            <w:r>
              <w:rPr>
                <w:rFonts w:ascii="Arial" w:cs="Arial" w:eastAsia="Arial" w:hAnsi="Arial"/>
                <w:sz w:val="18"/>
                <w:szCs w:val="18"/>
                <w:color w:val="auto"/>
              </w:rPr>
              <w:t>December</w:t>
            </w:r>
          </w:p>
        </w:tc>
        <w:tc>
          <w:tcPr>
            <w:tcW w:w="144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Mablink Biosciences SAS</w:t>
            </w:r>
          </w:p>
        </w:tc>
        <w:tc>
          <w:tcPr>
            <w:tcW w:w="3660" w:type="dxa"/>
            <w:vAlign w:val="bottom"/>
            <w:shd w:val="clear" w:color="auto" w:fill="DBDBDB"/>
          </w:tcPr>
          <w:p>
            <w:pPr>
              <w:ind w:left="420"/>
              <w:spacing w:after="0" w:line="176" w:lineRule="exact"/>
              <w:rPr>
                <w:sz w:val="20"/>
                <w:szCs w:val="20"/>
                <w:color w:val="auto"/>
              </w:rPr>
            </w:pPr>
            <w:r>
              <w:rPr>
                <w:rFonts w:ascii="Arial" w:cs="Arial" w:eastAsia="Arial" w:hAnsi="Arial"/>
                <w:sz w:val="18"/>
                <w:szCs w:val="18"/>
                <w:color w:val="auto"/>
              </w:rPr>
              <w:t>antibody drug conjugate for the</w:t>
            </w:r>
          </w:p>
        </w:tc>
        <w:tc>
          <w:tcPr>
            <w:tcW w:w="1380" w:type="dxa"/>
            <w:vAlign w:val="bottom"/>
            <w:vMerge w:val="continue"/>
            <w:shd w:val="clear" w:color="auto" w:fill="DBDBDB"/>
          </w:tcPr>
          <w:p>
            <w:pPr>
              <w:spacing w:after="0"/>
              <w:rPr>
                <w:sz w:val="15"/>
                <w:szCs w:val="15"/>
                <w:color w:val="auto"/>
              </w:rPr>
            </w:pPr>
          </w:p>
        </w:tc>
        <w:tc>
          <w:tcPr>
            <w:tcW w:w="14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Pre-clinical</w:t>
            </w:r>
          </w:p>
        </w:tc>
        <w:tc>
          <w:tcPr>
            <w:tcW w:w="68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3"/>
        </w:trPr>
        <w:tc>
          <w:tcPr>
            <w:tcW w:w="2960" w:type="dxa"/>
            <w:vAlign w:val="bottom"/>
            <w:vMerge w:val="continue"/>
            <w:shd w:val="clear" w:color="auto" w:fill="DBDBDB"/>
          </w:tcPr>
          <w:p>
            <w:pPr>
              <w:spacing w:after="0"/>
              <w:rPr>
                <w:sz w:val="21"/>
                <w:szCs w:val="21"/>
                <w:color w:val="auto"/>
              </w:rPr>
            </w:pPr>
          </w:p>
        </w:tc>
        <w:tc>
          <w:tcPr>
            <w:tcW w:w="3660" w:type="dxa"/>
            <w:vAlign w:val="bottom"/>
            <w:shd w:val="clear" w:color="auto" w:fill="DBDBDB"/>
          </w:tcPr>
          <w:p>
            <w:pPr>
              <w:ind w:left="420"/>
              <w:spacing w:after="0"/>
              <w:rPr>
                <w:sz w:val="20"/>
                <w:szCs w:val="20"/>
                <w:color w:val="auto"/>
              </w:rPr>
            </w:pPr>
            <w:r>
              <w:rPr>
                <w:rFonts w:ascii="Arial" w:cs="Arial" w:eastAsia="Arial" w:hAnsi="Arial"/>
                <w:sz w:val="18"/>
                <w:szCs w:val="18"/>
                <w:color w:val="auto"/>
              </w:rPr>
              <w:t>treatment of ovarian cancer</w:t>
            </w:r>
          </w:p>
        </w:tc>
        <w:tc>
          <w:tcPr>
            <w:tcW w:w="1380" w:type="dxa"/>
            <w:vAlign w:val="bottom"/>
            <w:shd w:val="clear" w:color="auto" w:fill="DBDBDB"/>
          </w:tcPr>
          <w:p>
            <w:pPr>
              <w:jc w:val="center"/>
              <w:ind w:right="14"/>
              <w:spacing w:after="0"/>
              <w:rPr>
                <w:sz w:val="20"/>
                <w:szCs w:val="20"/>
                <w:color w:val="auto"/>
              </w:rPr>
            </w:pPr>
            <w:r>
              <w:rPr>
                <w:rFonts w:ascii="Arial" w:cs="Arial" w:eastAsia="Arial" w:hAnsi="Arial"/>
                <w:sz w:val="18"/>
                <w:szCs w:val="18"/>
                <w:color w:val="auto"/>
                <w:w w:val="99"/>
              </w:rPr>
              <w:t>2023</w:t>
            </w:r>
          </w:p>
        </w:tc>
        <w:tc>
          <w:tcPr>
            <w:tcW w:w="1440" w:type="dxa"/>
            <w:vAlign w:val="bottom"/>
            <w:vMerge w:val="continue"/>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11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3660" w:type="dxa"/>
            <w:vAlign w:val="bottom"/>
          </w:tcPr>
          <w:p>
            <w:pPr>
              <w:ind w:left="420"/>
              <w:spacing w:after="0" w:line="176" w:lineRule="exact"/>
              <w:rPr>
                <w:sz w:val="20"/>
                <w:szCs w:val="20"/>
                <w:color w:val="auto"/>
              </w:rPr>
            </w:pPr>
            <w:r>
              <w:rPr>
                <w:rFonts w:ascii="Arial" w:cs="Arial" w:eastAsia="Arial" w:hAnsi="Arial"/>
                <w:sz w:val="18"/>
                <w:szCs w:val="18"/>
                <w:color w:val="auto"/>
              </w:rPr>
              <w:t>Opt-in right for programs targeting</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Beam Therapeutics Inc.</w:t>
            </w: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PCSK9, ANGPTL3 and an undisclosed</w:t>
            </w:r>
          </w:p>
        </w:tc>
        <w:tc>
          <w:tcPr>
            <w:tcW w:w="1380" w:type="dxa"/>
            <w:vAlign w:val="bottom"/>
            <w:vMerge w:val="restart"/>
          </w:tcPr>
          <w:p>
            <w:pPr>
              <w:jc w:val="center"/>
              <w:ind w:right="14"/>
              <w:spacing w:after="0"/>
              <w:rPr>
                <w:sz w:val="20"/>
                <w:szCs w:val="20"/>
                <w:color w:val="auto"/>
              </w:rPr>
            </w:pPr>
            <w:r>
              <w:rPr>
                <w:rFonts w:ascii="Arial" w:cs="Arial" w:eastAsia="Arial" w:hAnsi="Arial"/>
                <w:sz w:val="18"/>
                <w:szCs w:val="18"/>
                <w:color w:val="auto"/>
                <w:w w:val="98"/>
              </w:rPr>
              <w:t>October 2023</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Phase 1</w:t>
            </w:r>
          </w:p>
        </w:tc>
        <w:tc>
          <w:tcPr>
            <w:tcW w:w="6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5"/>
        </w:trPr>
        <w:tc>
          <w:tcPr>
            <w:tcW w:w="2960" w:type="dxa"/>
            <w:vAlign w:val="bottom"/>
            <w:vMerge w:val="continue"/>
          </w:tcPr>
          <w:p>
            <w:pPr>
              <w:spacing w:after="0"/>
              <w:rPr>
                <w:sz w:val="20"/>
                <w:szCs w:val="20"/>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liver-mediated, cardiovascular target</w:t>
            </w:r>
          </w:p>
        </w:tc>
        <w:tc>
          <w:tcPr>
            <w:tcW w:w="138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DBDBDB"/>
          </w:tcPr>
          <w:p>
            <w:pPr>
              <w:spacing w:after="0"/>
              <w:rPr>
                <w:sz w:val="15"/>
                <w:szCs w:val="15"/>
                <w:color w:val="auto"/>
              </w:rPr>
            </w:pPr>
          </w:p>
        </w:tc>
        <w:tc>
          <w:tcPr>
            <w:tcW w:w="3660" w:type="dxa"/>
            <w:vAlign w:val="bottom"/>
            <w:shd w:val="clear" w:color="auto" w:fill="DBDBDB"/>
          </w:tcPr>
          <w:p>
            <w:pPr>
              <w:ind w:left="420"/>
              <w:spacing w:after="0" w:line="176" w:lineRule="exact"/>
              <w:rPr>
                <w:sz w:val="20"/>
                <w:szCs w:val="20"/>
                <w:color w:val="auto"/>
              </w:rPr>
            </w:pPr>
            <w:r>
              <w:rPr>
                <w:rFonts w:ascii="Arial" w:cs="Arial" w:eastAsia="Arial" w:hAnsi="Arial"/>
                <w:sz w:val="18"/>
                <w:szCs w:val="18"/>
                <w:color w:val="auto"/>
              </w:rPr>
              <w:t>DC-806, an oral IL-17 inhibitor for the</w:t>
            </w:r>
          </w:p>
        </w:tc>
        <w:tc>
          <w:tcPr>
            <w:tcW w:w="13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DICE Therapeutics, Inc. (DICE)</w:t>
            </w:r>
          </w:p>
        </w:tc>
        <w:tc>
          <w:tcPr>
            <w:tcW w:w="3660" w:type="dxa"/>
            <w:vAlign w:val="bottom"/>
            <w:shd w:val="clear" w:color="auto" w:fill="DBDBDB"/>
          </w:tcPr>
          <w:p>
            <w:pPr>
              <w:ind w:left="420"/>
              <w:spacing w:after="0" w:line="183" w:lineRule="exact"/>
              <w:rPr>
                <w:sz w:val="20"/>
                <w:szCs w:val="20"/>
                <w:color w:val="auto"/>
              </w:rPr>
            </w:pPr>
            <w:r>
              <w:rPr>
                <w:rFonts w:ascii="Arial" w:cs="Arial" w:eastAsia="Arial" w:hAnsi="Arial"/>
                <w:sz w:val="18"/>
                <w:szCs w:val="18"/>
                <w:color w:val="auto"/>
              </w:rPr>
              <w:t>treatment of chronic diseases in</w:t>
            </w:r>
          </w:p>
        </w:tc>
        <w:tc>
          <w:tcPr>
            <w:tcW w:w="1380" w:type="dxa"/>
            <w:vAlign w:val="bottom"/>
            <w:vMerge w:val="restart"/>
            <w:shd w:val="clear" w:color="auto" w:fill="DBDBDB"/>
          </w:tcPr>
          <w:p>
            <w:pPr>
              <w:jc w:val="center"/>
              <w:ind w:right="14"/>
              <w:spacing w:after="0"/>
              <w:rPr>
                <w:sz w:val="20"/>
                <w:szCs w:val="20"/>
                <w:color w:val="auto"/>
              </w:rPr>
            </w:pPr>
            <w:r>
              <w:rPr>
                <w:rFonts w:ascii="Arial" w:cs="Arial" w:eastAsia="Arial" w:hAnsi="Arial"/>
                <w:sz w:val="18"/>
                <w:szCs w:val="18"/>
                <w:color w:val="auto"/>
                <w:w w:val="98"/>
              </w:rPr>
              <w:t>August 2023</w:t>
            </w:r>
          </w:p>
        </w:tc>
        <w:tc>
          <w:tcPr>
            <w:tcW w:w="14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Phase 2</w:t>
            </w:r>
          </w:p>
        </w:tc>
        <w:tc>
          <w:tcPr>
            <w:tcW w:w="68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1,915.5</w:t>
            </w:r>
          </w:p>
        </w:tc>
        <w:tc>
          <w:tcPr>
            <w:tcW w:w="0" w:type="dxa"/>
            <w:vAlign w:val="bottom"/>
          </w:tcPr>
          <w:p>
            <w:pPr>
              <w:spacing w:after="0"/>
              <w:rPr>
                <w:sz w:val="1"/>
                <w:szCs w:val="1"/>
                <w:color w:val="auto"/>
              </w:rPr>
            </w:pPr>
          </w:p>
        </w:tc>
      </w:tr>
      <w:tr>
        <w:trPr>
          <w:trHeight w:val="235"/>
        </w:trPr>
        <w:tc>
          <w:tcPr>
            <w:tcW w:w="2960" w:type="dxa"/>
            <w:vAlign w:val="bottom"/>
            <w:vMerge w:val="continue"/>
            <w:shd w:val="clear" w:color="auto" w:fill="DBDBDB"/>
          </w:tcPr>
          <w:p>
            <w:pPr>
              <w:spacing w:after="0"/>
              <w:rPr>
                <w:sz w:val="20"/>
                <w:szCs w:val="20"/>
                <w:color w:val="auto"/>
              </w:rPr>
            </w:pPr>
          </w:p>
        </w:tc>
        <w:tc>
          <w:tcPr>
            <w:tcW w:w="3660" w:type="dxa"/>
            <w:vAlign w:val="bottom"/>
            <w:shd w:val="clear" w:color="auto" w:fill="DBDBDB"/>
          </w:tcPr>
          <w:p>
            <w:pPr>
              <w:ind w:left="420"/>
              <w:spacing w:after="0"/>
              <w:rPr>
                <w:sz w:val="20"/>
                <w:szCs w:val="20"/>
                <w:color w:val="auto"/>
              </w:rPr>
            </w:pPr>
            <w:r>
              <w:rPr>
                <w:rFonts w:ascii="Arial" w:cs="Arial" w:eastAsia="Arial" w:hAnsi="Arial"/>
                <w:sz w:val="18"/>
                <w:szCs w:val="18"/>
                <w:color w:val="auto"/>
              </w:rPr>
              <w:t>immunology</w:t>
            </w:r>
            <w:r>
              <w:rPr>
                <w:rFonts w:ascii="Arial" w:cs="Arial" w:eastAsia="Arial" w:hAnsi="Arial"/>
                <w:sz w:val="9"/>
                <w:szCs w:val="9"/>
                <w:b w:val="1"/>
                <w:bCs w:val="1"/>
                <w:color w:val="auto"/>
              </w:rPr>
              <w:t>(2)</w:t>
            </w:r>
          </w:p>
        </w:tc>
        <w:tc>
          <w:tcPr>
            <w:tcW w:w="1380" w:type="dxa"/>
            <w:vAlign w:val="bottom"/>
            <w:vMerge w:val="continue"/>
            <w:shd w:val="clear" w:color="auto" w:fill="DBDBDB"/>
          </w:tcPr>
          <w:p>
            <w:pPr>
              <w:spacing w:after="0"/>
              <w:rPr>
                <w:sz w:val="20"/>
                <w:szCs w:val="20"/>
                <w:color w:val="auto"/>
              </w:rPr>
            </w:pPr>
          </w:p>
        </w:tc>
        <w:tc>
          <w:tcPr>
            <w:tcW w:w="1440" w:type="dxa"/>
            <w:vAlign w:val="bottom"/>
            <w:vMerge w:val="continue"/>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112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3660" w:type="dxa"/>
            <w:vAlign w:val="bottom"/>
          </w:tcPr>
          <w:p>
            <w:pPr>
              <w:ind w:left="420"/>
              <w:spacing w:after="0" w:line="176" w:lineRule="exact"/>
              <w:rPr>
                <w:sz w:val="20"/>
                <w:szCs w:val="20"/>
                <w:color w:val="auto"/>
              </w:rPr>
            </w:pPr>
            <w:r>
              <w:rPr>
                <w:rFonts w:ascii="Arial" w:cs="Arial" w:eastAsia="Arial" w:hAnsi="Arial"/>
                <w:sz w:val="18"/>
                <w:szCs w:val="18"/>
                <w:color w:val="auto"/>
              </w:rPr>
              <w:t>Bimagrumab, a monoclonal antibody for</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the treatment of people living with</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Versanis Bio, Inc. (Versanis)</w:t>
            </w:r>
          </w:p>
        </w:tc>
        <w:tc>
          <w:tcPr>
            <w:tcW w:w="3660" w:type="dxa"/>
            <w:vAlign w:val="bottom"/>
          </w:tcPr>
          <w:p>
            <w:pPr>
              <w:ind w:left="420"/>
              <w:spacing w:after="0" w:line="181" w:lineRule="exact"/>
              <w:rPr>
                <w:sz w:val="20"/>
                <w:szCs w:val="20"/>
                <w:color w:val="auto"/>
              </w:rPr>
            </w:pPr>
            <w:r>
              <w:rPr>
                <w:rFonts w:ascii="Arial" w:cs="Arial" w:eastAsia="Arial" w:hAnsi="Arial"/>
                <w:sz w:val="18"/>
                <w:szCs w:val="18"/>
                <w:color w:val="auto"/>
              </w:rPr>
              <w:t>obesity and obesity-related</w:t>
            </w:r>
          </w:p>
        </w:tc>
        <w:tc>
          <w:tcPr>
            <w:tcW w:w="1380" w:type="dxa"/>
            <w:vAlign w:val="bottom"/>
            <w:vMerge w:val="restart"/>
          </w:tcPr>
          <w:p>
            <w:pPr>
              <w:jc w:val="center"/>
              <w:ind w:right="14"/>
              <w:spacing w:after="0"/>
              <w:rPr>
                <w:sz w:val="20"/>
                <w:szCs w:val="20"/>
                <w:color w:val="auto"/>
              </w:rPr>
            </w:pPr>
            <w:r>
              <w:rPr>
                <w:rFonts w:ascii="Arial" w:cs="Arial" w:eastAsia="Arial" w:hAnsi="Arial"/>
                <w:sz w:val="18"/>
                <w:szCs w:val="18"/>
                <w:color w:val="auto"/>
                <w:w w:val="98"/>
              </w:rPr>
              <w:t>August 2023</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Phase 2</w:t>
            </w:r>
          </w:p>
        </w:tc>
        <w:tc>
          <w:tcPr>
            <w:tcW w:w="6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30"/>
        </w:trPr>
        <w:tc>
          <w:tcPr>
            <w:tcW w:w="2960" w:type="dxa"/>
            <w:vAlign w:val="bottom"/>
            <w:vMerge w:val="continue"/>
          </w:tcPr>
          <w:p>
            <w:pPr>
              <w:spacing w:after="0"/>
              <w:rPr>
                <w:sz w:val="19"/>
                <w:szCs w:val="19"/>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complications</w:t>
            </w:r>
          </w:p>
        </w:tc>
        <w:tc>
          <w:tcPr>
            <w:tcW w:w="13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Emergence Therapeutics AG</w:t>
            </w:r>
          </w:p>
        </w:tc>
        <w:tc>
          <w:tcPr>
            <w:tcW w:w="3660" w:type="dxa"/>
            <w:vAlign w:val="bottom"/>
            <w:shd w:val="clear" w:color="auto" w:fill="DBDBDB"/>
          </w:tcPr>
          <w:p>
            <w:pPr>
              <w:ind w:left="420"/>
              <w:spacing w:after="0" w:line="176" w:lineRule="exact"/>
              <w:rPr>
                <w:sz w:val="20"/>
                <w:szCs w:val="20"/>
                <w:color w:val="auto"/>
              </w:rPr>
            </w:pPr>
            <w:r>
              <w:rPr>
                <w:rFonts w:ascii="Arial" w:cs="Arial" w:eastAsia="Arial" w:hAnsi="Arial"/>
                <w:sz w:val="18"/>
                <w:szCs w:val="18"/>
                <w:color w:val="auto"/>
              </w:rPr>
              <w:t>ETx-22, a Nectin-4 antibody-drug</w:t>
            </w:r>
          </w:p>
        </w:tc>
        <w:tc>
          <w:tcPr>
            <w:tcW w:w="13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vMerge w:val="continue"/>
            <w:shd w:val="clear" w:color="auto" w:fill="DBDBDB"/>
          </w:tcPr>
          <w:p>
            <w:pPr>
              <w:spacing w:after="0"/>
              <w:rPr>
                <w:sz w:val="15"/>
                <w:szCs w:val="15"/>
                <w:color w:val="auto"/>
              </w:rPr>
            </w:pPr>
          </w:p>
        </w:tc>
        <w:tc>
          <w:tcPr>
            <w:tcW w:w="3660" w:type="dxa"/>
            <w:vAlign w:val="bottom"/>
            <w:shd w:val="clear" w:color="auto" w:fill="DBDBDB"/>
          </w:tcPr>
          <w:p>
            <w:pPr>
              <w:ind w:left="420"/>
              <w:spacing w:after="0" w:line="176" w:lineRule="exact"/>
              <w:rPr>
                <w:sz w:val="20"/>
                <w:szCs w:val="20"/>
                <w:color w:val="auto"/>
              </w:rPr>
            </w:pPr>
            <w:r>
              <w:rPr>
                <w:rFonts w:ascii="Arial" w:cs="Arial" w:eastAsia="Arial" w:hAnsi="Arial"/>
                <w:sz w:val="18"/>
                <w:szCs w:val="18"/>
                <w:color w:val="auto"/>
              </w:rPr>
              <w:t>conjugate for the treatment of urothelial</w:t>
            </w:r>
          </w:p>
        </w:tc>
        <w:tc>
          <w:tcPr>
            <w:tcW w:w="1380" w:type="dxa"/>
            <w:vAlign w:val="bottom"/>
            <w:vMerge w:val="restart"/>
            <w:shd w:val="clear" w:color="auto" w:fill="DBDBDB"/>
          </w:tcPr>
          <w:p>
            <w:pPr>
              <w:jc w:val="center"/>
              <w:ind w:right="14"/>
              <w:spacing w:after="0"/>
              <w:rPr>
                <w:sz w:val="20"/>
                <w:szCs w:val="20"/>
                <w:color w:val="auto"/>
              </w:rPr>
            </w:pPr>
            <w:r>
              <w:rPr>
                <w:rFonts w:ascii="Arial" w:cs="Arial" w:eastAsia="Arial" w:hAnsi="Arial"/>
                <w:sz w:val="18"/>
                <w:szCs w:val="18"/>
                <w:color w:val="auto"/>
                <w:w w:val="98"/>
              </w:rPr>
              <w:t>August 2023</w:t>
            </w:r>
          </w:p>
        </w:tc>
        <w:tc>
          <w:tcPr>
            <w:tcW w:w="14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Pre-clinical</w:t>
            </w:r>
          </w:p>
        </w:tc>
        <w:tc>
          <w:tcPr>
            <w:tcW w:w="68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(Emergence)</w:t>
            </w:r>
          </w:p>
        </w:tc>
        <w:tc>
          <w:tcPr>
            <w:tcW w:w="366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8"/>
                <w:szCs w:val="18"/>
                <w:color w:val="auto"/>
              </w:rPr>
              <w:t>cancer</w:t>
            </w:r>
          </w:p>
        </w:tc>
        <w:tc>
          <w:tcPr>
            <w:tcW w:w="1380" w:type="dxa"/>
            <w:vAlign w:val="bottom"/>
            <w:tcBorders>
              <w:bottom w:val="single" w:sz="8" w:color="auto"/>
            </w:tcBorders>
            <w:vMerge w:val="continue"/>
            <w:shd w:val="clear" w:color="auto" w:fill="DBDBDB"/>
          </w:tcPr>
          <w:p>
            <w:pPr>
              <w:spacing w:after="0"/>
              <w:rPr>
                <w:sz w:val="21"/>
                <w:szCs w:val="21"/>
                <w:color w:val="auto"/>
              </w:rPr>
            </w:pPr>
          </w:p>
        </w:tc>
        <w:tc>
          <w:tcPr>
            <w:tcW w:w="1440" w:type="dxa"/>
            <w:vAlign w:val="bottom"/>
            <w:tcBorders>
              <w:bottom w:val="single" w:sz="8" w:color="auto"/>
            </w:tcBorders>
            <w:vMerge w:val="continue"/>
            <w:shd w:val="clear" w:color="auto" w:fill="DBDBDB"/>
          </w:tcPr>
          <w:p>
            <w:pPr>
              <w:spacing w:after="0"/>
              <w:rPr>
                <w:sz w:val="21"/>
                <w:szCs w:val="21"/>
                <w:color w:val="auto"/>
              </w:rPr>
            </w:pPr>
          </w:p>
        </w:tc>
        <w:tc>
          <w:tcPr>
            <w:tcW w:w="68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BioMarin Pharmaceutical Inc.</w:t>
            </w:r>
          </w:p>
        </w:tc>
        <w:tc>
          <w:tcPr>
            <w:tcW w:w="366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8"/>
                <w:szCs w:val="18"/>
                <w:color w:val="auto"/>
              </w:rPr>
              <w:t>Priority Review Voucher</w:t>
            </w:r>
          </w:p>
        </w:tc>
        <w:tc>
          <w:tcPr>
            <w:tcW w:w="1380" w:type="dxa"/>
            <w:vAlign w:val="bottom"/>
            <w:tcBorders>
              <w:bottom w:val="single" w:sz="8" w:color="auto"/>
            </w:tcBorders>
            <w:shd w:val="clear" w:color="auto" w:fill="DBDBDB"/>
          </w:tcPr>
          <w:p>
            <w:pPr>
              <w:jc w:val="center"/>
              <w:ind w:right="14"/>
              <w:spacing w:after="0"/>
              <w:rPr>
                <w:sz w:val="20"/>
                <w:szCs w:val="20"/>
                <w:color w:val="auto"/>
              </w:rPr>
            </w:pPr>
            <w:r>
              <w:rPr>
                <w:rFonts w:ascii="Arial" w:cs="Arial" w:eastAsia="Arial" w:hAnsi="Arial"/>
                <w:sz w:val="18"/>
                <w:szCs w:val="18"/>
                <w:color w:val="auto"/>
                <w:w w:val="99"/>
              </w:rPr>
              <w:t>February 2022</w:t>
            </w:r>
          </w:p>
        </w:tc>
        <w:tc>
          <w:tcPr>
            <w:tcW w:w="14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6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In 2024, we discontinued development of this molecule in favor of another molecule in development.</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our acquisition of Petra Pharma Corporation (Petra) in 2020, we were required to make milestone payments to Petra shareholders contingent upon the occurrence of certain future events linked to the success of the mutant-selective PI3Kα inhibitor. In 2022, we entered into agreements with substantially all Petra shareholders to acquire their rights to receive any future milestone payments in exchange for a one-time payment. As a result of these agreements, we recognized a charge of $333.8 million as acquired IPR&amp;D in 2022. Any remaining contingent milestones payments linked to the success of the mutant-selective PI3Kα inhibitor are not expected to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other significant acquired IPR&amp;D charges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Significant product families included in the collaboration are Boehringer Ingelheim's Jardiance product family and our Basaglar product family. Glyxambi, Synjardy, and Trijardy XR are included in the Jardiance product family. Rezvoglar is included in the Basaglar product family.</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Jardiance product family, we and Boehringer Ingelheim generally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the Jardiance product family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We pay to Boehringer Ingelheim a royalty on net sales for the Basaglar product family in the U.S. We record our sales of the Basaglar product family to third parties as net product revenue with the royalty payments made to Boehringer Ingelheim recorded as cost of sales. The following table summarizes our revenue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4"/>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Jardiance</w:t>
            </w:r>
          </w:p>
        </w:tc>
        <w:tc>
          <w:tcPr>
            <w:tcW w:w="3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b w:val="1"/>
                <w:bCs w:val="1"/>
                <w:color w:val="auto"/>
              </w:rPr>
              <w:t>3,340.9</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2,744.7</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2,066.0</w:t>
            </w:r>
          </w:p>
        </w:tc>
      </w:tr>
      <w:tr>
        <w:trPr>
          <w:trHeight w:val="247"/>
        </w:trPr>
        <w:tc>
          <w:tcPr>
            <w:tcW w:w="3820" w:type="dxa"/>
            <w:vAlign w:val="bottom"/>
          </w:tcPr>
          <w:p>
            <w:pPr>
              <w:ind w:left="20"/>
              <w:spacing w:after="0"/>
              <w:rPr>
                <w:sz w:val="20"/>
                <w:szCs w:val="20"/>
                <w:color w:val="auto"/>
              </w:rPr>
            </w:pPr>
            <w:r>
              <w:rPr>
                <w:rFonts w:ascii="Arial" w:cs="Arial" w:eastAsia="Arial" w:hAnsi="Arial"/>
                <w:sz w:val="18"/>
                <w:szCs w:val="18"/>
                <w:color w:val="auto"/>
              </w:rPr>
              <w:t>Basaglar</w:t>
            </w:r>
          </w:p>
        </w:tc>
        <w:tc>
          <w:tcPr>
            <w:tcW w:w="33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676.9</w:t>
            </w:r>
          </w:p>
        </w:tc>
        <w:tc>
          <w:tcPr>
            <w:tcW w:w="4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728.3</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760.4</w:t>
            </w:r>
          </w:p>
        </w:tc>
      </w:tr>
    </w:tbl>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2024 revenue from Jardiance included a one-time payment received of $300.0 million associated with an amendment to our collaboration with Boehringer Ingelheim. Pursuant to the amendment, we and Boehringer Ingelheim adjusted commercialization responsibilities for Jardiance within certain smaller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baricitinib, which is branded and trademarked as Olumiant, and certain follow-on compounds, for the treatment of inflammatory and autoimmune diseases and COVID-19. Incyte has the right to receive tiered, double digit royalty payments on worldwide net sales with rates ranging up to 20 percent. Incyte has the right to receive an additional royalty ranging up to the low teens on worldwide net sales for the treatment of COVID-19 that exceed a specified aggregate worldwide net sales threshold.</w:t>
      </w:r>
    </w:p>
    <w:p>
      <w:pPr>
        <w:spacing w:after="0" w:line="7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record our sales of Olumiant, including sales of baricitinib that were made pursuant to EUA or similar regulatory authorizations, to third parties as net product revenue with the royalty payments made to Incyte recorded as cost of sales. The following table summarizes our net product revenue recognized: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24"/>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Olumiant</w:t>
            </w:r>
          </w:p>
        </w:tc>
        <w:tc>
          <w:tcPr>
            <w:tcW w:w="3880" w:type="dxa"/>
            <w:vAlign w:val="bottom"/>
            <w:shd w:val="clear" w:color="auto" w:fill="DBDBDB"/>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957.4</w:t>
            </w:r>
          </w:p>
        </w:tc>
        <w:tc>
          <w:tcPr>
            <w:tcW w:w="940" w:type="dxa"/>
            <w:vAlign w:val="bottom"/>
            <w:shd w:val="clear" w:color="auto" w:fill="DBDBDB"/>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922.6</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Tyvyt</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a collaboration agreement with Innovent Biologics, Inc. (Innovent) to jointly develop and commercialize sintilimab injection in China, where it is branded and trademarked as Tyvyt. 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6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24"/>
        </w:trPr>
        <w:tc>
          <w:tcPr>
            <w:tcW w:w="3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Tyvyt</w:t>
            </w:r>
          </w:p>
        </w:tc>
        <w:tc>
          <w:tcPr>
            <w:tcW w:w="402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526.0</w:t>
            </w:r>
          </w:p>
        </w:tc>
        <w:tc>
          <w:tcPr>
            <w:tcW w:w="960" w:type="dxa"/>
            <w:vAlign w:val="bottom"/>
            <w:shd w:val="clear" w:color="auto" w:fill="DBDBDB"/>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393.4</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293.3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December 31, 2024, Roche is eligible to receive additional payments from us, including up to $ 1.03 billion in potential sales-based milestones. During the years ended December 31, 2024, 2023, and 2022, milestone payments to Roche were not material.</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years ended December 31, 2024, 2023, and 2022, collaboration and other revenue recognized under this license agreement was not material. As of December 31, 2024,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 single digits to low teens if the product is successfully commercialized. As of December 31, 2024, Chugai is eligible to receive up to $140.0 million contingent upon the achievement of success-based regulatory milestones and up to $250.0 million in a series of sales-based milestones, contingent upon the commercial success of orforglipron. During the years ended December 31, 2024, 2023, and 2022, milestone payments to Chugai were not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 worldwide license and collaboration agreement with AbCellera Biologics Inc. (AbCellera) to co-develop therapeutic antibodies for the potential prevention and treatment of COVID-19, including bamlanivimab and bebtelovimab, for which we hold development and commercialization rights. AbCellera received royalty payments, recorded as cost of sales, in the mid-teens to mid-twenties on worldwide net sales of bamlanivimab and bebtelovimab.</w:t>
      </w:r>
    </w:p>
    <w:p>
      <w:pPr>
        <w:spacing w:after="0" w:line="68"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Pursuant to EUAs or similar regulatory authorizations, we recognized net product revenue associated with our sales of our COVID-19 antibodies of $2.02 billion during 2022. We had no sales of our COVID-19 antibodies during the years ended December 31, 2024 and 2023.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Olanzapine Portfolio (including Zyprexa)</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July 2023, we sold the rights for the olanzapine portfolio, including Zyprexa, to Cheplapharm Arzneimittel GmbH (Cheplapharm), a European company. Under the terms of the agreement, we received $1.05 billion in cash in 2023 and an additional $305.0 million in cash in 2024. We included both in the transaction price in 2023.</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entered into a supply agreement with Cheplapharm that obligates Cheplapharm to purchase Zyprexa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4" w:name="page75"/>
    <w:bookmarkEnd w:id="74"/>
    <w:p>
      <w:pPr>
        <w:ind w:right="260"/>
        <w:spacing w:after="0" w:line="287" w:lineRule="auto"/>
        <w:rPr>
          <w:sz w:val="20"/>
          <w:szCs w:val="20"/>
          <w:color w:val="auto"/>
        </w:rPr>
      </w:pPr>
      <w:r>
        <w:rPr>
          <w:rFonts w:ascii="Arial" w:cs="Arial" w:eastAsia="Arial" w:hAnsi="Arial"/>
          <w:sz w:val="18"/>
          <w:szCs w:val="18"/>
          <w:color w:val="auto"/>
        </w:rPr>
        <w:t>During the year ended December 31, 2023, we recognized $1.45 billion in revenue primarily related to the net gain on the sale of rights for the olanzapine portfolio.</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Baqsimi</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June 2023, we sold the rights for Baqsimi to Amphastar Pharmaceuticals, Inc. (Amphastar). Under the terms of the agreement, we received $500.0 million in cash in 2023 and an additional $ 125.0 million in cash in 2024. We included both in the transaction price in 2023. We are eligible to receive payments of up to $450.0 million in a series of sales-based milestones, that have not been included in the transaction price as of December 31, 2024.</w:t>
      </w:r>
    </w:p>
    <w:p>
      <w:pPr>
        <w:spacing w:after="0" w:line="6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entered into a supply agreement with Amphastar that obligates Amphastar to purchase Baqsimi product we are manufacturing at an amount which represents a standalone selling price. As the product we are manufacturing under this supply agreement has no alternative use to us and we have right to payment, we recognize net product revenue over time as we manufacture the product.</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year ended December 31, 2023, we recognized $579.0 million in revenue primarily related to the net gain on the sale of rights for Baqsimi.</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Asset impairment, restructuring, and other special charges were $860.6 million, $67.7 million, and $244.6 million for the years ended December 31, 2024, 2023, and 2022, respectively.</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Asset impairment, restructuring, and other special charges recognized during the year ended December 31, 2024 were primarily related to a $435.0 million litigation charge and an intangible asset impairment for Vitrakvi, driven by expected commercial projections. See Note 16 for additional information related to the litigation charge.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Asset impairment, restructuring, and other special charges recognized during the year ended December 31, 2022 were primarily related to an intangible asset impairment driven by delays in estimated launch timing.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1,220.8</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791.7</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3,979.5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3,248.6</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2,326.0</w:t>
            </w:r>
          </w:p>
        </w:tc>
        <w:tc>
          <w:tcPr>
            <w:tcW w:w="4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1,630.1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7,526.3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5,670.4</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62.9</w:t>
            </w:r>
          </w:p>
        </w:tc>
        <w:tc>
          <w:tcPr>
            <w:tcW w:w="4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7,589.2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5,772.8</w:t>
            </w: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Inventories valued under the LIFO method comprised $2.70 billion and $1.77 billion of total inventories at December 31, 2024 and 2023, respectively.</w:t>
      </w:r>
    </w:p>
    <w:p>
      <w:pPr>
        <w:spacing w:after="0" w:line="4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When we believe that future commercialization is probable and the future economic benefit is expected to be realized, we capitalize pre-launch inventory prior to regulatory approval. A number of factors are considered, including the current status in the regulatory approval process, potential impediments to the approval process such as safety or efficacy, viability of commercialization, and marketplace trends. Pre-launch inventory capitalized as of December 31, 2024 was $548.1 million, primarily related to orforglipron.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years ended December 31, 2024, 2023, and 2022 were not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net losses recognized in our consolidated statements of operations for equity securities were $49.5 million, $20.2 million, and</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$410.7 million for the years ended December 31, 2024, 2023, and 2022, respectively. The net gains (losses) recognized for the years ended December 31, 2024, 2023, and 2022 on equity securities sold during the respective periods were not material.</w:t>
      </w:r>
    </w:p>
    <w:p>
      <w:pPr>
        <w:spacing w:after="0" w:line="6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As of December 31, 2024, we had approximately $899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years ended December 31, 2024, 2023, and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8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40" w:type="dxa"/>
            <w:vAlign w:val="bottom"/>
          </w:tcPr>
          <w:p>
            <w:pPr>
              <w:jc w:val="center"/>
              <w:ind w:right="282"/>
              <w:spacing w:after="0" w:line="147" w:lineRule="exact"/>
              <w:rPr>
                <w:sz w:val="20"/>
                <w:szCs w:val="20"/>
                <w:color w:val="auto"/>
              </w:rPr>
            </w:pPr>
            <w:r>
              <w:rPr>
                <w:rFonts w:ascii="Arial" w:cs="Arial" w:eastAsia="Arial" w:hAnsi="Arial"/>
                <w:sz w:val="14"/>
                <w:szCs w:val="14"/>
                <w:b w:val="1"/>
                <w:bCs w:val="1"/>
                <w:color w:val="auto"/>
                <w:w w:val="98"/>
              </w:rPr>
              <w:t>1-5</w:t>
            </w:r>
          </w:p>
        </w:tc>
        <w:tc>
          <w:tcPr>
            <w:tcW w:w="280" w:type="dxa"/>
            <w:vAlign w:val="bottom"/>
          </w:tcPr>
          <w:p>
            <w:pPr>
              <w:spacing w:after="0"/>
              <w:rPr>
                <w:sz w:val="12"/>
                <w:szCs w:val="12"/>
                <w:color w:val="auto"/>
              </w:rPr>
            </w:pPr>
          </w:p>
        </w:tc>
        <w:tc>
          <w:tcPr>
            <w:tcW w:w="960" w:type="dxa"/>
            <w:vAlign w:val="bottom"/>
          </w:tcPr>
          <w:p>
            <w:pPr>
              <w:jc w:val="right"/>
              <w:ind w:right="402"/>
              <w:spacing w:after="0" w:line="147" w:lineRule="exact"/>
              <w:rPr>
                <w:sz w:val="20"/>
                <w:szCs w:val="20"/>
                <w:color w:val="auto"/>
              </w:rPr>
            </w:pPr>
            <w:r>
              <w:rPr>
                <w:rFonts w:ascii="Arial" w:cs="Arial" w:eastAsia="Arial" w:hAnsi="Arial"/>
                <w:sz w:val="14"/>
                <w:szCs w:val="14"/>
                <w:b w:val="1"/>
                <w:bCs w:val="1"/>
                <w:color w:val="auto"/>
              </w:rPr>
              <w:t>6-10</w:t>
            </w:r>
          </w:p>
        </w:tc>
        <w:tc>
          <w:tcPr>
            <w:tcW w:w="200" w:type="dxa"/>
            <w:vAlign w:val="bottom"/>
          </w:tcPr>
          <w:p>
            <w:pPr>
              <w:spacing w:after="0"/>
              <w:rPr>
                <w:sz w:val="12"/>
                <w:szCs w:val="12"/>
                <w:color w:val="auto"/>
              </w:rPr>
            </w:pPr>
          </w:p>
        </w:tc>
        <w:tc>
          <w:tcPr>
            <w:tcW w:w="108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rPr>
              <w:t>More Than 10</w:t>
            </w:r>
          </w:p>
        </w:tc>
        <w:tc>
          <w:tcPr>
            <w:tcW w:w="0" w:type="dxa"/>
            <w:vAlign w:val="bottom"/>
          </w:tcPr>
          <w:p>
            <w:pPr>
              <w:spacing w:after="0"/>
              <w:rPr>
                <w:sz w:val="1"/>
                <w:szCs w:val="1"/>
                <w:color w:val="auto"/>
              </w:rPr>
            </w:pPr>
          </w:p>
        </w:tc>
      </w:tr>
      <w:tr>
        <w:trPr>
          <w:trHeight w:val="185"/>
        </w:trPr>
        <w:tc>
          <w:tcPr>
            <w:tcW w:w="4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668.8</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95.2</w:t>
            </w:r>
          </w:p>
        </w:tc>
        <w:tc>
          <w:tcPr>
            <w:tcW w:w="400" w:type="dxa"/>
            <w:vAlign w:val="bottom"/>
            <w:shd w:val="clear" w:color="auto" w:fill="DBDBDB"/>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102"/>
              <w:spacing w:after="0"/>
              <w:rPr>
                <w:sz w:val="20"/>
                <w:szCs w:val="20"/>
                <w:color w:val="auto"/>
              </w:rPr>
            </w:pPr>
            <w:r>
              <w:rPr>
                <w:rFonts w:ascii="Arial" w:cs="Arial" w:eastAsia="Arial" w:hAnsi="Arial"/>
                <w:sz w:val="18"/>
                <w:szCs w:val="18"/>
                <w:color w:val="auto"/>
              </w:rPr>
              <w:t>225.5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22"/>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r>
      <w:tr>
        <w:trPr>
          <w:trHeight w:val="224"/>
        </w:trPr>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Unrealized gross gains</w:t>
            </w:r>
          </w:p>
        </w:tc>
        <w:tc>
          <w:tcPr>
            <w:tcW w:w="4340" w:type="dxa"/>
            <w:vAlign w:val="bottom"/>
            <w:shd w:val="clear" w:color="auto" w:fill="DBDBDB"/>
          </w:tcPr>
          <w:p>
            <w:pPr>
              <w:jc w:val="right"/>
              <w:ind w:right="676"/>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43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43.2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434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142.6</w:t>
            </w:r>
          </w:p>
        </w:tc>
        <w:tc>
          <w:tcPr>
            <w:tcW w:w="4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159.2</w:t>
            </w:r>
          </w:p>
        </w:tc>
      </w:tr>
      <w:tr>
        <w:trPr>
          <w:trHeight w:val="247"/>
        </w:trPr>
        <w:tc>
          <w:tcPr>
            <w:tcW w:w="4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43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491.2</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878"/>
        </w:trPr>
        <w:tc>
          <w:tcPr>
            <w:tcW w:w="4860" w:type="dxa"/>
            <w:vAlign w:val="bottom"/>
          </w:tcPr>
          <w:p>
            <w:pPr>
              <w:spacing w:after="0"/>
              <w:rPr>
                <w:sz w:val="24"/>
                <w:szCs w:val="24"/>
                <w:color w:val="auto"/>
              </w:rPr>
            </w:pPr>
          </w:p>
        </w:tc>
        <w:tc>
          <w:tcPr>
            <w:tcW w:w="4340" w:type="dxa"/>
            <w:vAlign w:val="bottom"/>
          </w:tcPr>
          <w:p>
            <w:pPr>
              <w:jc w:val="right"/>
              <w:ind w:right="3396"/>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486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As of December 31, 2024,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December 31, 2024,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years ended December 31, 2024, 2023, and 2022. Proceeds from sales of available-for-sale investments were $98.0 million, $145.6 million, and $132.9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2024 and 2023 for investment assets measured at fair value on a recurring basis, as well as the carrying amount and amortized cost of certain other investments: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060" w:type="dxa"/>
            <w:vAlign w:val="bottom"/>
          </w:tcPr>
          <w:p>
            <w:pPr>
              <w:jc w:val="center"/>
              <w:ind w:right="142"/>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0"/>
                <w:szCs w:val="10"/>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99"/>
              </w:rPr>
              <w:t>Significant</w:t>
            </w: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060" w:type="dxa"/>
            <w:vAlign w:val="bottom"/>
          </w:tcPr>
          <w:p>
            <w:pPr>
              <w:jc w:val="center"/>
              <w:ind w:right="142"/>
              <w:spacing w:after="0" w:line="122"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0"/>
                <w:szCs w:val="10"/>
                <w:color w:val="auto"/>
              </w:rPr>
            </w:pPr>
          </w:p>
        </w:tc>
        <w:tc>
          <w:tcPr>
            <w:tcW w:w="108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400" w:type="dxa"/>
            <w:vAlign w:val="bottom"/>
          </w:tcPr>
          <w:p>
            <w:pPr>
              <w:spacing w:after="0"/>
              <w:rPr>
                <w:sz w:val="10"/>
                <w:szCs w:val="10"/>
                <w:color w:val="auto"/>
              </w:rPr>
            </w:pPr>
          </w:p>
        </w:tc>
        <w:tc>
          <w:tcPr>
            <w:tcW w:w="960" w:type="dxa"/>
            <w:vAlign w:val="bottom"/>
            <w:vMerge w:val="restart"/>
          </w:tcPr>
          <w:p>
            <w:pPr>
              <w:jc w:val="right"/>
              <w:ind w:right="421"/>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6"/>
                <w:szCs w:val="16"/>
                <w:b w:val="1"/>
                <w:bCs w:val="1"/>
                <w:color w:val="auto"/>
                <w:vertAlign w:val="superscript"/>
              </w:rPr>
              <w:t>(1)</w:t>
            </w:r>
          </w:p>
        </w:tc>
        <w:tc>
          <w:tcPr>
            <w:tcW w:w="12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060" w:type="dxa"/>
            <w:vAlign w:val="bottom"/>
          </w:tcPr>
          <w:p>
            <w:pPr>
              <w:jc w:val="center"/>
              <w:ind w:right="142"/>
              <w:spacing w:after="0" w:line="135" w:lineRule="exact"/>
              <w:rPr>
                <w:sz w:val="20"/>
                <w:szCs w:val="20"/>
                <w:color w:val="auto"/>
              </w:rPr>
            </w:pPr>
            <w:r>
              <w:rPr>
                <w:rFonts w:ascii="Arial" w:cs="Arial" w:eastAsia="Arial" w:hAnsi="Arial"/>
                <w:sz w:val="13"/>
                <w:szCs w:val="13"/>
                <w:b w:val="1"/>
                <w:bCs w:val="1"/>
                <w:color w:val="auto"/>
                <w:w w:val="92"/>
              </w:rPr>
              <w:t>Inputs</w:t>
            </w:r>
          </w:p>
        </w:tc>
        <w:tc>
          <w:tcPr>
            <w:tcW w:w="240" w:type="dxa"/>
            <w:vAlign w:val="bottom"/>
          </w:tcPr>
          <w:p>
            <w:pPr>
              <w:spacing w:after="0"/>
              <w:rPr>
                <w:sz w:val="11"/>
                <w:szCs w:val="11"/>
                <w:color w:val="auto"/>
              </w:rPr>
            </w:pPr>
          </w:p>
        </w:tc>
        <w:tc>
          <w:tcPr>
            <w:tcW w:w="10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7"/>
              </w:rPr>
              <w:t>Inputs</w:t>
            </w:r>
          </w:p>
        </w:tc>
        <w:tc>
          <w:tcPr>
            <w:tcW w:w="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3)</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9"/>
        </w:trPr>
        <w:tc>
          <w:tcPr>
            <w:tcW w:w="32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December 31, 2024</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1,506.9</w:t>
            </w: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BDBDB"/>
            </w:tcBorders>
          </w:tcPr>
          <w:p>
            <w:pPr>
              <w:jc w:val="right"/>
              <w:ind w:right="100"/>
              <w:spacing w:after="0"/>
              <w:rPr>
                <w:sz w:val="20"/>
                <w:szCs w:val="20"/>
                <w:color w:val="auto"/>
              </w:rPr>
            </w:pPr>
            <w:r>
              <w:rPr>
                <w:rFonts w:ascii="Arial" w:cs="Arial" w:eastAsia="Arial" w:hAnsi="Arial"/>
                <w:sz w:val="16"/>
                <w:szCs w:val="16"/>
                <w:b w:val="1"/>
                <w:bCs w:val="1"/>
                <w:color w:val="auto"/>
              </w:rPr>
              <w:t>1,506.9</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DBDBDB"/>
            </w:tcBorders>
          </w:tcPr>
          <w:p>
            <w:pPr>
              <w:jc w:val="right"/>
              <w:ind w:right="22"/>
              <w:spacing w:after="0"/>
              <w:rPr>
                <w:sz w:val="20"/>
                <w:szCs w:val="20"/>
                <w:color w:val="auto"/>
              </w:rPr>
            </w:pPr>
            <w:r>
              <w:rPr>
                <w:rFonts w:ascii="Arial" w:cs="Arial" w:eastAsia="Arial" w:hAnsi="Arial"/>
                <w:sz w:val="16"/>
                <w:szCs w:val="16"/>
                <w:b w:val="1"/>
                <w:bCs w:val="1"/>
                <w:color w:val="auto"/>
              </w:rPr>
              <w:t>1,494.1</w:t>
            </w:r>
          </w:p>
        </w:tc>
        <w:tc>
          <w:tcPr>
            <w:tcW w:w="280" w:type="dxa"/>
            <w:vAlign w:val="bottom"/>
            <w:tcBorders>
              <w:bottom w:val="single" w:sz="8" w:color="DBDBDB"/>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DBDBDB"/>
            </w:tcBorders>
          </w:tcPr>
          <w:p>
            <w:pPr>
              <w:jc w:val="right"/>
              <w:ind w:right="22"/>
              <w:spacing w:after="0"/>
              <w:rPr>
                <w:sz w:val="20"/>
                <w:szCs w:val="20"/>
                <w:color w:val="auto"/>
              </w:rPr>
            </w:pPr>
            <w:r>
              <w:rPr>
                <w:rFonts w:ascii="Arial" w:cs="Arial" w:eastAsia="Arial" w:hAnsi="Arial"/>
                <w:sz w:val="16"/>
                <w:szCs w:val="16"/>
                <w:b w:val="1"/>
                <w:bCs w:val="1"/>
                <w:color w:val="auto"/>
              </w:rPr>
              <w:t>12.8</w:t>
            </w: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DBDBDB"/>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DBDBDB"/>
            </w:tcBorders>
          </w:tcPr>
          <w:p>
            <w:pPr>
              <w:jc w:val="right"/>
              <w:ind w:right="1"/>
              <w:spacing w:after="0"/>
              <w:rPr>
                <w:sz w:val="20"/>
                <w:szCs w:val="20"/>
                <w:color w:val="auto"/>
              </w:rPr>
            </w:pPr>
            <w:r>
              <w:rPr>
                <w:rFonts w:ascii="Arial" w:cs="Arial" w:eastAsia="Arial" w:hAnsi="Arial"/>
                <w:sz w:val="16"/>
                <w:szCs w:val="16"/>
                <w:b w:val="1"/>
                <w:bCs w:val="1"/>
                <w:color w:val="auto"/>
              </w:rPr>
              <w:t>1,506.9</w:t>
            </w:r>
          </w:p>
        </w:tc>
        <w:tc>
          <w:tcPr>
            <w:tcW w:w="0" w:type="dxa"/>
            <w:vAlign w:val="bottom"/>
          </w:tcPr>
          <w:p>
            <w:pPr>
              <w:spacing w:after="0"/>
              <w:rPr>
                <w:sz w:val="1"/>
                <w:szCs w:val="1"/>
                <w:color w:val="auto"/>
              </w:rPr>
            </w:pPr>
          </w:p>
        </w:tc>
      </w:tr>
      <w:tr>
        <w:trPr>
          <w:trHeight w:val="203"/>
        </w:trPr>
        <w:tc>
          <w:tcPr>
            <w:tcW w:w="3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29.2</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29.3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29.2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29.2</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65.3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65.4</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65.3</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65.3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0.6</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0.7</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0.6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0.6</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59.7</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59.7</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16.7</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43.0</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59.7</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154.8</w:t>
            </w: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DBDBDB"/>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140.2</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156.4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140.2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140.2</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211.4</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225.0</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211.4</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211.4</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165.3</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177.2</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165.3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165.3</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56.7</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57.5</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56.7</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56.7</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b w:val="1"/>
                <w:bCs w:val="1"/>
                <w:color w:val="auto"/>
              </w:rPr>
              <w:t>150.3</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102.6</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6.3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144.0</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150.3</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485.5</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494.6</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485.5</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485.5</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4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863.8</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1,142.7</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3,215.9</w:t>
            </w: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DBDBDB"/>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DBDBDB"/>
            </w:tcBorders>
            <w:shd w:val="clear" w:color="auto" w:fill="DBDBDB"/>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6"/>
                <w:szCs w:val="16"/>
                <w:color w:val="auto"/>
              </w:rPr>
              <w:t>1,088.4</w:t>
            </w:r>
          </w:p>
        </w:tc>
        <w:tc>
          <w:tcPr>
            <w:tcW w:w="280" w:type="dxa"/>
            <w:vAlign w:val="bottom"/>
            <w:tcBorders>
              <w:bottom w:val="single" w:sz="8" w:color="DBDBDB"/>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shd w:val="clear" w:color="auto" w:fill="DBDBDB"/>
          </w:tcPr>
          <w:p>
            <w:pPr>
              <w:jc w:val="right"/>
              <w:ind w:right="100"/>
              <w:spacing w:after="0"/>
              <w:rPr>
                <w:sz w:val="20"/>
                <w:szCs w:val="20"/>
                <w:color w:val="auto"/>
              </w:rPr>
            </w:pPr>
            <w:r>
              <w:rPr>
                <w:rFonts w:ascii="Arial" w:cs="Arial" w:eastAsia="Arial" w:hAnsi="Arial"/>
                <w:sz w:val="16"/>
                <w:szCs w:val="16"/>
                <w:color w:val="auto"/>
              </w:rPr>
              <w:t>1,088.4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DBDBDB"/>
            </w:tcBorders>
            <w:shd w:val="clear" w:color="auto" w:fill="DBDBDB"/>
          </w:tcPr>
          <w:p>
            <w:pPr>
              <w:jc w:val="right"/>
              <w:ind w:right="22"/>
              <w:spacing w:after="0"/>
              <w:rPr>
                <w:sz w:val="20"/>
                <w:szCs w:val="20"/>
                <w:color w:val="auto"/>
              </w:rPr>
            </w:pPr>
            <w:r>
              <w:rPr>
                <w:rFonts w:ascii="Arial" w:cs="Arial" w:eastAsia="Arial" w:hAnsi="Arial"/>
                <w:sz w:val="16"/>
                <w:szCs w:val="16"/>
                <w:color w:val="auto"/>
              </w:rPr>
              <w:t>1,079.3</w:t>
            </w:r>
          </w:p>
        </w:tc>
        <w:tc>
          <w:tcPr>
            <w:tcW w:w="280" w:type="dxa"/>
            <w:vAlign w:val="bottom"/>
            <w:tcBorders>
              <w:bottom w:val="single" w:sz="8" w:color="DBDBDB"/>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shd w:val="clear" w:color="auto" w:fill="DBDBDB"/>
          </w:tcPr>
          <w:p>
            <w:pPr>
              <w:jc w:val="right"/>
              <w:ind w:right="22"/>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DBDBDB"/>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6"/>
                <w:szCs w:val="16"/>
                <w:color w:val="auto"/>
              </w:rPr>
              <w:t>1,088.4</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52.0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6"/>
                <w:szCs w:val="16"/>
                <w:color w:val="auto"/>
              </w:rPr>
              <w:t>25.0</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13.6</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109.1</w:t>
            </w: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140" w:type="dxa"/>
            <w:vAlign w:val="bottom"/>
            <w:tcBorders>
              <w:bottom w:val="single" w:sz="8" w:color="DBDBDB"/>
            </w:tcBorders>
          </w:tcPr>
          <w:p>
            <w:pPr>
              <w:spacing w:after="0"/>
              <w:rPr>
                <w:sz w:val="18"/>
                <w:szCs w:val="18"/>
                <w:color w:val="auto"/>
              </w:rPr>
            </w:pPr>
          </w:p>
        </w:tc>
        <w:tc>
          <w:tcPr>
            <w:tcW w:w="28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08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9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investments: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148.1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161.0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148.1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7"/>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214.3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226.6</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214.3</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157.3</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157.3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17"/>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53.5</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53.5</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328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4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197.4</w:t>
            </w:r>
          </w:p>
        </w:tc>
        <w:tc>
          <w:tcPr>
            <w:tcW w:w="28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8"/>
                <w:szCs w:val="18"/>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23.5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173.9</w:t>
            </w:r>
          </w:p>
        </w:tc>
        <w:tc>
          <w:tcPr>
            <w:tcW w:w="4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3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Marketable equity securities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711.3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493.2</w:t>
            </w: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711.3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w:t>
            </w:r>
          </w:p>
        </w:tc>
        <w:tc>
          <w:tcPr>
            <w:tcW w:w="240" w:type="dxa"/>
            <w:vAlign w:val="bottom"/>
          </w:tcPr>
          <w:p>
            <w:pPr>
              <w:spacing w:after="0"/>
              <w:rPr>
                <w:sz w:val="14"/>
                <w:szCs w:val="14"/>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6"/>
                <w:szCs w:val="16"/>
                <w:color w:val="auto"/>
              </w:rPr>
              <w:t>608.0</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BDBDB"/>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6"/>
                <w:szCs w:val="16"/>
                <w:color w:val="auto"/>
              </w:rPr>
              <w:t>962.3</w:t>
            </w: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6"/>
                <w:szCs w:val="16"/>
                <w:color w:val="auto"/>
              </w:rPr>
              <w:t>Noncurrent investments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3,052.2</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12" w:lineRule="exact"/>
        <w:rPr>
          <w:rFonts w:ascii="Arial" w:cs="Arial" w:eastAsia="Arial" w:hAnsi="Arial"/>
          <w:sz w:val="18"/>
          <w:szCs w:val="18"/>
          <w:color w:val="auto"/>
          <w:vertAlign w:val="superscript"/>
        </w:rPr>
      </w:pPr>
    </w:p>
    <w:p>
      <w:pPr>
        <w:ind w:left="180" w:right="880" w:hanging="172"/>
        <w:spacing w:after="0" w:line="222" w:lineRule="auto"/>
        <w:tabs>
          <w:tab w:leader="none" w:pos="172"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19" w:lineRule="auto"/>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8" w:name="page79"/>
    <w:bookmarkEnd w:id="78"/>
    <w:p>
      <w:pPr>
        <w:ind w:right="20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for our short-term and long-term debt: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3"/>
                <w:szCs w:val="13"/>
                <w:b w:val="1"/>
                <w:bCs w:val="1"/>
                <w:color w:val="auto"/>
                <w:w w:val="96"/>
              </w:rPr>
              <w:t>Fair Value Measurements Using</w:t>
            </w:r>
          </w:p>
        </w:tc>
        <w:tc>
          <w:tcPr>
            <w:tcW w:w="11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restart"/>
          </w:tcPr>
          <w:p>
            <w:pPr>
              <w:jc w:val="center"/>
              <w:ind w:right="384"/>
              <w:spacing w:after="0"/>
              <w:rPr>
                <w:sz w:val="20"/>
                <w:szCs w:val="20"/>
                <w:color w:val="auto"/>
              </w:rPr>
            </w:pPr>
            <w:r>
              <w:rPr>
                <w:rFonts w:ascii="Arial" w:cs="Arial" w:eastAsia="Arial" w:hAnsi="Arial"/>
                <w:sz w:val="13"/>
                <w:szCs w:val="13"/>
                <w:b w:val="1"/>
                <w:bCs w:val="1"/>
                <w:color w:val="auto"/>
                <w:w w:val="96"/>
              </w:rPr>
              <w:t>Quoted Prices in</w:t>
            </w:r>
          </w:p>
        </w:tc>
        <w:tc>
          <w:tcPr>
            <w:tcW w:w="1100" w:type="dxa"/>
            <w:vAlign w:val="bottom"/>
          </w:tcPr>
          <w:p>
            <w:pPr>
              <w:jc w:val="center"/>
              <w:ind w:right="165"/>
              <w:spacing w:after="0" w:line="119"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0"/>
                <w:szCs w:val="10"/>
                <w:color w:val="auto"/>
              </w:rPr>
            </w:pPr>
          </w:p>
        </w:tc>
        <w:tc>
          <w:tcPr>
            <w:tcW w:w="1520" w:type="dxa"/>
            <w:vAlign w:val="bottom"/>
            <w:gridSpan w:val="2"/>
            <w:vMerge w:val="restart"/>
          </w:tcPr>
          <w:p>
            <w:pPr>
              <w:jc w:val="center"/>
              <w:ind w:right="640"/>
              <w:spacing w:after="0"/>
              <w:rPr>
                <w:sz w:val="20"/>
                <w:szCs w:val="20"/>
                <w:color w:val="auto"/>
              </w:rPr>
            </w:pPr>
            <w:r>
              <w:rPr>
                <w:rFonts w:ascii="Arial" w:cs="Arial" w:eastAsia="Arial" w:hAnsi="Arial"/>
                <w:sz w:val="13"/>
                <w:szCs w:val="13"/>
                <w:b w:val="1"/>
                <w:bCs w:val="1"/>
                <w:color w:val="auto"/>
                <w:w w:val="96"/>
              </w:rPr>
              <w:t>Significant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100" w:type="dxa"/>
            <w:vAlign w:val="bottom"/>
          </w:tcPr>
          <w:p>
            <w:pPr>
              <w:jc w:val="center"/>
              <w:ind w:right="16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vMerge w:val="restart"/>
          </w:tcPr>
          <w:p>
            <w:pPr>
              <w:jc w:val="right"/>
              <w:ind w:right="419"/>
              <w:spacing w:after="0"/>
              <w:rPr>
                <w:sz w:val="20"/>
                <w:szCs w:val="20"/>
                <w:color w:val="auto"/>
              </w:rPr>
            </w:pPr>
            <w:r>
              <w:rPr>
                <w:rFonts w:ascii="Arial" w:cs="Arial" w:eastAsia="Arial" w:hAnsi="Arial"/>
                <w:sz w:val="13"/>
                <w:szCs w:val="13"/>
                <w:b w:val="1"/>
                <w:bCs w:val="1"/>
                <w:color w:val="auto"/>
              </w:rPr>
              <w:t>Carrying</w:t>
            </w:r>
          </w:p>
        </w:tc>
        <w:tc>
          <w:tcPr>
            <w:tcW w:w="1640" w:type="dxa"/>
            <w:vAlign w:val="bottom"/>
            <w:gridSpan w:val="2"/>
          </w:tcPr>
          <w:p>
            <w:pPr>
              <w:jc w:val="center"/>
              <w:ind w:right="264"/>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1100" w:type="dxa"/>
            <w:vAlign w:val="bottom"/>
          </w:tcPr>
          <w:p>
            <w:pPr>
              <w:jc w:val="center"/>
              <w:ind w:right="165"/>
              <w:spacing w:after="0" w:line="122"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0"/>
                <w:szCs w:val="10"/>
                <w:color w:val="auto"/>
              </w:rPr>
            </w:pPr>
          </w:p>
        </w:tc>
        <w:tc>
          <w:tcPr>
            <w:tcW w:w="1520" w:type="dxa"/>
            <w:vAlign w:val="bottom"/>
            <w:gridSpan w:val="2"/>
          </w:tcPr>
          <w:p>
            <w:pPr>
              <w:jc w:val="center"/>
              <w:ind w:right="62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100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38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100" w:type="dxa"/>
            <w:vAlign w:val="bottom"/>
          </w:tcPr>
          <w:p>
            <w:pPr>
              <w:jc w:val="center"/>
              <w:ind w:right="16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52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7"/>
              </w:rPr>
              <w:t>Inputs</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404"/>
              <w:spacing w:after="0"/>
              <w:rPr>
                <w:sz w:val="20"/>
                <w:szCs w:val="20"/>
                <w:color w:val="auto"/>
              </w:rPr>
            </w:pPr>
            <w:r>
              <w:rPr>
                <w:rFonts w:ascii="Arial" w:cs="Arial" w:eastAsia="Arial" w:hAnsi="Arial"/>
                <w:sz w:val="13"/>
                <w:szCs w:val="13"/>
                <w:b w:val="1"/>
                <w:bCs w:val="1"/>
                <w:color w:val="auto"/>
                <w:w w:val="94"/>
              </w:rPr>
              <w:t>(Level 1)</w:t>
            </w: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3"/>
                <w:szCs w:val="13"/>
                <w:b w:val="1"/>
                <w:bCs w:val="1"/>
                <w:color w:val="auto"/>
                <w:w w:val="94"/>
              </w:rPr>
              <w:t>(Level 3)</w:t>
            </w: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3740" w:type="dxa"/>
            <w:vAlign w:val="bottom"/>
            <w:shd w:val="clear" w:color="auto" w:fill="DBDBDB"/>
          </w:tcPr>
          <w:p>
            <w:pPr>
              <w:spacing w:after="0"/>
              <w:rPr>
                <w:sz w:val="20"/>
                <w:szCs w:val="20"/>
                <w:color w:val="auto"/>
              </w:rPr>
            </w:pPr>
            <w:r>
              <w:rPr>
                <w:rFonts w:ascii="Arial" w:cs="Arial" w:eastAsia="Arial" w:hAnsi="Arial"/>
                <w:sz w:val="18"/>
                <w:szCs w:val="18"/>
                <w:color w:val="auto"/>
              </w:rPr>
              <w:t>Short-term commercial paper borrowings</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2024</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99"/>
              <w:spacing w:after="0"/>
              <w:rPr>
                <w:sz w:val="20"/>
                <w:szCs w:val="20"/>
                <w:color w:val="auto"/>
              </w:rPr>
            </w:pPr>
            <w:r>
              <w:rPr>
                <w:rFonts w:ascii="Arial" w:cs="Arial" w:eastAsia="Arial" w:hAnsi="Arial"/>
                <w:sz w:val="18"/>
                <w:szCs w:val="18"/>
                <w:b w:val="1"/>
                <w:bCs w:val="1"/>
                <w:color w:val="auto"/>
              </w:rPr>
              <w:t>4,337.6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ind w:left="920"/>
              <w:spacing w:after="0"/>
              <w:rPr>
                <w:sz w:val="20"/>
                <w:szCs w:val="20"/>
                <w:color w:val="auto"/>
              </w:rPr>
            </w:pPr>
            <w:r>
              <w:rPr>
                <w:rFonts w:ascii="Arial" w:cs="Arial" w:eastAsia="Arial" w:hAnsi="Arial"/>
                <w:sz w:val="18"/>
                <w:szCs w:val="18"/>
                <w:b w:val="1"/>
                <w:bCs w:val="1"/>
                <w:color w:val="auto"/>
              </w:rPr>
              <w:t>—  $</w:t>
            </w:r>
          </w:p>
        </w:tc>
        <w:tc>
          <w:tcPr>
            <w:tcW w:w="1100" w:type="dxa"/>
            <w:vAlign w:val="bottom"/>
          </w:tcPr>
          <w:p>
            <w:pPr>
              <w:jc w:val="right"/>
              <w:ind w:right="25"/>
              <w:spacing w:after="0"/>
              <w:rPr>
                <w:sz w:val="20"/>
                <w:szCs w:val="20"/>
                <w:color w:val="auto"/>
              </w:rPr>
            </w:pPr>
            <w:r>
              <w:rPr>
                <w:rFonts w:ascii="Arial" w:cs="Arial" w:eastAsia="Arial" w:hAnsi="Arial"/>
                <w:sz w:val="18"/>
                <w:szCs w:val="18"/>
                <w:b w:val="1"/>
                <w:bCs w:val="1"/>
                <w:color w:val="auto"/>
              </w:rPr>
              <w:t>4,319.4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4,319.4</w:t>
            </w:r>
          </w:p>
        </w:tc>
        <w:tc>
          <w:tcPr>
            <w:tcW w:w="0" w:type="dxa"/>
            <w:vAlign w:val="bottom"/>
          </w:tcPr>
          <w:p>
            <w:pPr>
              <w:spacing w:after="0"/>
              <w:rPr>
                <w:sz w:val="1"/>
                <w:szCs w:val="1"/>
                <w:color w:val="auto"/>
              </w:rPr>
            </w:pPr>
          </w:p>
        </w:tc>
      </w:tr>
      <w:tr>
        <w:trPr>
          <w:trHeight w:val="230"/>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2023</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9"/>
              <w:spacing w:after="0"/>
              <w:rPr>
                <w:sz w:val="20"/>
                <w:szCs w:val="20"/>
                <w:color w:val="auto"/>
              </w:rPr>
            </w:pPr>
            <w:r>
              <w:rPr>
                <w:rFonts w:ascii="Arial" w:cs="Arial" w:eastAsia="Arial" w:hAnsi="Arial"/>
                <w:sz w:val="18"/>
                <w:szCs w:val="18"/>
                <w:color w:val="auto"/>
              </w:rPr>
              <w:t>6,189.4</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ind w:left="9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25"/>
              <w:spacing w:after="0"/>
              <w:rPr>
                <w:sz w:val="20"/>
                <w:szCs w:val="20"/>
                <w:color w:val="auto"/>
              </w:rPr>
            </w:pPr>
            <w:r>
              <w:rPr>
                <w:rFonts w:ascii="Arial" w:cs="Arial" w:eastAsia="Arial" w:hAnsi="Arial"/>
                <w:sz w:val="18"/>
                <w:szCs w:val="18"/>
                <w:color w:val="auto"/>
              </w:rPr>
              <w:t>6,166.4</w:t>
            </w:r>
          </w:p>
        </w:tc>
        <w:tc>
          <w:tcPr>
            <w:tcW w:w="300" w:type="dxa"/>
            <w:vAlign w:val="bottom"/>
            <w:shd w:val="clear" w:color="auto" w:fill="DBDBDB"/>
          </w:tcPr>
          <w:p>
            <w:pPr>
              <w:spacing w:after="0"/>
              <w:rPr>
                <w:sz w:val="19"/>
                <w:szCs w:val="19"/>
                <w:color w:val="auto"/>
              </w:rPr>
            </w:pPr>
          </w:p>
        </w:tc>
        <w:tc>
          <w:tcPr>
            <w:tcW w:w="152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DBDBDB"/>
          </w:tcPr>
          <w:p>
            <w:pPr>
              <w:ind w:left="160"/>
              <w:spacing w:after="0"/>
              <w:rPr>
                <w:sz w:val="20"/>
                <w:szCs w:val="20"/>
                <w:color w:val="auto"/>
              </w:rPr>
            </w:pPr>
            <w:r>
              <w:rPr>
                <w:rFonts w:ascii="Arial" w:cs="Arial" w:eastAsia="Arial" w:hAnsi="Arial"/>
                <w:sz w:val="18"/>
                <w:szCs w:val="18"/>
                <w:color w:val="auto"/>
              </w:rPr>
              <w:t>December 31, 2024</w:t>
            </w:r>
          </w:p>
        </w:tc>
        <w:tc>
          <w:tcPr>
            <w:tcW w:w="72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9"/>
              <w:spacing w:after="0"/>
              <w:rPr>
                <w:sz w:val="20"/>
                <w:szCs w:val="20"/>
                <w:color w:val="auto"/>
              </w:rPr>
            </w:pPr>
            <w:r>
              <w:rPr>
                <w:rFonts w:ascii="Arial" w:cs="Arial" w:eastAsia="Arial" w:hAnsi="Arial"/>
                <w:sz w:val="18"/>
                <w:szCs w:val="18"/>
                <w:b w:val="1"/>
                <w:bCs w:val="1"/>
                <w:color w:val="auto"/>
              </w:rPr>
              <w:t>29,306.7</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ind w:left="9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25"/>
              <w:spacing w:after="0"/>
              <w:rPr>
                <w:sz w:val="20"/>
                <w:szCs w:val="20"/>
                <w:color w:val="auto"/>
              </w:rPr>
            </w:pPr>
            <w:r>
              <w:rPr>
                <w:rFonts w:ascii="Arial" w:cs="Arial" w:eastAsia="Arial" w:hAnsi="Arial"/>
                <w:sz w:val="18"/>
                <w:szCs w:val="18"/>
                <w:b w:val="1"/>
                <w:bCs w:val="1"/>
                <w:color w:val="auto"/>
              </w:rPr>
              <w:t>26,249.0</w:t>
            </w:r>
          </w:p>
        </w:tc>
        <w:tc>
          <w:tcPr>
            <w:tcW w:w="300" w:type="dxa"/>
            <w:vAlign w:val="bottom"/>
            <w:shd w:val="clear" w:color="auto" w:fill="DBDBDB"/>
          </w:tcPr>
          <w:p>
            <w:pPr>
              <w:spacing w:after="0"/>
              <w:rPr>
                <w:sz w:val="19"/>
                <w:szCs w:val="19"/>
                <w:color w:val="auto"/>
              </w:rPr>
            </w:pPr>
          </w:p>
        </w:tc>
        <w:tc>
          <w:tcPr>
            <w:tcW w:w="152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26,249.0</w:t>
            </w:r>
          </w:p>
        </w:tc>
        <w:tc>
          <w:tcPr>
            <w:tcW w:w="0" w:type="dxa"/>
            <w:vAlign w:val="bottom"/>
          </w:tcPr>
          <w:p>
            <w:pPr>
              <w:spacing w:after="0"/>
              <w:rPr>
                <w:sz w:val="1"/>
                <w:szCs w:val="1"/>
                <w:color w:val="auto"/>
              </w:rPr>
            </w:pPr>
          </w:p>
        </w:tc>
      </w:tr>
      <w:tr>
        <w:trPr>
          <w:trHeight w:val="239"/>
        </w:trPr>
        <w:tc>
          <w:tcPr>
            <w:tcW w:w="3740" w:type="dxa"/>
            <w:vAlign w:val="bottom"/>
          </w:tcPr>
          <w:p>
            <w:pPr>
              <w:ind w:left="160"/>
              <w:spacing w:after="0"/>
              <w:rPr>
                <w:sz w:val="20"/>
                <w:szCs w:val="20"/>
                <w:color w:val="auto"/>
              </w:rPr>
            </w:pPr>
            <w:r>
              <w:rPr>
                <w:rFonts w:ascii="Arial" w:cs="Arial" w:eastAsia="Arial" w:hAnsi="Arial"/>
                <w:sz w:val="18"/>
                <w:szCs w:val="18"/>
                <w:color w:val="auto"/>
              </w:rPr>
              <w:t>December 31, 2023</w:t>
            </w:r>
          </w:p>
        </w:tc>
        <w:tc>
          <w:tcPr>
            <w:tcW w:w="72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19,035.9</w:t>
            </w:r>
          </w:p>
        </w:tc>
        <w:tc>
          <w:tcPr>
            <w:tcW w:w="140" w:type="dxa"/>
            <w:vAlign w:val="bottom"/>
          </w:tcPr>
          <w:p>
            <w:pPr>
              <w:spacing w:after="0"/>
              <w:rPr>
                <w:sz w:val="20"/>
                <w:szCs w:val="20"/>
                <w:color w:val="auto"/>
              </w:rPr>
            </w:pPr>
          </w:p>
        </w:tc>
        <w:tc>
          <w:tcPr>
            <w:tcW w:w="1500" w:type="dxa"/>
            <w:vAlign w:val="bottom"/>
          </w:tcPr>
          <w:p>
            <w:pPr>
              <w:ind w:left="9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
              <w:spacing w:after="0"/>
              <w:rPr>
                <w:sz w:val="20"/>
                <w:szCs w:val="20"/>
                <w:color w:val="auto"/>
              </w:rPr>
            </w:pPr>
            <w:r>
              <w:rPr>
                <w:rFonts w:ascii="Arial" w:cs="Arial" w:eastAsia="Arial" w:hAnsi="Arial"/>
                <w:sz w:val="18"/>
                <w:szCs w:val="18"/>
                <w:color w:val="auto"/>
              </w:rPr>
              <w:t>17,221.7</w:t>
            </w:r>
          </w:p>
        </w:tc>
        <w:tc>
          <w:tcPr>
            <w:tcW w:w="300" w:type="dxa"/>
            <w:vAlign w:val="bottom"/>
          </w:tcPr>
          <w:p>
            <w:pPr>
              <w:spacing w:after="0"/>
              <w:rPr>
                <w:sz w:val="20"/>
                <w:szCs w:val="20"/>
                <w:color w:val="auto"/>
              </w:rPr>
            </w:pPr>
          </w:p>
        </w:tc>
        <w:tc>
          <w:tcPr>
            <w:tcW w:w="15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17,221.7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our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$421.6 million and $431.9 million of accounts receivable as of December 31, 2024 and 2023, respectively, under these factoring arrangements. The costs of factoring such accounts receivable as well as estimated credit losses were not material for the years ended December 31, 2024, 2023, and 2022.</w:t>
      </w:r>
    </w:p>
    <w:p>
      <w:pPr>
        <w:spacing w:after="0" w:line="71"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9" w:name="page80"/>
    <w:bookmarkEnd w:id="79"/>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17)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17).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risk is managed through the use of foreign currency debt, cross-currency interest rate swaps, and foreign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currency forward contracts. Our foreign currency-denominated notes had carrying amounts of $6.03 billion and $7.14 billion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 respectively, of which $5.34 billion and $5.67 billion have been designated as, and are effective as, hedges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certain of our foreign operations as of December 31, 2024 and 2023, respectively. At December 31, 2024, we had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outstanding cross-currency interest rate swaps with notional amounts of $218.0 million swapping U.S. dollars to euro and 402.0 million Swiss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francs swapping to U.S. dollars, with settlement dates ranging through 2028. Our cross-currency interest rate swaps have been designated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and are effective as, net investment and cash flow hedges, respectively. At December 31, 2024, we had outstanding foreign currency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contracts to sell 7.59 billion euro and to sell 4.20 billion Chinese yuan, with settlement dates ranging through 2025, which have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designated as, and are effective as, hedges of net investments.</w:t>
      </w:r>
    </w:p>
    <w:p>
      <w:pPr>
        <w:spacing w:after="0" w:line="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enter into foreign currency forward or option contracts as economic hedges to manage exposures arising from subsidiary trade and loan payables and receivables denominated in foreign currencies (primarily the euro and Japanese yen). Foreign currency derivatives used for hedging are put in place using the same or like currencies and duration as the underlying exposures. These contracts are recorded at fair value with the gain or loss recognized in other–net, (income) expense. Forward contracts generally have maturities not exceeding 12 months. At December 31, 2024, our significant outstanding foreign currency forward commitments were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5" w:lineRule="exact"/>
        <w:rPr>
          <w:sz w:val="20"/>
          <w:szCs w:val="20"/>
          <w:color w:val="auto"/>
        </w:rPr>
      </w:pPr>
    </w:p>
    <w:p>
      <w:pPr>
        <w:ind w:left="3620"/>
        <w:spacing w:after="0"/>
        <w:tabs>
          <w:tab w:leader="none" w:pos="7160" w:val="left"/>
        </w:tabs>
        <w:rPr>
          <w:sz w:val="20"/>
          <w:szCs w:val="20"/>
          <w:color w:val="auto"/>
        </w:rPr>
      </w:pPr>
      <w:r>
        <w:rPr>
          <w:rFonts w:ascii="Arial" w:cs="Arial" w:eastAsia="Arial" w:hAnsi="Arial"/>
          <w:sz w:val="14"/>
          <w:szCs w:val="14"/>
          <w:b w:val="1"/>
          <w:bCs w:val="1"/>
          <w:color w:val="auto"/>
        </w:rPr>
        <w:t>Purchase</w:t>
      </w:r>
      <w:r>
        <w:rPr>
          <w:sz w:val="20"/>
          <w:szCs w:val="20"/>
          <w:color w:val="auto"/>
        </w:rPr>
        <w:tab/>
      </w:r>
      <w:r>
        <w:rPr>
          <w:rFonts w:ascii="Arial" w:cs="Arial" w:eastAsia="Arial" w:hAnsi="Arial"/>
          <w:sz w:val="14"/>
          <w:szCs w:val="14"/>
          <w:b w:val="1"/>
          <w:bCs w:val="1"/>
          <w:color w:val="auto"/>
        </w:rPr>
        <w:t>Sell</w:t>
      </w:r>
    </w:p>
    <w:p>
      <w:pPr>
        <w:sectPr>
          <w:pgSz w:w="11900" w:h="16838" w:orient="portrait"/>
          <w:cols w:equalWidth="0" w:num="1">
            <w:col w:w="11220"/>
          </w:cols>
          <w:pgMar w:left="320" w:top="1039" w:right="359" w:bottom="1440" w:gutter="0" w:footer="0" w:header="0"/>
        </w:sectPr>
      </w:pPr>
    </w:p>
    <w:p>
      <w:pPr>
        <w:spacing w:after="0" w:line="35" w:lineRule="exact"/>
        <w:rPr>
          <w:sz w:val="20"/>
          <w:szCs w:val="20"/>
          <w:color w:val="auto"/>
        </w:rPr>
      </w:pPr>
    </w:p>
    <w:tbl>
      <w:tblPr>
        <w:tblLayout w:type="fixed"/>
        <w:tblInd w:w="2340" w:type="dxa"/>
        <w:tblCellMar>
          <w:top w:w="0" w:type="dxa"/>
          <w:left w:w="0" w:type="dxa"/>
          <w:bottom w:w="0" w:type="dxa"/>
          <w:right w:w="0" w:type="dxa"/>
        </w:tblCellMar>
      </w:tblPr>
      <w:tr>
        <w:trPr>
          <w:trHeight w:val="148"/>
        </w:trPr>
        <w:tc>
          <w:tcPr>
            <w:tcW w:w="15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1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5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Currency</w:t>
            </w:r>
          </w:p>
        </w:tc>
        <w:tc>
          <w:tcPr>
            <w:tcW w:w="1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560" w:type="dxa"/>
            <w:vAlign w:val="bottom"/>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40" w:space="160"/>
            <w:col w:w="5520"/>
          </w:cols>
          <w:pgMar w:left="320" w:top="1039" w:right="359" w:bottom="1440" w:gutter="0" w:footer="0" w:header="0"/>
          <w:type w:val="continuous"/>
        </w:sectPr>
      </w:pPr>
    </w:p>
    <w:tbl>
      <w:tblPr>
        <w:tblLayout w:type="fixed"/>
        <w:tblInd w:w="2340" w:type="dxa"/>
        <w:tblCellMar>
          <w:top w:w="0" w:type="dxa"/>
          <w:left w:w="0" w:type="dxa"/>
          <w:bottom w:w="0" w:type="dxa"/>
          <w:right w:w="0" w:type="dxa"/>
        </w:tblCellMar>
      </w:tblPr>
      <w:tr>
        <w:trPr>
          <w:trHeight w:val="223"/>
        </w:trPr>
        <w:tc>
          <w:tcPr>
            <w:tcW w:w="18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Euro</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7,522.1</w:t>
            </w:r>
          </w:p>
        </w:tc>
        <w:tc>
          <w:tcPr>
            <w:tcW w:w="160" w:type="dxa"/>
            <w:vAlign w:val="bottom"/>
            <w:tcBorders>
              <w:top w:val="single" w:sz="8" w:color="DBDBDB"/>
            </w:tcBorders>
            <w:shd w:val="clear" w:color="auto" w:fill="DBDBDB"/>
          </w:tcPr>
          <w:p>
            <w:pPr>
              <w:spacing w:after="0"/>
              <w:rPr>
                <w:sz w:val="19"/>
                <w:szCs w:val="19"/>
                <w:color w:val="auto"/>
              </w:rPr>
            </w:pPr>
          </w:p>
        </w:tc>
        <w:tc>
          <w:tcPr>
            <w:tcW w:w="180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U.S. dollars</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7,905.8</w:t>
            </w: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380" w:type="dxa"/>
            <w:vAlign w:val="bottom"/>
          </w:tcPr>
          <w:p>
            <w:pPr>
              <w:jc w:val="right"/>
              <w:spacing w:after="0"/>
              <w:rPr>
                <w:sz w:val="20"/>
                <w:szCs w:val="20"/>
                <w:color w:val="auto"/>
              </w:rPr>
            </w:pPr>
            <w:r>
              <w:rPr>
                <w:rFonts w:ascii="Arial" w:cs="Arial" w:eastAsia="Arial" w:hAnsi="Arial"/>
                <w:sz w:val="18"/>
                <w:szCs w:val="18"/>
                <w:color w:val="auto"/>
              </w:rPr>
              <w:t>7,095.3</w:t>
            </w:r>
          </w:p>
        </w:tc>
        <w:tc>
          <w:tcPr>
            <w:tcW w:w="16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Euro</w:t>
            </w:r>
          </w:p>
        </w:tc>
        <w:tc>
          <w:tcPr>
            <w:tcW w:w="1400" w:type="dxa"/>
            <w:vAlign w:val="bottom"/>
          </w:tcPr>
          <w:p>
            <w:pPr>
              <w:jc w:val="right"/>
              <w:spacing w:after="0"/>
              <w:rPr>
                <w:sz w:val="20"/>
                <w:szCs w:val="20"/>
                <w:color w:val="auto"/>
              </w:rPr>
            </w:pPr>
            <w:r>
              <w:rPr>
                <w:rFonts w:ascii="Arial" w:cs="Arial" w:eastAsia="Arial" w:hAnsi="Arial"/>
                <w:sz w:val="18"/>
                <w:szCs w:val="18"/>
                <w:color w:val="auto"/>
              </w:rPr>
              <w:t>6,803.9</w:t>
            </w: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dollars</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468.3</w:t>
            </w:r>
          </w:p>
        </w:tc>
        <w:tc>
          <w:tcPr>
            <w:tcW w:w="160" w:type="dxa"/>
            <w:vAlign w:val="bottom"/>
            <w:shd w:val="clear" w:color="auto" w:fill="DBDBDB"/>
          </w:tcPr>
          <w:p>
            <w:pPr>
              <w:spacing w:after="0"/>
              <w:rPr>
                <w:sz w:val="19"/>
                <w:szCs w:val="19"/>
                <w:color w:val="auto"/>
              </w:rPr>
            </w:pPr>
          </w:p>
        </w:tc>
        <w:tc>
          <w:tcPr>
            <w:tcW w:w="1800" w:type="dxa"/>
            <w:vAlign w:val="bottom"/>
            <w:shd w:val="clear" w:color="auto" w:fill="DBDBDB"/>
          </w:tcPr>
          <w:p>
            <w:pPr>
              <w:spacing w:after="0"/>
              <w:rPr>
                <w:sz w:val="20"/>
                <w:szCs w:val="20"/>
                <w:color w:val="auto"/>
              </w:rPr>
            </w:pPr>
            <w:r>
              <w:rPr>
                <w:rFonts w:ascii="Arial" w:cs="Arial" w:eastAsia="Arial" w:hAnsi="Arial"/>
                <w:sz w:val="18"/>
                <w:szCs w:val="18"/>
                <w:color w:val="auto"/>
              </w:rPr>
              <w:t>Japanese yen</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72,355.7</w:t>
            </w:r>
          </w:p>
        </w:tc>
      </w:tr>
      <w:tr>
        <w:trPr>
          <w:trHeight w:val="239"/>
        </w:trPr>
        <w:tc>
          <w:tcPr>
            <w:tcW w:w="18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1380" w:type="dxa"/>
            <w:vAlign w:val="bottom"/>
          </w:tcPr>
          <w:p>
            <w:pPr>
              <w:jc w:val="right"/>
              <w:spacing w:after="0"/>
              <w:rPr>
                <w:sz w:val="20"/>
                <w:szCs w:val="20"/>
                <w:color w:val="auto"/>
              </w:rPr>
            </w:pPr>
            <w:r>
              <w:rPr>
                <w:rFonts w:ascii="Arial" w:cs="Arial" w:eastAsia="Arial" w:hAnsi="Arial"/>
                <w:sz w:val="18"/>
                <w:szCs w:val="18"/>
                <w:color w:val="auto"/>
              </w:rPr>
              <w:t>49,713.2</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U.S. dollars</w:t>
            </w:r>
          </w:p>
        </w:tc>
        <w:tc>
          <w:tcPr>
            <w:tcW w:w="1400" w:type="dxa"/>
            <w:vAlign w:val="bottom"/>
          </w:tcPr>
          <w:p>
            <w:pPr>
              <w:jc w:val="right"/>
              <w:spacing w:after="0"/>
              <w:rPr>
                <w:sz w:val="20"/>
                <w:szCs w:val="20"/>
                <w:color w:val="auto"/>
              </w:rPr>
            </w:pPr>
            <w:r>
              <w:rPr>
                <w:rFonts w:ascii="Arial" w:cs="Arial" w:eastAsia="Arial" w:hAnsi="Arial"/>
                <w:sz w:val="18"/>
                <w:szCs w:val="18"/>
                <w:color w:val="auto"/>
              </w:rPr>
              <w:t>316.1</w:t>
            </w:r>
          </w:p>
        </w:tc>
      </w:tr>
    </w:tbl>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2024, all of our total long-term debt is at a fixed rate. We have converted approximately 5 percent of our long-term fixed-rate notes to floating rates through the use of interest rate swaps.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80" w:name="page81"/>
    <w:bookmarkEnd w:id="80"/>
    <w:p>
      <w:pPr>
        <w:ind w:right="120"/>
        <w:spacing w:after="0" w:line="259" w:lineRule="auto"/>
        <w:rPr>
          <w:sz w:val="20"/>
          <w:szCs w:val="20"/>
          <w:color w:val="auto"/>
        </w:rPr>
      </w:pPr>
      <w:r>
        <w:rPr>
          <w:rFonts w:ascii="Arial" w:cs="Arial" w:eastAsia="Arial" w:hAnsi="Arial"/>
          <w:sz w:val="18"/>
          <w:szCs w:val="18"/>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17) and, upon completion of a debt issuance and termination of the instrument, is amortized to interest expense over the life of the underlying debt. Cash proceeds or payments from the termination of these instruments are classified as operating activities in our consolidated statements of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 Management Instruments on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hedges:</w:t>
            </w:r>
          </w:p>
        </w:tc>
        <w:tc>
          <w:tcPr>
            <w:tcW w:w="86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0"/>
        </w:trPr>
        <w:tc>
          <w:tcPr>
            <w:tcW w:w="68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Effect from interest rate contracts</w:t>
            </w:r>
          </w:p>
        </w:tc>
        <w:tc>
          <w:tcPr>
            <w:tcW w:w="86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16.3</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860" w:type="dxa"/>
            <w:vAlign w:val="bottom"/>
            <w:shd w:val="clear" w:color="auto" w:fill="DBDBDB"/>
          </w:tcPr>
          <w:p>
            <w:pPr>
              <w:spacing w:after="0"/>
              <w:rPr>
                <w:sz w:val="15"/>
                <w:szCs w:val="15"/>
                <w:color w:val="auto"/>
              </w:rPr>
            </w:pPr>
          </w:p>
        </w:tc>
        <w:tc>
          <w:tcPr>
            <w:tcW w:w="58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rPr>
              <w:t>7.2</w:t>
            </w:r>
          </w:p>
        </w:tc>
        <w:tc>
          <w:tcPr>
            <w:tcW w:w="40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3"/>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DBDBDB"/>
          </w:tcPr>
          <w:p>
            <w:pPr>
              <w:spacing w:after="0"/>
              <w:rPr>
                <w:sz w:val="15"/>
                <w:szCs w:val="15"/>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8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DBDBDB"/>
          </w:tcPr>
          <w:p>
            <w:pPr>
              <w:spacing w:after="0"/>
              <w:rPr>
                <w:sz w:val="21"/>
                <w:szCs w:val="21"/>
                <w:color w:val="auto"/>
              </w:rPr>
            </w:pPr>
          </w:p>
        </w:tc>
        <w:tc>
          <w:tcPr>
            <w:tcW w:w="580" w:type="dxa"/>
            <w:vAlign w:val="bottom"/>
            <w:vMerge w:val="continue"/>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120" w:type="dxa"/>
            <w:vAlign w:val="bottom"/>
            <w:vMerge w:val="continue"/>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08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8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93.0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75"/>
        </w:trPr>
        <w:tc>
          <w:tcPr>
            <w:tcW w:w="68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Net losses on foreign currency exchange contracts not designated as hedging</w:t>
            </w:r>
          </w:p>
        </w:tc>
        <w:tc>
          <w:tcPr>
            <w:tcW w:w="860" w:type="dxa"/>
            <w:vAlign w:val="bottom"/>
            <w:shd w:val="clear" w:color="auto" w:fill="DBDBDB"/>
          </w:tcPr>
          <w:p>
            <w:pPr>
              <w:spacing w:after="0"/>
              <w:rPr>
                <w:sz w:val="15"/>
                <w:szCs w:val="15"/>
                <w:color w:val="auto"/>
              </w:rPr>
            </w:pPr>
          </w:p>
        </w:tc>
        <w:tc>
          <w:tcPr>
            <w:tcW w:w="58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7"/>
              </w:rPr>
              <w:t>288.3</w:t>
            </w:r>
          </w:p>
        </w:tc>
        <w:tc>
          <w:tcPr>
            <w:tcW w:w="400" w:type="dxa"/>
            <w:vAlign w:val="bottom"/>
            <w:shd w:val="clear" w:color="auto" w:fill="DBDBDB"/>
          </w:tcPr>
          <w:p>
            <w:pPr>
              <w:spacing w:after="0"/>
              <w:rPr>
                <w:sz w:val="15"/>
                <w:szCs w:val="15"/>
                <w:color w:val="auto"/>
              </w:rPr>
            </w:pPr>
          </w:p>
        </w:tc>
        <w:tc>
          <w:tcPr>
            <w:tcW w:w="1120" w:type="dxa"/>
            <w:vAlign w:val="bottom"/>
            <w:vMerge w:val="restart"/>
            <w:shd w:val="clear" w:color="auto" w:fill="DBDBDB"/>
          </w:tcPr>
          <w:p>
            <w:pPr>
              <w:jc w:val="right"/>
              <w:ind w:right="33"/>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DBDBDB"/>
          </w:tcPr>
          <w:p>
            <w:pPr>
              <w:spacing w:after="0"/>
              <w:rPr>
                <w:sz w:val="15"/>
                <w:szCs w:val="15"/>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instruments</w:t>
            </w:r>
          </w:p>
        </w:tc>
        <w:tc>
          <w:tcPr>
            <w:tcW w:w="860" w:type="dxa"/>
            <w:vAlign w:val="bottom"/>
            <w:tcBorders>
              <w:bottom w:val="single" w:sz="8" w:color="auto"/>
            </w:tcBorders>
            <w:shd w:val="clear" w:color="auto" w:fill="DBDBDB"/>
          </w:tcPr>
          <w:p>
            <w:pPr>
              <w:spacing w:after="0"/>
              <w:rPr>
                <w:sz w:val="21"/>
                <w:szCs w:val="21"/>
                <w:color w:val="auto"/>
              </w:rPr>
            </w:pPr>
          </w:p>
        </w:tc>
        <w:tc>
          <w:tcPr>
            <w:tcW w:w="580" w:type="dxa"/>
            <w:vAlign w:val="bottom"/>
            <w:tcBorders>
              <w:bottom w:val="single" w:sz="8" w:color="auto"/>
            </w:tcBorders>
            <w:vMerge w:val="continue"/>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vMerge w:val="continue"/>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388.5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During the years ended December 31, 2024, 2023, and 2022,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4"/>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investment hedges:</w:t>
            </w:r>
          </w:p>
        </w:tc>
        <w:tc>
          <w:tcPr>
            <w:tcW w:w="27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2700" w:type="dxa"/>
            <w:vAlign w:val="bottom"/>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337.9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70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16.4</w:t>
            </w:r>
          </w:p>
        </w:tc>
        <w:tc>
          <w:tcPr>
            <w:tcW w:w="4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343.1</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hedges:</w:t>
            </w:r>
          </w:p>
        </w:tc>
        <w:tc>
          <w:tcPr>
            <w:tcW w:w="27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7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53.8</w:t>
            </w:r>
          </w:p>
        </w:tc>
        <w:tc>
          <w:tcPr>
            <w:tcW w:w="4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85.6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4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Cross-currency interest rate swaps</w:t>
            </w:r>
          </w:p>
        </w:tc>
        <w:tc>
          <w:tcPr>
            <w:tcW w:w="270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24.9</w:t>
            </w:r>
          </w:p>
        </w:tc>
        <w:tc>
          <w:tcPr>
            <w:tcW w:w="4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w:t>
            </w:r>
          </w:p>
        </w:tc>
      </w:tr>
    </w:tbl>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years ended December 31, 2024, 2023, and 2022, the amounts excluded from the assessment of hedge effectiveness recognized in other comprehensive income (loss) were not material. As of December 31, 2024, the amount of pre-tax gains or losses on cash flow hedges expected to be reclassified from accumulated other comprehensive income (loss) to other–net, (income) expense over the next 12 months is not 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certain fair value information at December 31, 2024 and 2023 for risk-management assets and liabilities measured at fair value on a recurring basis: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19"/>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08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9"/>
              </w:rPr>
              <w:t>Significant</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375"/>
              <w:spacing w:after="0"/>
              <w:rPr>
                <w:sz w:val="20"/>
                <w:szCs w:val="20"/>
                <w:color w:val="auto"/>
              </w:rPr>
            </w:pPr>
            <w:r>
              <w:rPr>
                <w:rFonts w:ascii="Arial" w:cs="Arial" w:eastAsia="Arial" w:hAnsi="Arial"/>
                <w:sz w:val="13"/>
                <w:szCs w:val="13"/>
                <w:b w:val="1"/>
                <w:bCs w:val="1"/>
                <w:color w:val="auto"/>
              </w:rPr>
              <w:t>Carrying</w:t>
            </w: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080" w:type="dxa"/>
            <w:vAlign w:val="bottom"/>
          </w:tcPr>
          <w:p>
            <w:pPr>
              <w:jc w:val="center"/>
              <w:ind w:right="160"/>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1"/>
                <w:szCs w:val="11"/>
                <w:color w:val="auto"/>
              </w:rPr>
            </w:pPr>
          </w:p>
        </w:tc>
        <w:tc>
          <w:tcPr>
            <w:tcW w:w="10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4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Inputs</w:t>
            </w: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395"/>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Pr>
          <w:p>
            <w:pPr>
              <w:spacing w:after="0"/>
              <w:rPr>
                <w:sz w:val="15"/>
                <w:szCs w:val="15"/>
                <w:color w:val="auto"/>
              </w:rPr>
            </w:pPr>
          </w:p>
        </w:tc>
        <w:tc>
          <w:tcPr>
            <w:tcW w:w="1080" w:type="dxa"/>
            <w:vAlign w:val="bottom"/>
          </w:tcPr>
          <w:p>
            <w:pPr>
              <w:jc w:val="center"/>
              <w:ind w:right="1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(Level 3)</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2024</w:t>
            </w:r>
          </w:p>
        </w:tc>
        <w:tc>
          <w:tcPr>
            <w:tcW w:w="34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b w:val="1"/>
                <w:bCs w:val="1"/>
                <w:color w:val="auto"/>
              </w:rPr>
              <w:t>(117.8)</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(117.8)</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5"/>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5"/>
              <w:spacing w:after="0"/>
              <w:rPr>
                <w:sz w:val="20"/>
                <w:szCs w:val="20"/>
                <w:color w:val="auto"/>
              </w:rPr>
            </w:pPr>
            <w:r>
              <w:rPr>
                <w:rFonts w:ascii="Arial" w:cs="Arial" w:eastAsia="Arial" w:hAnsi="Arial"/>
                <w:sz w:val="18"/>
                <w:szCs w:val="18"/>
                <w:b w:val="1"/>
                <w:bCs w:val="1"/>
                <w:color w:val="auto"/>
              </w:rPr>
              <w:t>50.7</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50.7</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designated as net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investment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5"/>
              <w:spacing w:after="0"/>
              <w:rPr>
                <w:sz w:val="20"/>
                <w:szCs w:val="20"/>
                <w:color w:val="auto"/>
              </w:rPr>
            </w:pPr>
            <w:r>
              <w:rPr>
                <w:rFonts w:ascii="Arial" w:cs="Arial" w:eastAsia="Arial" w:hAnsi="Arial"/>
                <w:sz w:val="18"/>
                <w:szCs w:val="18"/>
                <w:b w:val="1"/>
                <w:bCs w:val="1"/>
                <w:color w:val="auto"/>
              </w:rPr>
              <w:t>297.0</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297.0</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5"/>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39.5</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(93.4)</w:t>
            </w:r>
          </w:p>
        </w:tc>
        <w:tc>
          <w:tcPr>
            <w:tcW w:w="1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80" w:type="dxa"/>
            <w:vAlign w:val="bottom"/>
          </w:tcPr>
          <w:p>
            <w:pPr>
              <w:ind w:left="600"/>
              <w:spacing w:after="0"/>
              <w:rPr>
                <w:sz w:val="20"/>
                <w:szCs w:val="20"/>
                <w:color w:val="auto"/>
              </w:rPr>
            </w:pPr>
            <w:r>
              <w:rPr>
                <w:rFonts w:ascii="Arial" w:cs="Arial" w:eastAsia="Arial" w:hAnsi="Arial"/>
                <w:sz w:val="18"/>
                <w:szCs w:val="18"/>
                <w:b w:val="1"/>
                <w:bCs w:val="1"/>
                <w:color w:val="auto"/>
                <w:w w:val="97"/>
              </w:rPr>
              <w:t>(32.3)</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40" w:type="dxa"/>
            <w:vAlign w:val="bottom"/>
            <w:gridSpan w:val="2"/>
            <w:vMerge w:val="restart"/>
          </w:tcPr>
          <w:p>
            <w:pPr>
              <w:jc w:val="center"/>
              <w:ind w:right="215"/>
              <w:spacing w:after="0"/>
              <w:rPr>
                <w:sz w:val="20"/>
                <w:szCs w:val="20"/>
                <w:color w:val="auto"/>
              </w:rPr>
            </w:pPr>
            <w:r>
              <w:rPr>
                <w:rFonts w:ascii="Arial" w:cs="Arial" w:eastAsia="Arial" w:hAnsi="Arial"/>
                <w:sz w:val="13"/>
                <w:szCs w:val="13"/>
                <w:b w:val="1"/>
                <w:bCs w:val="1"/>
                <w:color w:val="auto"/>
                <w:w w:val="96"/>
              </w:rPr>
              <w:t>Quoted Prices in</w:t>
            </w:r>
          </w:p>
        </w:tc>
        <w:tc>
          <w:tcPr>
            <w:tcW w:w="108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9"/>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80" w:type="dxa"/>
            <w:vAlign w:val="bottom"/>
          </w:tcPr>
          <w:p>
            <w:pPr>
              <w:jc w:val="center"/>
              <w:ind w:right="158"/>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Carrying</w:t>
            </w:r>
          </w:p>
        </w:tc>
        <w:tc>
          <w:tcPr>
            <w:tcW w:w="1540" w:type="dxa"/>
            <w:vAlign w:val="bottom"/>
            <w:gridSpan w:val="2"/>
          </w:tcPr>
          <w:p>
            <w:pPr>
              <w:jc w:val="center"/>
              <w:ind w:right="235"/>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10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960" w:type="dxa"/>
            <w:vAlign w:val="bottom"/>
            <w:vMerge w:val="restart"/>
          </w:tcPr>
          <w:p>
            <w:pPr>
              <w:jc w:val="right"/>
              <w:ind w:right="414"/>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33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080" w:type="dxa"/>
            <w:vAlign w:val="bottom"/>
          </w:tcPr>
          <w:p>
            <w:pPr>
              <w:jc w:val="center"/>
              <w:ind w:right="178"/>
              <w:spacing w:after="0" w:line="135"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1"/>
                <w:szCs w:val="11"/>
                <w:color w:val="auto"/>
              </w:rPr>
            </w:pPr>
          </w:p>
        </w:tc>
        <w:tc>
          <w:tcPr>
            <w:tcW w:w="14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5"/>
              <w:spacing w:after="0"/>
              <w:rPr>
                <w:sz w:val="20"/>
                <w:szCs w:val="20"/>
                <w:color w:val="auto"/>
              </w:rPr>
            </w:pPr>
            <w:r>
              <w:rPr>
                <w:rFonts w:ascii="Arial" w:cs="Arial" w:eastAsia="Arial" w:hAnsi="Arial"/>
                <w:sz w:val="13"/>
                <w:szCs w:val="13"/>
                <w:b w:val="1"/>
                <w:bCs w:val="1"/>
                <w:color w:val="auto"/>
                <w:w w:val="98"/>
              </w:rPr>
              <w:t>(Level 1)</w:t>
            </w: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3"/>
                <w:szCs w:val="13"/>
                <w:b w:val="1"/>
                <w:bCs w:val="1"/>
                <w:color w:val="auto"/>
                <w:w w:val="94"/>
              </w:rPr>
              <w:t>(Level 3)</w:t>
            </w: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5"/>
        </w:trPr>
        <w:tc>
          <w:tcPr>
            <w:tcW w:w="4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Interest rate contracts designated as fair value</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86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Interest rate contracts designated as cash flow</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291.2</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5"/>
        </w:trPr>
        <w:tc>
          <w:tcPr>
            <w:tcW w:w="4480" w:type="dxa"/>
            <w:vAlign w:val="bottom"/>
            <w:shd w:val="clear" w:color="auto" w:fill="DBDBDB"/>
          </w:tcPr>
          <w:p>
            <w:pPr>
              <w:ind w:left="180"/>
              <w:spacing w:after="0" w:line="176" w:lineRule="exact"/>
              <w:rPr>
                <w:sz w:val="20"/>
                <w:szCs w:val="20"/>
                <w:color w:val="auto"/>
              </w:rPr>
            </w:pPr>
            <w:r>
              <w:rPr>
                <w:rFonts w:ascii="Arial" w:cs="Arial" w:eastAsia="Arial" w:hAnsi="Arial"/>
                <w:sz w:val="18"/>
                <w:szCs w:val="18"/>
                <w:color w:val="auto"/>
              </w:rPr>
              <w:t>Cross-currency interest rate contracts designated as</w:t>
            </w:r>
          </w:p>
        </w:tc>
        <w:tc>
          <w:tcPr>
            <w:tcW w:w="3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flow hedges:</w:t>
            </w:r>
          </w:p>
        </w:tc>
        <w:tc>
          <w:tcPr>
            <w:tcW w:w="3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175"/>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exchanges contracts designated as hedging</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176"/>
        </w:trPr>
        <w:tc>
          <w:tcPr>
            <w:tcW w:w="4480" w:type="dxa"/>
            <w:vAlign w:val="bottom"/>
          </w:tcPr>
          <w:p>
            <w:pPr>
              <w:ind w:left="180"/>
              <w:spacing w:after="0" w:line="176" w:lineRule="exact"/>
              <w:rPr>
                <w:sz w:val="20"/>
                <w:szCs w:val="20"/>
                <w:color w:val="auto"/>
              </w:rPr>
            </w:pPr>
            <w:r>
              <w:rPr>
                <w:rFonts w:ascii="Arial" w:cs="Arial" w:eastAsia="Arial" w:hAnsi="Arial"/>
                <w:sz w:val="18"/>
                <w:szCs w:val="18"/>
                <w:color w:val="auto"/>
              </w:rPr>
              <w:t>Foreign exchange contracts not designated as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8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4"/>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DBDBDB"/>
          </w:tcPr>
          <w:p>
            <w:pPr>
              <w:spacing w:after="0"/>
              <w:rPr>
                <w:sz w:val="20"/>
                <w:szCs w:val="20"/>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DBDBDB"/>
          </w:tcPr>
          <w:p>
            <w:pPr>
              <w:spacing w:after="0"/>
              <w:rPr>
                <w:sz w:val="20"/>
                <w:szCs w:val="20"/>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w w:val="97"/>
              </w:rPr>
              <w:t>(39.5)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44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DBDBDB"/>
          </w:tcPr>
          <w:p>
            <w:pPr>
              <w:spacing w:after="0"/>
              <w:rPr>
                <w:sz w:val="19"/>
                <w:szCs w:val="19"/>
                <w:color w:val="auto"/>
              </w:rPr>
            </w:pPr>
          </w:p>
        </w:tc>
        <w:tc>
          <w:tcPr>
            <w:tcW w:w="14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ind w:left="600"/>
              <w:spacing w:after="0"/>
              <w:rPr>
                <w:sz w:val="20"/>
                <w:szCs w:val="20"/>
                <w:color w:val="auto"/>
              </w:rPr>
            </w:pPr>
            <w:r>
              <w:rPr>
                <w:rFonts w:ascii="Arial" w:cs="Arial" w:eastAsia="Arial" w:hAnsi="Arial"/>
                <w:sz w:val="18"/>
                <w:szCs w:val="18"/>
                <w:color w:val="auto"/>
                <w:w w:val="97"/>
              </w:rPr>
              <w:t>(64.4)</w:t>
            </w: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ectPr>
          <w:pgSz w:w="11900" w:h="16838" w:orient="portrait"/>
          <w:cols w:equalWidth="0" w:num="1">
            <w:col w:w="11200"/>
          </w:cols>
          <w:pgMar w:left="320" w:top="108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 in goodwill during 2024 was primarily related to our acquisition of a manufacturing site in Wisconsin. See Note 3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2024,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6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9"/>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6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79"/>
              <w:spacing w:after="0" w:line="14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9"/>
              <w:spacing w:after="0"/>
              <w:rPr>
                <w:sz w:val="20"/>
                <w:szCs w:val="20"/>
                <w:color w:val="auto"/>
              </w:rPr>
            </w:pPr>
            <w:r>
              <w:rPr>
                <w:rFonts w:ascii="Arial" w:cs="Arial" w:eastAsia="Arial" w:hAnsi="Arial"/>
                <w:sz w:val="18"/>
                <w:szCs w:val="18"/>
                <w:b w:val="1"/>
                <w:bCs w:val="1"/>
                <w:color w:val="auto"/>
              </w:rPr>
              <w:t>8,090.2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(2,821.6)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5,268.6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8,216.8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(2,277.0)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5,939.8</w:t>
            </w:r>
          </w:p>
        </w:tc>
        <w:tc>
          <w:tcPr>
            <w:tcW w:w="0" w:type="dxa"/>
            <w:vAlign w:val="bottom"/>
          </w:tcPr>
          <w:p>
            <w:pPr>
              <w:spacing w:after="0"/>
              <w:rPr>
                <w:sz w:val="1"/>
                <w:szCs w:val="1"/>
                <w:color w:val="auto"/>
              </w:rPr>
            </w:pPr>
          </w:p>
        </w:tc>
      </w:tr>
      <w:tr>
        <w:trPr>
          <w:trHeight w:val="230"/>
        </w:trPr>
        <w:tc>
          <w:tcPr>
            <w:tcW w:w="3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Acquired IPR&amp;D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897.7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966.8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8"/>
                <w:szCs w:val="18"/>
                <w:b w:val="1"/>
                <w:bCs w:val="1"/>
                <w:color w:val="auto"/>
              </w:rPr>
              <w:t>8,987.9</w:t>
            </w: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(2,821.6)</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6,166.3</w:t>
            </w:r>
          </w:p>
        </w:tc>
        <w:tc>
          <w:tcPr>
            <w:tcW w:w="100" w:type="dxa"/>
            <w:vAlign w:val="bottom"/>
            <w:tcBorders>
              <w:bottom w:val="single" w:sz="8" w:color="auto"/>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8"/>
                <w:szCs w:val="18"/>
                <w:color w:val="auto"/>
              </w:rPr>
              <w:t>9,183.6</w:t>
            </w: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(2,277.0)</w:t>
            </w:r>
          </w:p>
        </w:tc>
        <w:tc>
          <w:tcPr>
            <w:tcW w:w="2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6,906.6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Marketed products consist primarily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combinations,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3 for significant acquired IPR&amp;D projects that had no alternative future use.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ind w:right="300"/>
        <w:spacing w:after="0" w:line="268" w:lineRule="auto"/>
        <w:rPr>
          <w:sz w:val="20"/>
          <w:szCs w:val="20"/>
          <w:color w:val="auto"/>
        </w:rPr>
      </w:pPr>
      <w:r>
        <w:rPr>
          <w:rFonts w:ascii="Arial" w:cs="Arial" w:eastAsia="Arial" w:hAnsi="Arial"/>
          <w:sz w:val="18"/>
          <w:szCs w:val="18"/>
          <w:color w:val="auto"/>
        </w:rPr>
        <w:t>Intangible assets with finite lives are capitalized and are amortized primarily to cost of sales over their estimated useful lives, ranging from one to 20 years. As of December 31, 2024, the remaining weighted-average amortization period for finite-lived intangible assets was approximately 12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24"/>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expense</w:t>
            </w:r>
          </w:p>
        </w:tc>
        <w:tc>
          <w:tcPr>
            <w:tcW w:w="338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552.9</w:t>
            </w:r>
          </w:p>
        </w:tc>
        <w:tc>
          <w:tcPr>
            <w:tcW w:w="960" w:type="dxa"/>
            <w:vAlign w:val="bottom"/>
            <w:shd w:val="clear" w:color="auto" w:fill="DBDBDB"/>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505.6</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579.7</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2024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2029</w:t>
            </w:r>
          </w:p>
        </w:tc>
      </w:tr>
      <w:tr>
        <w:trPr>
          <w:trHeight w:val="224"/>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Estimated amortization expense</w:t>
            </w:r>
          </w:p>
        </w:tc>
        <w:tc>
          <w:tcPr>
            <w:tcW w:w="17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500.6</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490.0</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488.0</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481.3</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467.2</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7"/>
                <w:szCs w:val="17"/>
                <w:color w:val="auto"/>
              </w:rPr>
            </w:pPr>
          </w:p>
        </w:tc>
      </w:tr>
      <w:tr>
        <w:trPr>
          <w:trHeight w:val="224"/>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382.0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319.8</w:t>
            </w:r>
          </w:p>
        </w:tc>
        <w:tc>
          <w:tcPr>
            <w:tcW w:w="40" w:type="dxa"/>
            <w:vAlign w:val="bottom"/>
          </w:tcPr>
          <w:p>
            <w:pPr>
              <w:spacing w:after="0"/>
              <w:rPr>
                <w:sz w:val="19"/>
                <w:szCs w:val="19"/>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b w:val="1"/>
                <w:bCs w:val="1"/>
                <w:color w:val="auto"/>
              </w:rPr>
              <w:t>8,806.8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8,280.0</w:t>
            </w:r>
          </w:p>
        </w:tc>
        <w:tc>
          <w:tcPr>
            <w:tcW w:w="40" w:type="dxa"/>
            <w:vAlign w:val="bottom"/>
          </w:tcPr>
          <w:p>
            <w:pPr>
              <w:spacing w:after="0"/>
              <w:rPr>
                <w:sz w:val="19"/>
                <w:szCs w:val="19"/>
                <w:color w:val="auto"/>
              </w:rPr>
            </w:pP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Equipment</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11,457.8</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10,329.0</w:t>
            </w:r>
          </w:p>
        </w:tc>
        <w:tc>
          <w:tcPr>
            <w:tcW w:w="40" w:type="dxa"/>
            <w:vAlign w:val="bottom"/>
          </w:tcPr>
          <w:p>
            <w:pPr>
              <w:spacing w:after="0"/>
              <w:rPr>
                <w:sz w:val="19"/>
                <w:szCs w:val="19"/>
                <w:color w:val="auto"/>
              </w:rPr>
            </w:pPr>
          </w:p>
        </w:tc>
      </w:tr>
      <w:tr>
        <w:trPr>
          <w:trHeight w:val="229"/>
        </w:trPr>
        <w:tc>
          <w:tcPr>
            <w:tcW w:w="6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Construction in progress</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8,244.8</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5,084.1</w:t>
            </w:r>
          </w:p>
        </w:tc>
        <w:tc>
          <w:tcPr>
            <w:tcW w:w="40" w:type="dxa"/>
            <w:vAlign w:val="bottom"/>
          </w:tcPr>
          <w:p>
            <w:pPr>
              <w:spacing w:after="0"/>
              <w:rPr>
                <w:sz w:val="19"/>
                <w:szCs w:val="19"/>
                <w:color w:val="auto"/>
              </w:rPr>
            </w:pPr>
          </w:p>
        </w:tc>
      </w:tr>
      <w:tr>
        <w:trPr>
          <w:trHeight w:val="223"/>
        </w:trPr>
        <w:tc>
          <w:tcPr>
            <w:tcW w:w="63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28,891.4</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24,012.9</w:t>
            </w:r>
          </w:p>
        </w:tc>
        <w:tc>
          <w:tcPr>
            <w:tcW w:w="40" w:type="dxa"/>
            <w:vAlign w:val="bottom"/>
          </w:tcPr>
          <w:p>
            <w:pPr>
              <w:spacing w:after="0"/>
              <w:rPr>
                <w:sz w:val="19"/>
                <w:szCs w:val="19"/>
                <w:color w:val="auto"/>
              </w:rPr>
            </w:pPr>
          </w:p>
        </w:tc>
      </w:tr>
      <w:tr>
        <w:trPr>
          <w:trHeight w:val="229"/>
        </w:trPr>
        <w:tc>
          <w:tcPr>
            <w:tcW w:w="63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(11,789.0)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(11,099.3)</w:t>
            </w:r>
          </w:p>
        </w:tc>
        <w:tc>
          <w:tcPr>
            <w:tcW w:w="40" w:type="dxa"/>
            <w:vAlign w:val="bottom"/>
          </w:tcPr>
          <w:p>
            <w:pPr>
              <w:spacing w:after="0"/>
              <w:rPr>
                <w:sz w:val="19"/>
                <w:szCs w:val="19"/>
                <w:color w:val="auto"/>
              </w:rPr>
            </w:pPr>
          </w:p>
        </w:tc>
      </w:tr>
      <w:tr>
        <w:trPr>
          <w:trHeight w:val="243"/>
        </w:trPr>
        <w:tc>
          <w:tcPr>
            <w:tcW w:w="6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8"/>
                <w:szCs w:val="18"/>
                <w:b w:val="1"/>
                <w:bCs w:val="1"/>
                <w:color w:val="auto"/>
              </w:rPr>
              <w:t>17,102.4</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12,913.6</w:t>
            </w:r>
          </w:p>
        </w:tc>
        <w:tc>
          <w:tcPr>
            <w:tcW w:w="40" w:type="dxa"/>
            <w:vAlign w:val="bottom"/>
          </w:tcPr>
          <w:p>
            <w:pPr>
              <w:spacing w:after="0"/>
              <w:rPr>
                <w:sz w:val="21"/>
                <w:szCs w:val="21"/>
                <w:color w:val="auto"/>
              </w:rPr>
            </w:pP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Depreciation expense related to property and equipment was as follows: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Depreciation expense</w:t>
            </w:r>
          </w:p>
        </w:tc>
        <w:tc>
          <w:tcPr>
            <w:tcW w:w="84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9"/>
              <w:spacing w:after="0"/>
              <w:rPr>
                <w:sz w:val="20"/>
                <w:szCs w:val="20"/>
                <w:color w:val="auto"/>
              </w:rPr>
            </w:pPr>
            <w:r>
              <w:rPr>
                <w:rFonts w:ascii="Arial" w:cs="Arial" w:eastAsia="Arial" w:hAnsi="Arial"/>
                <w:sz w:val="18"/>
                <w:szCs w:val="18"/>
                <w:b w:val="1"/>
                <w:bCs w:val="1"/>
                <w:color w:val="auto"/>
              </w:rPr>
              <w:t>1,058.0</w:t>
            </w:r>
          </w:p>
        </w:tc>
        <w:tc>
          <w:tcPr>
            <w:tcW w:w="3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901.9</w:t>
            </w:r>
          </w:p>
        </w:tc>
        <w:tc>
          <w:tcPr>
            <w:tcW w:w="4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816.6</w:t>
            </w:r>
          </w:p>
        </w:tc>
        <w:tc>
          <w:tcPr>
            <w:tcW w:w="40" w:type="dxa"/>
            <w:vAlign w:val="bottom"/>
            <w:shd w:val="clear" w:color="auto" w:fill="DBDBDB"/>
          </w:tcPr>
          <w:p>
            <w:pPr>
              <w:spacing w:after="0"/>
              <w:rPr>
                <w:sz w:val="19"/>
                <w:szCs w:val="19"/>
                <w:color w:val="auto"/>
              </w:rPr>
            </w:pPr>
          </w:p>
        </w:tc>
      </w:tr>
      <w:tr>
        <w:trPr>
          <w:trHeight w:val="422"/>
        </w:trPr>
        <w:tc>
          <w:tcPr>
            <w:tcW w:w="8280" w:type="dxa"/>
            <w:vAlign w:val="bottom"/>
            <w:gridSpan w:val="3"/>
          </w:tcPr>
          <w:p>
            <w:pPr>
              <w:spacing w:after="0"/>
              <w:rPr>
                <w:sz w:val="20"/>
                <w:szCs w:val="20"/>
                <w:color w:val="auto"/>
              </w:rPr>
            </w:pPr>
            <w:r>
              <w:rPr>
                <w:rFonts w:ascii="Arial" w:cs="Arial" w:eastAsia="Arial" w:hAnsi="Arial"/>
                <w:sz w:val="18"/>
                <w:szCs w:val="18"/>
                <w:color w:val="auto"/>
              </w:rPr>
              <w:t>Capitalized interest costs were not material for the years ended December 31, 2024, 2023, and 2022.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00" w:type="dxa"/>
            <w:vAlign w:val="bottom"/>
          </w:tcPr>
          <w:p>
            <w:pPr>
              <w:spacing w:after="0"/>
              <w:rPr>
                <w:sz w:val="20"/>
                <w:szCs w:val="20"/>
                <w:color w:val="auto"/>
              </w:rPr>
            </w:pPr>
            <w:r>
              <w:rPr>
                <w:rFonts w:ascii="Arial" w:cs="Arial" w:eastAsia="Arial" w:hAnsi="Arial"/>
                <w:sz w:val="18"/>
                <w:szCs w:val="18"/>
                <w:color w:val="auto"/>
              </w:rPr>
              <w:t>The following table summarizes long-lived assets by geographical area:</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3"/>
        </w:trPr>
        <w:tc>
          <w:tcPr>
            <w:tcW w:w="6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24"/>
                <w:szCs w:val="24"/>
                <w:color w:val="auto"/>
              </w:rPr>
            </w:pPr>
          </w:p>
        </w:tc>
      </w:tr>
      <w:tr>
        <w:trPr>
          <w:trHeight w:val="224"/>
        </w:trPr>
        <w:tc>
          <w:tcPr>
            <w:tcW w:w="6300" w:type="dxa"/>
            <w:vAlign w:val="bottom"/>
            <w:shd w:val="clear" w:color="auto" w:fill="DBDBDB"/>
          </w:tcPr>
          <w:p>
            <w:pPr>
              <w:ind w:left="20"/>
              <w:spacing w:after="0" w:line="224"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13,401.5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9,993.2</w:t>
            </w:r>
          </w:p>
        </w:tc>
        <w:tc>
          <w:tcPr>
            <w:tcW w:w="40" w:type="dxa"/>
            <w:vAlign w:val="bottom"/>
          </w:tcPr>
          <w:p>
            <w:pPr>
              <w:spacing w:after="0"/>
              <w:rPr>
                <w:sz w:val="19"/>
                <w:szCs w:val="19"/>
                <w:color w:val="auto"/>
              </w:rPr>
            </w:pPr>
          </w:p>
        </w:tc>
      </w:tr>
      <w:tr>
        <w:trPr>
          <w:trHeight w:val="230"/>
        </w:trPr>
        <w:tc>
          <w:tcPr>
            <w:tcW w:w="6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Ireland</w:t>
            </w:r>
          </w:p>
        </w:tc>
        <w:tc>
          <w:tcPr>
            <w:tcW w:w="8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3,205.0</w:t>
            </w:r>
          </w:p>
        </w:tc>
        <w:tc>
          <w:tcPr>
            <w:tcW w:w="4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2,722.6</w:t>
            </w:r>
          </w:p>
        </w:tc>
        <w:tc>
          <w:tcPr>
            <w:tcW w:w="40" w:type="dxa"/>
            <w:vAlign w:val="bottom"/>
            <w:shd w:val="clear" w:color="auto" w:fill="DBDBDB"/>
          </w:tcPr>
          <w:p>
            <w:pPr>
              <w:spacing w:after="0"/>
              <w:rPr>
                <w:sz w:val="19"/>
                <w:szCs w:val="19"/>
                <w:color w:val="auto"/>
              </w:rPr>
            </w:pPr>
          </w:p>
        </w:tc>
      </w:tr>
      <w:tr>
        <w:trPr>
          <w:trHeight w:val="230"/>
        </w:trPr>
        <w:tc>
          <w:tcPr>
            <w:tcW w:w="63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84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2,158.9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40" w:type="dxa"/>
            <w:vAlign w:val="bottom"/>
            <w:tcBorders>
              <w:bottom w:val="single" w:sz="8" w:color="auto"/>
            </w:tcBorders>
          </w:tcPr>
          <w:p>
            <w:pPr>
              <w:spacing w:after="0"/>
              <w:rPr>
                <w:sz w:val="19"/>
                <w:szCs w:val="19"/>
                <w:color w:val="auto"/>
              </w:rPr>
            </w:pPr>
          </w:p>
        </w:tc>
      </w:tr>
      <w:tr>
        <w:trPr>
          <w:trHeight w:val="230"/>
        </w:trPr>
        <w:tc>
          <w:tcPr>
            <w:tcW w:w="6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DBDBDB"/>
            </w:tcBorders>
            <w:shd w:val="clear" w:color="auto" w:fill="DBDBDB"/>
          </w:tcPr>
          <w:p>
            <w:pPr>
              <w:spacing w:after="0"/>
              <w:rPr>
                <w:sz w:val="20"/>
                <w:szCs w:val="20"/>
                <w:color w:val="auto"/>
              </w:rPr>
            </w:pPr>
          </w:p>
        </w:tc>
        <w:tc>
          <w:tcPr>
            <w:tcW w:w="1140" w:type="dxa"/>
            <w:vAlign w:val="bottom"/>
            <w:tcBorders>
              <w:bottom w:val="single" w:sz="8" w:color="DBDBDB"/>
            </w:tcBorders>
            <w:shd w:val="clear" w:color="auto" w:fill="DBDBDB"/>
          </w:tcPr>
          <w:p>
            <w:pPr>
              <w:spacing w:after="0"/>
              <w:rPr>
                <w:sz w:val="20"/>
                <w:szCs w:val="20"/>
                <w:color w:val="auto"/>
              </w:rPr>
            </w:pPr>
          </w:p>
        </w:tc>
        <w:tc>
          <w:tcPr>
            <w:tcW w:w="4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18,765.4</w:t>
            </w:r>
          </w:p>
        </w:tc>
        <w:tc>
          <w:tcPr>
            <w:tcW w:w="4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14,500.0</w:t>
            </w:r>
          </w:p>
        </w:tc>
        <w:tc>
          <w:tcPr>
            <w:tcW w:w="40" w:type="dxa"/>
            <w:vAlign w:val="bottom"/>
            <w:tcBorders>
              <w:bottom w:val="single" w:sz="8" w:color="auto"/>
            </w:tcBorders>
            <w:shd w:val="clear" w:color="auto" w:fill="DBDBDB"/>
          </w:tcPr>
          <w:p>
            <w:pPr>
              <w:spacing w:after="0"/>
              <w:rPr>
                <w:sz w:val="20"/>
                <w:szCs w:val="20"/>
                <w:color w:val="auto"/>
              </w:rPr>
            </w:pPr>
          </w:p>
        </w:tc>
      </w:tr>
    </w:tbl>
    <w:p>
      <w:pPr>
        <w:spacing w:after="0" w:line="99"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Long-lived assets consist of property and equipment, net, operating lease assets, and unamortized computer software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10: Leases</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determine if an arrangement is a lease at inception. We have leases with terms up to 15 years primarily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Operating lease right-of-use assets are presented as other noncurrent assets in our consolidated balance sheets, and the current and long-term portions of operating lease liabilities are included in other current liabilities and other noncurrent liabilities, respectively, in our consolidated balance sheets. Short-term leases, which are deemed at inception to have a lease term of 12 months or less, are not recorded on the consolidated balance sheets.</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6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$209.6 million, $171.2 million, and $148.8 million during the years ended December 31, 2024, 2023, and 2022, respectively.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years ended December 31, 2024, 2023, and 2022. Short-term lease expense was not material during the years ended December 31, 2024, 2023, and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2024</w:t>
            </w:r>
          </w:p>
        </w:tc>
        <w:tc>
          <w:tcPr>
            <w:tcW w:w="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2023</w:t>
            </w:r>
          </w:p>
        </w:tc>
      </w:tr>
      <w:tr>
        <w:trPr>
          <w:trHeight w:val="224"/>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1,050.1</w:t>
            </w:r>
          </w:p>
        </w:tc>
        <w:tc>
          <w:tcPr>
            <w:tcW w:w="5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1,024.2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175.7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156.3</w:t>
            </w: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5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970.9</w:t>
            </w:r>
          </w:p>
        </w:tc>
        <w:tc>
          <w:tcPr>
            <w:tcW w:w="5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948.5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9 years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 years</w:t>
            </w: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5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390"/>
              <w:spacing w:after="0"/>
              <w:rPr>
                <w:sz w:val="20"/>
                <w:szCs w:val="20"/>
                <w:color w:val="auto"/>
              </w:rPr>
            </w:pPr>
            <w:r>
              <w:rPr>
                <w:rFonts w:ascii="Arial" w:cs="Arial" w:eastAsia="Arial" w:hAnsi="Arial"/>
                <w:sz w:val="18"/>
                <w:szCs w:val="18"/>
                <w:b w:val="1"/>
                <w:bCs w:val="1"/>
                <w:color w:val="auto"/>
              </w:rPr>
              <w:t>4.6 %</w:t>
            </w:r>
          </w:p>
        </w:tc>
        <w:tc>
          <w:tcPr>
            <w:tcW w:w="2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4.4 %</w:t>
            </w:r>
          </w:p>
        </w:tc>
      </w:tr>
      <w:tr>
        <w:trPr>
          <w:trHeight w:val="423"/>
        </w:trPr>
        <w:tc>
          <w:tcPr>
            <w:tcW w:w="6560" w:type="dxa"/>
            <w:vAlign w:val="bottom"/>
          </w:tcPr>
          <w:p>
            <w:pPr>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3"/>
        </w:trPr>
        <w:tc>
          <w:tcPr>
            <w:tcW w:w="6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24"/>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171.0</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149.7</w:t>
            </w: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590.0</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2024 were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6040" w:type="dxa"/>
            <w:vAlign w:val="bottom"/>
            <w:tcBorders>
              <w:top w:val="single" w:sz="8" w:color="auto"/>
            </w:tcBorders>
            <w:gridSpan w:val="2"/>
            <w:shd w:val="clear" w:color="auto" w:fill="DBDBDB"/>
          </w:tcPr>
          <w:p>
            <w:pPr>
              <w:jc w:val="right"/>
              <w:ind w:right="8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221.2</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2026</w:t>
            </w:r>
          </w:p>
        </w:tc>
        <w:tc>
          <w:tcPr>
            <w:tcW w:w="5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29"/>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50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172.2</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2028</w:t>
            </w:r>
          </w:p>
        </w:tc>
        <w:tc>
          <w:tcPr>
            <w:tcW w:w="5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30"/>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50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108.6</w:t>
            </w:r>
          </w:p>
        </w:tc>
      </w:tr>
      <w:tr>
        <w:trPr>
          <w:trHeight w:val="230"/>
        </w:trPr>
        <w:tc>
          <w:tcPr>
            <w:tcW w:w="3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After 2029</w:t>
            </w:r>
          </w:p>
        </w:tc>
        <w:tc>
          <w:tcPr>
            <w:tcW w:w="502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w:t>
            </w:r>
          </w:p>
        </w:tc>
      </w:tr>
      <w:tr>
        <w:trPr>
          <w:trHeight w:val="223"/>
        </w:trPr>
        <w:tc>
          <w:tcPr>
            <w:tcW w:w="3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lease payments</w:t>
            </w:r>
          </w:p>
        </w:tc>
        <w:tc>
          <w:tcPr>
            <w:tcW w:w="50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1,447.0</w:t>
            </w:r>
          </w:p>
        </w:tc>
      </w:tr>
      <w:tr>
        <w:trPr>
          <w:trHeight w:val="230"/>
        </w:trPr>
        <w:tc>
          <w:tcPr>
            <w:tcW w:w="3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imputed interest</w:t>
            </w:r>
          </w:p>
        </w:tc>
        <w:tc>
          <w:tcPr>
            <w:tcW w:w="502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r>
      <w:tr>
        <w:trPr>
          <w:trHeight w:val="243"/>
        </w:trPr>
        <w:tc>
          <w:tcPr>
            <w:tcW w:w="3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1,146.6</w:t>
            </w:r>
          </w:p>
        </w:tc>
      </w:tr>
      <w:tr>
        <w:trPr>
          <w:trHeight w:val="895"/>
        </w:trPr>
        <w:tc>
          <w:tcPr>
            <w:tcW w:w="3640" w:type="dxa"/>
            <w:vAlign w:val="bottom"/>
          </w:tcPr>
          <w:p>
            <w:pPr>
              <w:spacing w:after="0"/>
              <w:rPr>
                <w:sz w:val="24"/>
                <w:szCs w:val="24"/>
                <w:color w:val="auto"/>
              </w:rPr>
            </w:pPr>
          </w:p>
        </w:tc>
        <w:tc>
          <w:tcPr>
            <w:tcW w:w="5020" w:type="dxa"/>
            <w:vAlign w:val="bottom"/>
          </w:tcPr>
          <w:p>
            <w:pPr>
              <w:jc w:val="right"/>
              <w:ind w:right="2850"/>
              <w:spacing w:after="0"/>
              <w:rPr>
                <w:sz w:val="20"/>
                <w:szCs w:val="20"/>
                <w:color w:val="auto"/>
              </w:rPr>
            </w:pPr>
            <w:r>
              <w:rPr>
                <w:rFonts w:ascii="Arial" w:cs="Arial" w:eastAsia="Arial" w:hAnsi="Arial"/>
                <w:sz w:val="18"/>
                <w:szCs w:val="18"/>
                <w:color w:val="auto"/>
              </w:rPr>
              <w:t>86</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1"/>
        </w:trPr>
        <w:tc>
          <w:tcPr>
            <w:tcW w:w="364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line="287"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commercial paper borrowings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4,337.6</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6,189.4</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Long-term notes</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29,474.0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19,104.6</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debt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6.8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adjustment on hedged long-term notes</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(13.4)</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33,644.2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25,225.3</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(5,117.1)</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(6,904.5)</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28,527.1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18,320.8</w:t>
            </w:r>
          </w:p>
        </w:tc>
      </w:tr>
    </w:tbl>
    <w:p>
      <w:pPr>
        <w:spacing w:after="0" w:line="18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weighted-average effective borrowing rates on short-term commercial paper borrowings were 4.61 percent and 5.39 percent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 summarizes long-term notes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2023</w:t>
            </w:r>
          </w:p>
        </w:tc>
      </w:tr>
      <w:tr>
        <w:trPr>
          <w:trHeight w:val="251"/>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0.15% Swiss franc denominated notes due 2024</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76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714.6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7.125% notes due 2025</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217.5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2.75% notes due 2025</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560.6</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560.6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5.0% notes due 2026</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750.0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euro denominated notes due 2026</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779.1</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4.500% notes due 2027</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5.5% notes due 2027</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364.3</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3.1% notes due 2027</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401.5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4.150% notes due 2027</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0.45% Swiss franc denominated notes due 2028</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441.6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476.4</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4.500% notes due 2029</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3.375% notes due 2029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930.6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4.200% notes due 2029</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0.42% Japanese yen denominated notes due 2029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145.6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2.125% euro denominated notes due 2030</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779.1</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0.625% euro denominated notes due 2031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623.2</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664.6</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4.7% notes due 2033</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0.50% euro denominated notes due 2033</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623.2</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664.6</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4.700% notes due 2034</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1,500.0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4.600% notes due 2034</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0.56% Japanese yen denominated notes due 2034</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58.9</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65.8</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6.77% notes due 2036</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158.6</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5.55% notes due 2037</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444.7</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444.7</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5.95% notes due 2037</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266.8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266.8</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3.875% notes due 2039</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240.3</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1.625% British pound denominated notes due 2043</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313.8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318.5</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4.65% notes due 2044</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38.3</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3.7% notes due 2045</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386.8</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3.95% notes due 2047</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347.0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3.95% notes due 2049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958.2</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958.2</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1.70% euro denominated notes due 2049</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1,038.7</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1,107.6</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0.97% Japanese yen denominated notes due 2049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2.25% notes due 2050</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1.125% euro denominated notes due 2051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519.4</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553.8</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4.875% notes due 2053</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5.000% notes due 2054</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5.050% notes due 2054</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4.15% notes due 2059</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591.3</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2.50% notes due 2060</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1.375% euro denominated notes due 2061</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727.1</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775.3</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4.95% notes due 2063</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5.100% notes due 2064</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5.200% notes due 2064</w:t>
            </w:r>
          </w:p>
        </w:tc>
        <w:tc>
          <w:tcPr>
            <w:tcW w:w="440" w:type="dxa"/>
            <w:vAlign w:val="bottom"/>
            <w:shd w:val="clear" w:color="auto" w:fill="DBDBDB"/>
          </w:tcPr>
          <w:p>
            <w:pPr>
              <w:spacing w:after="0"/>
              <w:rPr>
                <w:sz w:val="22"/>
                <w:szCs w:val="2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750.0</w:t>
            </w:r>
          </w:p>
        </w:tc>
        <w:tc>
          <w:tcPr>
            <w:tcW w:w="42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Unamortized note discounts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r>
      <w:tr>
        <w:trPr>
          <w:trHeight w:val="25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long-term notes</w:t>
            </w: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29,474.0</w:t>
            </w:r>
          </w:p>
        </w:tc>
        <w:tc>
          <w:tcPr>
            <w:tcW w:w="42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19,104.6</w:t>
            </w: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The weighted-average effective borrowing rate for each issuance of the long term-notes approximates the stated interest rate.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2024, we had a total of $8.45 billion of unused committed bank credit facilities, which consisted primarily of a $3.00 billion credit facility that expires in December 2028 and a $5.00 billion 364-day facility that expires in September 2025, both of which are available to support our commercial paper program. We have not drawn against the $3.00 billion and $5.00 billion facilities as of December 31, 2024. Of the remaining committed bank credit facilities, the outstanding balances as of December 31, 2024 and 2023 were not material. Compensating balances and commitment fees are not material, and there are no conditions that are probable of occurring under which the lines may be withdrawn.</w:t>
      </w:r>
    </w:p>
    <w:p>
      <w:pPr>
        <w:spacing w:after="0" w:line="7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February 2025, we issued $1.00 billion of 4.550 percent fixed-rate notes due in 2028, $1.25 billion of 4.750 percent fixed-rate notes due in 2030, $1.00 billion of 4.900 percent fixed-rate notes due in 2032, $1.25 billion of 5.100 percent fixed-rate notes due in 2035, $1.25 billion of</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5.500 percent fixed-rate notes due in 2055, and $750.0 million of 5.600 percent fixed-rate notes due in 2065, all with interest to be paid semi-annually. We expect to use the net cash proceeds from the offering to fund potential business development activities, as well as general business purposes, including the repayment of outstanding commercial paper.</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August 2024, we issued $750.0 million of 4.150 percent fixed-rate notes due in 2027, $1.00 billion of 4.200 percent fixed-rate notes due in 2029, $1.25 billion of 4.600 percent fixed-rate notes due in 2034, $1.25 billion of 5.050 percent fixed-rate notes due in 2054, and</w:t>
      </w:r>
    </w:p>
    <w:p>
      <w:pPr>
        <w:spacing w:after="0" w:line="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$750.0 million of 5.200 percent fixed-rate notes due in 2064, all with interest to be paid semi-annually. We used a portion of the net cash proceeds from the offering of $4.96 billion to fund the acquisition of Morphic and related fees and expenses, with any remaining funds used for general business purposes, including the repayment of outstanding commercial paper.</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2024, we issued $1.00 billion of 4.500 percent fixed-rate notes due in 2027, $1.00 billion of 4.500 percent fixed-rate notes due in 2029, $1.50 billion of 4.700 percent fixed-rate notes due in 2034, $1.50 billion of 5.000 percent fixed-rate notes due in 2054, and $1.50 billion of 5.100 percent fixed-rate notes due in 2064, all with interest to be paid semi-annually. We used, or may be using, the net cash proceeds from the offering of $6.45 billion for general business purposes, including the repayment of outstanding commercial paper, repayment of current maturities of long-term debt, and repayment of the $750.0 million of 5.000 percent fixed-rate notes due in 2026.</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February 2023, we issued $750.0 million of 5.000 percent fixed-rate notes due in 2026, $1.00 billion of 4.700 percent fixed-rate notes due in 2033, $ 1.25 billion of 4.875 percent fixed-rate notes due in 2053, and $1.00 billion of 4.950 percent fixed-rate notes due in 2063, all with interest to be paid semi-annually. We used the net cash proceeds from the offering of $3.96 billion for general business purposes, including the repayment of outstanding commercial paper.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2029</w:t>
            </w:r>
          </w:p>
        </w:tc>
      </w:tr>
      <w:tr>
        <w:trPr>
          <w:trHeight w:val="224"/>
        </w:trPr>
        <w:tc>
          <w:tcPr>
            <w:tcW w:w="3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Maturities on long-term debt</w:t>
            </w:r>
          </w:p>
        </w:tc>
        <w:tc>
          <w:tcPr>
            <w:tcW w:w="186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780.9</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1,529.1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2,515.8</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441.6</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3,076.1</w:t>
            </w:r>
          </w:p>
        </w:tc>
      </w:tr>
    </w:tbl>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converted approximately 5 percent of our long-term fixed-rate notes to floating rates through the use of interest rate swaps. The weighted-average effective borrowing rates based on long-term debt obligations and interest rates at December 31, 2024 and 2023, including the effects of interest rate swaps for hedged debt obligations, were 3.95 percent and 3.37 percent,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24"/>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258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577.5</w:t>
            </w:r>
          </w:p>
        </w:tc>
        <w:tc>
          <w:tcPr>
            <w:tcW w:w="960" w:type="dxa"/>
            <w:vAlign w:val="bottom"/>
            <w:shd w:val="clear" w:color="auto" w:fill="DBDBDB"/>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7"/>
              </w:rPr>
              <w:t>404.2</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323.7</w:t>
            </w: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stock-based compensation expense consists of restricted stock units (RSUs), shareholder value awards (SVAs), performance awards (PAs), and relative value awards (RVAs). We recognize the fair value of stock-based compensation as expense over the requisite service period of the individual grantees, which generally equals the vesting period. We provide newly issued shares of our common stock and treasury stock to satisfy the issuance of RSU, SVA, PA, and RVA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4"/>
        </w:trPr>
        <w:tc>
          <w:tcPr>
            <w:tcW w:w="4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7"/>
              </w:rPr>
              <w:t>645.6</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628.5</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371.1</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135.6</w:t>
            </w:r>
          </w:p>
        </w:tc>
        <w:tc>
          <w:tcPr>
            <w:tcW w:w="4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132.0</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w:t>
            </w:r>
          </w:p>
        </w:tc>
      </w:tr>
    </w:tbl>
    <w:p>
      <w:pPr>
        <w:spacing w:after="0" w:line="16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At December 31, 2024, stock-based compensation awards may be granted under the 2002 Lilly Stock Plan for not more than 48.8 million additional shares.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weighted-average fair values of RSU awards granted during the years ended December 31, 2024, 2023, and 2022 were $749.74, $339.30, and $239.88, respectively. The number of shares ultimately issued for the RSU program remains constant with the number of shares originally granted less forfeitures. Pursuant to this program, 0.9 million, 1.0 million, and 1.0 million shares were granted and approximately 0.3 million, 0.5 million, and 0.8 million shares were issued during the years ended December 31, 2024, 2023, and 2022, respectively. We expect to issue approximately 0.5 million shares in 2025. As of December 31, 2024, the total estimated remaining unrecognized compensation cost related to nonvested RSUs was $485.1 million, which will be amortized over the weighted-average remaining requisite service period of 23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2024, 2023, and 2022 were $1,030.87, $349.63, and $203.88,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2024</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4"/>
        </w:trPr>
        <w:tc>
          <w:tcPr>
            <w:tcW w:w="4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shd w:val="clear" w:color="auto" w:fill="DBDBDB"/>
          </w:tcPr>
          <w:p>
            <w:pPr>
              <w:jc w:val="right"/>
              <w:ind w:right="275"/>
              <w:spacing w:after="0"/>
              <w:rPr>
                <w:sz w:val="20"/>
                <w:szCs w:val="20"/>
                <w:color w:val="auto"/>
              </w:rPr>
            </w:pPr>
            <w:r>
              <w:rPr>
                <w:rFonts w:ascii="Arial" w:cs="Arial" w:eastAsia="Arial" w:hAnsi="Arial"/>
                <w:sz w:val="18"/>
                <w:szCs w:val="18"/>
                <w:b w:val="1"/>
                <w:bCs w:val="1"/>
                <w:color w:val="auto"/>
              </w:rPr>
              <w:t>0.70 %</w:t>
            </w:r>
          </w:p>
        </w:tc>
        <w:tc>
          <w:tcPr>
            <w:tcW w:w="1620" w:type="dxa"/>
            <w:vAlign w:val="bottom"/>
            <w:shd w:val="clear" w:color="auto" w:fill="DBDBDB"/>
          </w:tcPr>
          <w:p>
            <w:pPr>
              <w:jc w:val="right"/>
              <w:ind w:right="275"/>
              <w:spacing w:after="0"/>
              <w:rPr>
                <w:sz w:val="20"/>
                <w:szCs w:val="20"/>
                <w:color w:val="auto"/>
              </w:rPr>
            </w:pPr>
            <w:r>
              <w:rPr>
                <w:rFonts w:ascii="Arial" w:cs="Arial" w:eastAsia="Arial" w:hAnsi="Arial"/>
                <w:sz w:val="18"/>
                <w:szCs w:val="18"/>
                <w:color w:val="auto"/>
              </w:rPr>
              <w:t>1.07 %</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95"/>
              <w:spacing w:after="0"/>
              <w:rPr>
                <w:sz w:val="20"/>
                <w:szCs w:val="20"/>
                <w:color w:val="auto"/>
              </w:rPr>
            </w:pPr>
            <w:r>
              <w:rPr>
                <w:rFonts w:ascii="Arial" w:cs="Arial" w:eastAsia="Arial" w:hAnsi="Arial"/>
                <w:sz w:val="18"/>
                <w:szCs w:val="18"/>
                <w:b w:val="1"/>
                <w:bCs w:val="1"/>
                <w:color w:val="auto"/>
              </w:rPr>
              <w:t>4.26</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4.08</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1.57</w:t>
            </w:r>
          </w:p>
        </w:tc>
      </w:tr>
      <w:tr>
        <w:trPr>
          <w:trHeight w:val="229"/>
        </w:trPr>
        <w:tc>
          <w:tcPr>
            <w:tcW w:w="4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Volatility</w:t>
            </w:r>
          </w:p>
        </w:tc>
        <w:tc>
          <w:tcPr>
            <w:tcW w:w="3840" w:type="dxa"/>
            <w:vAlign w:val="bottom"/>
            <w:shd w:val="clear" w:color="auto" w:fill="DBDBDB"/>
          </w:tcPr>
          <w:p>
            <w:pPr>
              <w:jc w:val="right"/>
              <w:ind w:right="495"/>
              <w:spacing w:after="0"/>
              <w:rPr>
                <w:sz w:val="20"/>
                <w:szCs w:val="20"/>
                <w:color w:val="auto"/>
              </w:rPr>
            </w:pPr>
            <w:r>
              <w:rPr>
                <w:rFonts w:ascii="Arial" w:cs="Arial" w:eastAsia="Arial" w:hAnsi="Arial"/>
                <w:sz w:val="18"/>
                <w:szCs w:val="18"/>
                <w:b w:val="1"/>
                <w:bCs w:val="1"/>
                <w:color w:val="auto"/>
              </w:rPr>
              <w:t>28.64</w:t>
            </w:r>
          </w:p>
        </w:tc>
        <w:tc>
          <w:tcPr>
            <w:tcW w:w="1620" w:type="dxa"/>
            <w:vAlign w:val="bottom"/>
            <w:shd w:val="clear" w:color="auto" w:fill="DBDBDB"/>
          </w:tcPr>
          <w:p>
            <w:pPr>
              <w:jc w:val="right"/>
              <w:ind w:right="495"/>
              <w:spacing w:after="0"/>
              <w:rPr>
                <w:sz w:val="20"/>
                <w:szCs w:val="20"/>
                <w:color w:val="auto"/>
              </w:rPr>
            </w:pPr>
            <w:r>
              <w:rPr>
                <w:rFonts w:ascii="Arial" w:cs="Arial" w:eastAsia="Arial" w:hAnsi="Arial"/>
                <w:sz w:val="18"/>
                <w:szCs w:val="18"/>
                <w:color w:val="auto"/>
              </w:rPr>
              <w:t>29.87</w:t>
            </w:r>
          </w:p>
        </w:tc>
        <w:tc>
          <w:tcPr>
            <w:tcW w:w="128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32.99</w:t>
            </w:r>
          </w:p>
        </w:tc>
      </w:tr>
    </w:tbl>
    <w:p>
      <w:pPr>
        <w:spacing w:after="0" w:line="17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Pursuant to this program, approximately 0.2 million, 0.3 million, and 0.5 million shares were issued during the years ended December 31, 2024, 2023, and 2022, respectively. We expect to issue approximately 0.3 million shares in 2025. As of December 31, 2024, the total estimated remaining unrecognized compensation cost related to nonvested SVAs was $61.4 million, which will be amortized over the weighted-average remaining requisite service period of 21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Performance Award Program</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PAs were granted to officers and management prior to 2024 and are payable in shares of our common stock. The number of PA shares actually issued, if any, varied depending on the achievement of certain pre-established earnings-per-share targets over a two-year period. PA shares were accounted for at fair value based upon the closing stock price on the date of grant and fully vest at the end of the measurement period. The fair values of PAs granted for the years ended December 31, 2023 and 2022 were, $335.86 and $234.93, respectively. Pursuant to this program, approximately 0.4 million, 0.5 million, and 0.7 million shares were issued during the years ended December 31, 2024, 2023, and 2022, respectively. We expect to issue approximately 0.6 million shares in 2025. As of December 31, 2024, there was no remaining unrecognized compensation cost related to PAs, as we discontinued the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Value Award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RVAs are granted to officers and management and are payable in shares of our common stock. The number of shares actually issued, if any, varies depending on the growth of our stock price at the end of the three-year vesting period compared to our peers. We measure the fair value of the RVA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our peers' stock price, and other factors. Similarly, the dividend yield is based on historical experience and our estimate of future dividend yields. The risk-free interest rate is derived from the U.S. Treasury yield curve in effect at the time of grant. The weighted-average fair value of the RVA units granted during the years ended December 31, 2024, 2023 and 2022 were $1,106.40, $397.95, and $230.00, respectively, determined using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2024</w:t>
            </w:r>
          </w:p>
        </w:tc>
        <w:tc>
          <w:tcPr>
            <w:tcW w:w="162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4"/>
        </w:trPr>
        <w:tc>
          <w:tcPr>
            <w:tcW w:w="4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shd w:val="clear" w:color="auto" w:fill="DBDBDB"/>
          </w:tcPr>
          <w:p>
            <w:pPr>
              <w:jc w:val="right"/>
              <w:ind w:right="275"/>
              <w:spacing w:after="0"/>
              <w:rPr>
                <w:sz w:val="20"/>
                <w:szCs w:val="20"/>
                <w:color w:val="auto"/>
              </w:rPr>
            </w:pPr>
            <w:r>
              <w:rPr>
                <w:rFonts w:ascii="Arial" w:cs="Arial" w:eastAsia="Arial" w:hAnsi="Arial"/>
                <w:sz w:val="18"/>
                <w:szCs w:val="18"/>
                <w:b w:val="1"/>
                <w:bCs w:val="1"/>
                <w:color w:val="auto"/>
              </w:rPr>
              <w:t>0.70 %</w:t>
            </w:r>
          </w:p>
        </w:tc>
        <w:tc>
          <w:tcPr>
            <w:tcW w:w="1620" w:type="dxa"/>
            <w:vAlign w:val="bottom"/>
            <w:shd w:val="clear" w:color="auto" w:fill="DBDBDB"/>
          </w:tcPr>
          <w:p>
            <w:pPr>
              <w:jc w:val="right"/>
              <w:ind w:right="275"/>
              <w:spacing w:after="0"/>
              <w:rPr>
                <w:sz w:val="20"/>
                <w:szCs w:val="20"/>
                <w:color w:val="auto"/>
              </w:rPr>
            </w:pPr>
            <w:r>
              <w:rPr>
                <w:rFonts w:ascii="Arial" w:cs="Arial" w:eastAsia="Arial" w:hAnsi="Arial"/>
                <w:sz w:val="18"/>
                <w:szCs w:val="18"/>
                <w:color w:val="auto"/>
              </w:rPr>
              <w:t>1.07 %</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95"/>
              <w:spacing w:after="0"/>
              <w:rPr>
                <w:sz w:val="20"/>
                <w:szCs w:val="20"/>
                <w:color w:val="auto"/>
              </w:rPr>
            </w:pPr>
            <w:r>
              <w:rPr>
                <w:rFonts w:ascii="Arial" w:cs="Arial" w:eastAsia="Arial" w:hAnsi="Arial"/>
                <w:sz w:val="18"/>
                <w:szCs w:val="18"/>
                <w:b w:val="1"/>
                <w:bCs w:val="1"/>
                <w:color w:val="auto"/>
              </w:rPr>
              <w:t>4.26</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4.08</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1.57</w:t>
            </w:r>
          </w:p>
        </w:tc>
      </w:tr>
      <w:tr>
        <w:trPr>
          <w:trHeight w:val="230"/>
        </w:trPr>
        <w:tc>
          <w:tcPr>
            <w:tcW w:w="4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Volatility</w:t>
            </w:r>
          </w:p>
        </w:tc>
        <w:tc>
          <w:tcPr>
            <w:tcW w:w="3840" w:type="dxa"/>
            <w:vAlign w:val="bottom"/>
            <w:shd w:val="clear" w:color="auto" w:fill="DBDBDB"/>
          </w:tcPr>
          <w:p>
            <w:pPr>
              <w:jc w:val="right"/>
              <w:ind w:right="495"/>
              <w:spacing w:after="0"/>
              <w:rPr>
                <w:sz w:val="20"/>
                <w:szCs w:val="20"/>
                <w:color w:val="auto"/>
              </w:rPr>
            </w:pPr>
            <w:r>
              <w:rPr>
                <w:rFonts w:ascii="Arial" w:cs="Arial" w:eastAsia="Arial" w:hAnsi="Arial"/>
                <w:sz w:val="18"/>
                <w:szCs w:val="18"/>
                <w:b w:val="1"/>
                <w:bCs w:val="1"/>
                <w:color w:val="auto"/>
              </w:rPr>
              <w:t>27.69</w:t>
            </w:r>
          </w:p>
        </w:tc>
        <w:tc>
          <w:tcPr>
            <w:tcW w:w="1620" w:type="dxa"/>
            <w:vAlign w:val="bottom"/>
            <w:shd w:val="clear" w:color="auto" w:fill="DBDBDB"/>
          </w:tcPr>
          <w:p>
            <w:pPr>
              <w:jc w:val="right"/>
              <w:ind w:right="495"/>
              <w:spacing w:after="0"/>
              <w:rPr>
                <w:sz w:val="20"/>
                <w:szCs w:val="20"/>
                <w:color w:val="auto"/>
              </w:rPr>
            </w:pPr>
            <w:r>
              <w:rPr>
                <w:rFonts w:ascii="Arial" w:cs="Arial" w:eastAsia="Arial" w:hAnsi="Arial"/>
                <w:sz w:val="18"/>
                <w:szCs w:val="18"/>
                <w:color w:val="auto"/>
              </w:rPr>
              <w:t>31.25</w:t>
            </w:r>
          </w:p>
        </w:tc>
        <w:tc>
          <w:tcPr>
            <w:tcW w:w="128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32.86</w:t>
            </w:r>
          </w:p>
        </w:tc>
      </w:tr>
    </w:tbl>
    <w:p>
      <w:pPr>
        <w:spacing w:after="0" w:line="18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this program, approximately 0.1 million shares were issued during each of the years ended December 31, 2024 and 2023. We expect to issue approximately 0.1 million shares in 2025. As of December 31, 2024, the total estimated remaining unrecognized compensation cost related to nonvested RVAs was $27.5 million, which will be amortized over the weighted-average remaining requisite service period of 22 months.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2024, 2023, and 2022, we repurchased $2.50 billion, $750.0 million, and $1.50 billion, respectively, of shares associated with our share repurchase programs.</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2024, we repurchased $2.50 billion of shares, which completed our $5.00 billion share repurchase program that our board authorized in May 2021. Our board authorized a $15.00 billion share repurchase program in December 2024. No shares were repurchased under this new program as of December 31,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2024 and 2023, no preferred stock was issued.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2024 and 2023, to provide a source of funds to assist us in meeting our obligations under various employee benefit plans. The cost basis of the shares held in the trust was $3.01 billion at both December 31, 2024 and 2023,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14: Income Taxes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global intangible low-taxed income (GILTI) are also recognized for the future tax effects of temporary differences.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6820" w:type="dxa"/>
            <w:vAlign w:val="bottom"/>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3,312.0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3,017.9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2,153.6</w:t>
            </w:r>
          </w:p>
        </w:tc>
      </w:tr>
      <w:tr>
        <w:trPr>
          <w:trHeight w:val="229"/>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1,430.3</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613.0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547.7</w:t>
            </w:r>
          </w:p>
        </w:tc>
      </w:tr>
      <w:tr>
        <w:trPr>
          <w:trHeight w:val="229"/>
        </w:trPr>
        <w:tc>
          <w:tcPr>
            <w:tcW w:w="68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23"/>
        </w:trPr>
        <w:tc>
          <w:tcPr>
            <w:tcW w:w="6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4,773.5</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3,655.2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2,746.8</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(2,178.7)</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(2,369.0)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(1,992.4)</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(473.1)</w:t>
            </w:r>
          </w:p>
        </w:tc>
        <w:tc>
          <w:tcPr>
            <w:tcW w:w="4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(31.3)</w:t>
            </w:r>
          </w:p>
        </w:tc>
        <w:tc>
          <w:tcPr>
            <w:tcW w:w="40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(114.6)</w:t>
            </w:r>
          </w:p>
        </w:tc>
      </w:tr>
      <w:tr>
        <w:trPr>
          <w:trHeight w:val="223"/>
        </w:trPr>
        <w:tc>
          <w:tcPr>
            <w:tcW w:w="682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(2,683.1)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(2,185.2)</w:t>
            </w:r>
          </w:p>
        </w:tc>
      </w:tr>
      <w:tr>
        <w:trPr>
          <w:trHeight w:val="230"/>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2,090.4</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color w:val="auto"/>
              </w:rPr>
              <w:t>1,314.2</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561.6</w:t>
            </w:r>
          </w:p>
        </w:tc>
      </w:tr>
    </w:tbl>
    <w:p>
      <w:pPr>
        <w:spacing w:after="0" w:line="99" w:lineRule="exact"/>
        <w:rPr>
          <w:sz w:val="20"/>
          <w:szCs w:val="20"/>
          <w:color w:val="auto"/>
        </w:rPr>
      </w:pPr>
    </w:p>
    <w:p>
      <w:pPr>
        <w:ind w:left="180" w:right="140" w:hanging="172"/>
        <w:spacing w:after="0" w:line="231" w:lineRule="auto"/>
        <w:tabs>
          <w:tab w:leader="none" w:pos="172"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2024, 2023, and 2022 current tax expense includes $129.9 million, $69.3 million, and $189.5 million of tax benefit, respectively, from utilization of net operating loss and other tax carryforwards.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167" w:lineRule="exact"/>
        <w:rPr>
          <w:sz w:val="20"/>
          <w:szCs w:val="20"/>
          <w:color w:val="auto"/>
        </w:rPr>
      </w:pPr>
    </w:p>
    <w:p>
      <w:pPr>
        <w:jc w:val="both"/>
        <w:ind w:left="8860"/>
        <w:spacing w:after="0"/>
        <w:tabs>
          <w:tab w:leader="none" w:pos="103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intangible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Correlative tax adjustments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loss and other tax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credit carryforwards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Foreign tax redeterminations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Valuation allowances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Earnings of foreign subsidiaries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Financial instruments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tax liabilities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 net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4,598.7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2,997.5</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1,781.4</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1,981.9</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1,775.7</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1,632.5</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1,604.3</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1,031.3</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586.9</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527.2</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577.0</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565.2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521.4</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334.8</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358.6</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r>
      <w:tr>
        <w:trPr>
          <w:trHeight w:val="218"/>
        </w:trPr>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12,423.1</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10,309.2</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(963.7)</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w:t>
            </w:r>
          </w:p>
        </w:tc>
      </w:tr>
      <w:tr>
        <w:trPr>
          <w:trHeight w:val="240"/>
        </w:trPr>
        <w:tc>
          <w:tcPr>
            <w:tcW w:w="3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11,459.4</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9,395.7</w:t>
            </w:r>
          </w:p>
        </w:tc>
      </w:tr>
      <w:tr>
        <w:trPr>
          <w:trHeight w:val="436"/>
        </w:trPr>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(1,176.4)</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(1,338.2)</w:t>
            </w:r>
          </w:p>
        </w:tc>
      </w:tr>
      <w:tr>
        <w:trPr>
          <w:trHeight w:val="229"/>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(773.1)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(796.6)</w:t>
            </w:r>
          </w:p>
        </w:tc>
      </w:tr>
      <w:tr>
        <w:trPr>
          <w:trHeight w:val="229"/>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(611.0)</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(460.6)</w:t>
            </w:r>
          </w:p>
        </w:tc>
      </w:tr>
      <w:tr>
        <w:trPr>
          <w:trHeight w:val="230"/>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(557.6)</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(495.2)</w:t>
            </w:r>
          </w:p>
        </w:tc>
      </w:tr>
      <w:tr>
        <w:trPr>
          <w:trHeight w:val="229"/>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(219.1)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29"/>
        </w:trPr>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(137.3)</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5"/>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r>
      <w:tr>
        <w:trPr>
          <w:trHeight w:val="223"/>
        </w:trPr>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(3,532.7)</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(4,022.3)</w:t>
            </w:r>
          </w:p>
        </w:tc>
      </w:tr>
      <w:tr>
        <w:trPr>
          <w:trHeight w:val="230"/>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7,926.7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5,373.4</w:t>
            </w:r>
          </w:p>
        </w:tc>
      </w:tr>
    </w:tbl>
    <w:p>
      <w:pPr>
        <w:spacing w:after="0" w:line="184" w:lineRule="exact"/>
        <w:rPr>
          <w:sz w:val="20"/>
          <w:szCs w:val="20"/>
          <w:color w:val="auto"/>
        </w:rPr>
      </w:pPr>
    </w:p>
    <w:p>
      <w:pPr>
        <w:sectPr>
          <w:pgSz w:w="11900" w:h="16838" w:orient="portrait"/>
          <w:cols w:equalWidth="0" w:num="2">
            <w:col w:w="7600" w:space="720"/>
            <w:col w:w="2920"/>
          </w:cols>
          <w:pgMar w:left="320" w:top="1039" w:right="339" w:bottom="1440" w:gutter="0" w:footer="0" w:header="0"/>
          <w:type w:val="continuous"/>
        </w:sectPr>
      </w:pPr>
    </w:p>
    <w:p>
      <w:pPr>
        <w:ind w:right="60"/>
        <w:spacing w:after="0" w:line="287"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45"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At December 31, 2024, based on filed tax returns we have tax credit carryforwards and carrybacks of $1.13 billion available to reduce future income taxes; $148.8 million, if unused, will expire in 2026, and $53.6 million, if unused, will expire between 2030 and 2044. The remaining portion of the tax credit carryforwards is related to federal tax credits of $68.0 million, international tax credits of $109.4 million, and state tax credits of $754.8 million, all of which are fully reserved.</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2024, based on filed tax returns we have net operating losses and other carryforwards for U.S. federal and international tax purposes of $1.74 billion available to reduce future income taxes: $5.8 million will expire by 2029, $355.7 million will expire between 2030 and 2044, and $861.5 million of the carryforwards will never expire. The remaining net operating losses and other carryforwards for U.S. federal and international tax purposes of $481.0 million and $32.4 million, respectively, are fully reserved. Deferred tax assets related to state net operating losses and other carryforwards of $282.6 million are fully reserved as of December 31, 2024.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and 2023, prepaid expenses included prepaid taxes of $7.13 billion and $4.26 billion, respectively.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Domestic and Puerto Rican companies contributed approximately 20 percent, 14 percent, and 33 percent for the years ended December 31, 2024, 2023, and 2022, respectively, to consolidated income before income taxes.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3" w:name="page94"/>
    <w:bookmarkEnd w:id="93"/>
    <w:p>
      <w:pPr>
        <w:spacing w:after="0" w:line="259"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2024 and 2023, we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24"/>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payments of income taxes</w:t>
            </w:r>
          </w:p>
        </w:tc>
        <w:tc>
          <w:tcPr>
            <w:tcW w:w="244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9"/>
              <w:spacing w:after="0"/>
              <w:rPr>
                <w:sz w:val="20"/>
                <w:szCs w:val="20"/>
                <w:color w:val="auto"/>
              </w:rPr>
            </w:pPr>
            <w:r>
              <w:rPr>
                <w:rFonts w:ascii="Arial" w:cs="Arial" w:eastAsia="Arial" w:hAnsi="Arial"/>
                <w:sz w:val="18"/>
                <w:szCs w:val="18"/>
                <w:b w:val="1"/>
                <w:bCs w:val="1"/>
                <w:color w:val="auto"/>
              </w:rPr>
              <w:t>6,562.1</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5,558.8</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2,672.9</w:t>
            </w:r>
          </w:p>
        </w:tc>
      </w:tr>
    </w:tbl>
    <w:p>
      <w:pPr>
        <w:spacing w:after="0" w:line="184"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December 31, 2024, we have noncurrent income tax payables of $490.7 million that we expect to pay in 2026 and $3.57 billion that we cannot reasonably estimate the timing of future cash outflows.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reported consolidated income tax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2,662.9</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1,376.5</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1,429.3</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2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Non-deductible acquired IPR&amp;D</w:t>
            </w:r>
            <w:r>
              <w:rPr>
                <w:rFonts w:ascii="Arial" w:cs="Arial" w:eastAsia="Arial" w:hAnsi="Arial"/>
                <w:sz w:val="23"/>
                <w:szCs w:val="23"/>
                <w:color w:val="auto"/>
                <w:vertAlign w:val="superscript"/>
              </w:rPr>
              <w:t>(1)</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566.0</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677.2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Foreign-derived intangible income deduction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(307.0)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29"/>
        </w:trPr>
        <w:tc>
          <w:tcPr>
            <w:tcW w:w="682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International operations, including Puerto Rico</w:t>
            </w:r>
            <w:r>
              <w:rPr>
                <w:rFonts w:ascii="Arial" w:cs="Arial" w:eastAsia="Arial" w:hAnsi="Arial"/>
                <w:sz w:val="23"/>
                <w:szCs w:val="23"/>
                <w:color w:val="auto"/>
                <w:vertAlign w:val="superscript"/>
              </w:rPr>
              <w:t>(2)</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(302.1)</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(299.5)</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General business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(290.6)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30"/>
        </w:trPr>
        <w:tc>
          <w:tcPr>
            <w:tcW w:w="682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(3)</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(184.7)</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Valuation allowance release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(116.4)</w:t>
            </w:r>
          </w:p>
        </w:tc>
      </w:tr>
      <w:tr>
        <w:trPr>
          <w:trHeight w:val="230"/>
        </w:trPr>
        <w:tc>
          <w:tcPr>
            <w:tcW w:w="6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(30.2)</w:t>
            </w:r>
          </w:p>
        </w:tc>
        <w:tc>
          <w:tcPr>
            <w:tcW w:w="40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color w:val="auto"/>
              </w:rPr>
              <w:t>26.4</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2,090.4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1,314.2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r>
    </w:tbl>
    <w:p>
      <w:pPr>
        <w:spacing w:after="0" w:line="99" w:lineRule="exact"/>
        <w:rPr>
          <w:sz w:val="20"/>
          <w:szCs w:val="20"/>
          <w:color w:val="auto"/>
        </w:rPr>
      </w:pPr>
    </w:p>
    <w:p>
      <w:pPr>
        <w:ind w:left="180" w:right="680" w:hanging="172"/>
        <w:spacing w:after="0" w:line="229" w:lineRule="auto"/>
        <w:tabs>
          <w:tab w:leader="none" w:pos="15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Non-deductible acquired IPR&amp;D was primarily related to the acquisitions of Morphic in 2024, and DICE, Versanis, and Emergence in 2023. See Note 3 for additional information related to acquisitions.</w:t>
      </w:r>
    </w:p>
    <w:p>
      <w:pPr>
        <w:spacing w:after="0" w:line="13"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2"/>
          <w:szCs w:val="12"/>
          <w:color w:val="auto"/>
        </w:rPr>
        <w:t>Includes the impact of GILTI tax, Puerto Rico Excise Tax (for 2022), and other U.S. taxation of foreign income.</w:t>
      </w:r>
    </w:p>
    <w:p>
      <w:pPr>
        <w:spacing w:after="0" w:line="1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2"/>
          <w:szCs w:val="12"/>
          <w:color w:val="auto"/>
        </w:rPr>
        <w:t>Includes excess tax benefits from stock-based compensation and non-deductible stock-based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3,395.0</w:t>
            </w:r>
          </w:p>
        </w:tc>
        <w:tc>
          <w:tcPr>
            <w:tcW w:w="40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2,987.0</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2,798.3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694.2</w:t>
            </w:r>
          </w:p>
        </w:tc>
        <w:tc>
          <w:tcPr>
            <w:tcW w:w="4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364.3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274.2</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41.7</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(33.4)</w:t>
            </w:r>
          </w:p>
        </w:tc>
        <w:tc>
          <w:tcPr>
            <w:tcW w:w="40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(49.7)</w:t>
            </w:r>
          </w:p>
        </w:tc>
        <w:tc>
          <w:tcPr>
            <w:tcW w:w="40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color w:val="auto"/>
              </w:rPr>
              <w:t>30.7</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3,975.8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3,395.0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unrecognized tax benefits that, if recognized, would affect our effective tax rate was $2.62 billion at December 31, 2024.</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2014.</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U.S. examination of tax years 2019-2021 began in 2023 and remains ongoing. For tax years 2016-2018, we are pursuing competent authority assistance through the Mutual Agreement Procedure (MAP) process for the pricing of certain intercompany transactions. The resolution of both audit periods will likely extend beyond the next 12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ind w:right="120"/>
        <w:spacing w:after="0" w:line="268" w:lineRule="auto"/>
        <w:rPr>
          <w:sz w:val="20"/>
          <w:szCs w:val="20"/>
          <w:color w:val="auto"/>
        </w:rPr>
      </w:pPr>
      <w:r>
        <w:rPr>
          <w:rFonts w:ascii="Arial" w:cs="Arial" w:eastAsia="Arial" w:hAnsi="Arial"/>
          <w:sz w:val="18"/>
          <w:szCs w:val="18"/>
          <w:color w:val="auto"/>
        </w:rPr>
        <w:t>Interest and penalties related to unrecognized tax benefits are recognized in income tax expense and were not material for the years ended December 31, 2024, 2023, and 2022. Our accrued interest and penalties related to unrecognized tax benefits were $594.2 million and $414.9 million at December 31, 2024 and 2023,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Benefits</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use a measurement date of December 31 to determine the change in benefit obligation, change in plan assets, funded status, and amounts recognized in the consolidated balance sheets at December 31 for our defined benefit pension and retiree health benefit plans, which were as follows:</w:t>
      </w:r>
    </w:p>
    <w:p>
      <w:pPr>
        <w:spacing w:after="0" w:line="100"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880" w:type="dxa"/>
            <w:vAlign w:val="bottom"/>
          </w:tcPr>
          <w:p>
            <w:pPr>
              <w:jc w:val="center"/>
              <w:ind w:left="728"/>
              <w:spacing w:after="0"/>
              <w:rPr>
                <w:sz w:val="20"/>
                <w:szCs w:val="20"/>
                <w:color w:val="auto"/>
              </w:rPr>
            </w:pPr>
            <w:r>
              <w:rPr>
                <w:rFonts w:ascii="Arial" w:cs="Arial" w:eastAsia="Arial" w:hAnsi="Arial"/>
                <w:sz w:val="14"/>
                <w:szCs w:val="14"/>
                <w:b w:val="1"/>
                <w:bCs w:val="1"/>
                <w:color w:val="auto"/>
              </w:rPr>
              <w:t>Defined Benefit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jc w:val="center"/>
              <w:ind w:right="768"/>
              <w:spacing w:after="0"/>
              <w:rPr>
                <w:sz w:val="20"/>
                <w:szCs w:val="20"/>
                <w:color w:val="auto"/>
              </w:rPr>
            </w:pPr>
            <w:r>
              <w:rPr>
                <w:rFonts w:ascii="Arial" w:cs="Arial" w:eastAsia="Arial" w:hAnsi="Arial"/>
                <w:sz w:val="14"/>
                <w:szCs w:val="14"/>
                <w:b w:val="1"/>
                <w:bCs w:val="1"/>
                <w:color w:val="auto"/>
              </w:rPr>
              <w:t>Retiree Health</w:t>
            </w:r>
          </w:p>
        </w:tc>
      </w:tr>
      <w:tr>
        <w:trPr>
          <w:trHeight w:val="185"/>
        </w:trPr>
        <w:tc>
          <w:tcPr>
            <w:tcW w:w="18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Benefit Plans</w:t>
            </w:r>
          </w:p>
        </w:tc>
      </w:tr>
      <w:tr>
        <w:trPr>
          <w:trHeight w:val="194"/>
        </w:trPr>
        <w:tc>
          <w:tcPr>
            <w:tcW w:w="18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8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benefit obligation: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 obligation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(gain)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right="300" w:hanging="12"/>
        <w:spacing w:after="0" w:line="273" w:lineRule="auto"/>
        <w:rPr>
          <w:sz w:val="20"/>
          <w:szCs w:val="20"/>
          <w:color w:val="auto"/>
        </w:rPr>
      </w:pPr>
      <w:r>
        <w:rPr>
          <w:rFonts w:ascii="Arial" w:cs="Arial" w:eastAsia="Arial" w:hAnsi="Arial"/>
          <w:sz w:val="18"/>
          <w:szCs w:val="18"/>
          <w:color w:val="auto"/>
        </w:rPr>
        <w:t>Foreign currency exchange rate changes and other adjustments Benefit obligation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Change in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right="300" w:hanging="12"/>
        <w:spacing w:after="0" w:line="276" w:lineRule="auto"/>
        <w:rPr>
          <w:sz w:val="20"/>
          <w:szCs w:val="20"/>
          <w:color w:val="auto"/>
        </w:rPr>
      </w:pPr>
      <w:r>
        <w:rPr>
          <w:rFonts w:ascii="Arial" w:cs="Arial" w:eastAsia="Arial" w:hAnsi="Arial"/>
          <w:sz w:val="18"/>
          <w:szCs w:val="18"/>
          <w:color w:val="auto"/>
        </w:rPr>
        <w:t>Foreign currency exchange rate changes and other adjustments Fair value of plan assets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0628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actuarial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recognized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recognized in the consolidated balance sheets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06285"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other comprehensive loss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14,257.9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13,222.0</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1,310.3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1,258.8</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338.7</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290.4</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661.7</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648.2</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62.1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(1,083.6)</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590.5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(634.3)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0"/>
        </w:trPr>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13,415.4</w:t>
            </w: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14,257.9</w:t>
            </w:r>
          </w:p>
        </w:tc>
        <w:tc>
          <w:tcPr>
            <w:tcW w:w="4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1,222.7</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1,310.3</w:t>
            </w:r>
          </w:p>
        </w:tc>
      </w:tr>
      <w:tr>
        <w:trPr>
          <w:trHeight w:val="436"/>
        </w:trPr>
        <w:tc>
          <w:tcPr>
            <w:tcW w:w="3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13,708.7</w:t>
            </w:r>
          </w:p>
        </w:tc>
        <w:tc>
          <w:tcPr>
            <w:tcW w:w="3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13,195.8</w:t>
            </w:r>
          </w:p>
        </w:tc>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2,580.3</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2,492.5</w:t>
            </w:r>
          </w:p>
        </w:tc>
      </w:tr>
      <w:tr>
        <w:trPr>
          <w:trHeight w:val="229"/>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583.2</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881.9</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58.5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115.3</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120.6</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(634.3)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120.9</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13,658.4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13,708.7</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2,565.8</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2,580.3</w:t>
            </w:r>
          </w:p>
        </w:tc>
      </w:tr>
      <w:tr>
        <w:trPr>
          <w:trHeight w:val="218"/>
        </w:trPr>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243.0</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w:t>
            </w: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1,343.1</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1,270.0</w:t>
            </w:r>
          </w:p>
        </w:tc>
      </w:tr>
      <w:tr>
        <w:trPr>
          <w:trHeight w:val="230"/>
        </w:trPr>
        <w:tc>
          <w:tcPr>
            <w:tcW w:w="3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2,662.9</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3,357.9</w:t>
            </w:r>
          </w:p>
        </w:tc>
        <w:tc>
          <w:tcPr>
            <w:tcW w:w="4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149.3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2,910.0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2,815.1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1,488.7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r>
      <w:tr>
        <w:trPr>
          <w:trHeight w:val="697"/>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1,481.6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810.6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1,484.6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1,427.7</w:t>
            </w:r>
          </w:p>
        </w:tc>
      </w:tr>
      <w:tr>
        <w:trPr>
          <w:trHeight w:val="229"/>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(1,167.2)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(1,289.4)</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35"/>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2,667.0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3,364.3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145.6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2,910.0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2,815.1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1,488.7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r>
    </w:tbl>
    <w:p>
      <w:pPr>
        <w:spacing w:after="0" w:line="184" w:lineRule="exact"/>
        <w:rPr>
          <w:sz w:val="20"/>
          <w:szCs w:val="20"/>
          <w:color w:val="auto"/>
        </w:rPr>
      </w:pPr>
    </w:p>
    <w:p>
      <w:pPr>
        <w:sectPr>
          <w:pgSz w:w="11900" w:h="16838" w:orient="portrait"/>
          <w:cols w:equalWidth="0" w:num="2">
            <w:col w:w="5540" w:space="200"/>
            <w:col w:w="5480"/>
          </w:cols>
          <w:pgMar w:left="320" w:top="1039" w:right="359" w:bottom="1440" w:gutter="0" w:footer="0" w:header="0"/>
          <w:type w:val="continuous"/>
        </w:sectPr>
      </w:pPr>
    </w:p>
    <w:p>
      <w:pPr>
        <w:spacing w:after="0" w:line="259" w:lineRule="auto"/>
        <w:rPr>
          <w:sz w:val="20"/>
          <w:szCs w:val="20"/>
          <w:color w:val="auto"/>
        </w:rPr>
      </w:pPr>
      <w:r>
        <w:rPr>
          <w:rFonts w:ascii="Arial" w:cs="Arial" w:eastAsia="Arial" w:hAnsi="Arial"/>
          <w:sz w:val="18"/>
          <w:szCs w:val="18"/>
          <w:color w:val="auto"/>
        </w:rPr>
        <w:t>The unrecognized net actuarial (gain) loss and unrecognized prior service (benefit) cost have not yet been recognized in net periodic pension costs and were included in accumulated other comprehensive loss at December 31, 2024 and 2023. Unrecognized net actuarial (gain) loss for the U.S. and Puerto Rico defined benefit pension and retiree health benefit plans are amortized over the average remaining service period of active employees in the plan. The amortization of actuarial (gains) losses for U.S. and Puerto Rico defined benefit pension plans are determined by using a 10% corridor of the greater of the market related value of assets or the projected benefit obligations.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$930.1 million decrease in benefit obligation in 2024 was primarily driven by increases in the discount rates. The $1.09 billion increase in benefit obligation in 2023 was primarily driven by decreases in the discount rates.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The following represents our weighted-average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rPr>
              <w:t>Defined Benefit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left="677"/>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4"/>
                <w:szCs w:val="14"/>
                <w:b w:val="1"/>
                <w:bCs w:val="1"/>
                <w:color w:val="auto"/>
              </w:rPr>
              <w:t>Pension Plans</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2024</w:t>
            </w: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r>
      <w:tr>
        <w:trPr>
          <w:trHeight w:val="170"/>
        </w:trPr>
        <w:tc>
          <w:tcPr>
            <w:tcW w:w="5620" w:type="dxa"/>
            <w:vAlign w:val="bottom"/>
            <w:shd w:val="clear" w:color="auto" w:fill="DBDBDB"/>
          </w:tcPr>
          <w:p>
            <w:pPr>
              <w:ind w:left="20"/>
              <w:spacing w:after="0" w:line="170" w:lineRule="exact"/>
              <w:rPr>
                <w:sz w:val="20"/>
                <w:szCs w:val="20"/>
                <w:color w:val="auto"/>
              </w:rPr>
            </w:pPr>
            <w:r>
              <w:rPr>
                <w:rFonts w:ascii="Arial" w:cs="Arial" w:eastAsia="Arial" w:hAnsi="Arial"/>
                <w:sz w:val="18"/>
                <w:szCs w:val="18"/>
                <w:color w:val="auto"/>
              </w:rPr>
              <w:t>Weighted-average assumptions used to determine net periodic</w:t>
            </w:r>
          </w:p>
        </w:tc>
        <w:tc>
          <w:tcPr>
            <w:tcW w:w="104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r>
      <w:tr>
        <w:trPr>
          <w:trHeight w:val="243"/>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benefit costs:</w:t>
            </w:r>
          </w:p>
        </w:tc>
        <w:tc>
          <w:tcPr>
            <w:tcW w:w="104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4.8 %</w:t>
            </w:r>
          </w:p>
        </w:tc>
        <w:tc>
          <w:tcPr>
            <w:tcW w:w="960" w:type="dxa"/>
            <w:vAlign w:val="bottom"/>
          </w:tcPr>
          <w:p>
            <w:pPr>
              <w:ind w:left="280"/>
              <w:spacing w:after="0"/>
              <w:rPr>
                <w:sz w:val="20"/>
                <w:szCs w:val="20"/>
                <w:color w:val="auto"/>
              </w:rPr>
            </w:pPr>
            <w:r>
              <w:rPr>
                <w:rFonts w:ascii="Arial" w:cs="Arial" w:eastAsia="Arial" w:hAnsi="Arial"/>
                <w:sz w:val="18"/>
                <w:szCs w:val="18"/>
                <w:color w:val="auto"/>
              </w:rPr>
              <w:t>5.1 %</w:t>
            </w:r>
          </w:p>
        </w:tc>
        <w:tc>
          <w:tcPr>
            <w:tcW w:w="720" w:type="dxa"/>
            <w:vAlign w:val="bottom"/>
          </w:tcPr>
          <w:p>
            <w:pPr>
              <w:ind w:left="220"/>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w w:val="99"/>
              </w:rPr>
              <w:t>5.0 %</w:t>
            </w:r>
          </w:p>
        </w:tc>
        <w:tc>
          <w:tcPr>
            <w:tcW w:w="1080" w:type="dxa"/>
            <w:vAlign w:val="bottom"/>
          </w:tcPr>
          <w:p>
            <w:pPr>
              <w:ind w:left="440"/>
              <w:spacing w:after="0"/>
              <w:rPr>
                <w:sz w:val="20"/>
                <w:szCs w:val="20"/>
                <w:color w:val="auto"/>
              </w:rPr>
            </w:pPr>
            <w:r>
              <w:rPr>
                <w:rFonts w:ascii="Arial" w:cs="Arial" w:eastAsia="Arial" w:hAnsi="Arial"/>
                <w:sz w:val="18"/>
                <w:szCs w:val="18"/>
                <w:color w:val="auto"/>
              </w:rPr>
              <w:t>5.2 %</w:t>
            </w:r>
          </w:p>
        </w:tc>
        <w:tc>
          <w:tcPr>
            <w:tcW w:w="760" w:type="dxa"/>
            <w:vAlign w:val="bottom"/>
          </w:tcPr>
          <w:p>
            <w:pPr>
              <w:ind w:left="280"/>
              <w:spacing w:after="0"/>
              <w:rPr>
                <w:sz w:val="20"/>
                <w:szCs w:val="20"/>
                <w:color w:val="auto"/>
              </w:rPr>
            </w:pPr>
            <w:r>
              <w:rPr>
                <w:rFonts w:ascii="Arial" w:cs="Arial" w:eastAsia="Arial" w:hAnsi="Arial"/>
                <w:sz w:val="18"/>
                <w:szCs w:val="18"/>
                <w:color w:val="auto"/>
                <w:w w:val="99"/>
              </w:rPr>
              <w:t>3.0 %</w:t>
            </w:r>
          </w:p>
        </w:tc>
      </w:tr>
      <w:tr>
        <w:trPr>
          <w:trHeight w:val="229"/>
        </w:trPr>
        <w:tc>
          <w:tcPr>
            <w:tcW w:w="5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BDBDB"/>
          </w:tcPr>
          <w:p>
            <w:pPr>
              <w:ind w:left="420"/>
              <w:spacing w:after="0"/>
              <w:rPr>
                <w:sz w:val="20"/>
                <w:szCs w:val="20"/>
                <w:color w:val="auto"/>
              </w:rPr>
            </w:pPr>
            <w:r>
              <w:rPr>
                <w:rFonts w:ascii="Arial" w:cs="Arial" w:eastAsia="Arial" w:hAnsi="Arial"/>
                <w:sz w:val="18"/>
                <w:szCs w:val="18"/>
                <w:b w:val="1"/>
                <w:bCs w:val="1"/>
                <w:color w:val="auto"/>
              </w:rPr>
              <w:t>4.3</w:t>
            </w:r>
          </w:p>
        </w:tc>
        <w:tc>
          <w:tcPr>
            <w:tcW w:w="9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8.1</w:t>
            </w:r>
          </w:p>
        </w:tc>
        <w:tc>
          <w:tcPr>
            <w:tcW w:w="960" w:type="dxa"/>
            <w:vAlign w:val="bottom"/>
          </w:tcPr>
          <w:p>
            <w:pPr>
              <w:ind w:left="280"/>
              <w:spacing w:after="0"/>
              <w:rPr>
                <w:sz w:val="20"/>
                <w:szCs w:val="20"/>
                <w:color w:val="auto"/>
              </w:rPr>
            </w:pPr>
            <w:r>
              <w:rPr>
                <w:rFonts w:ascii="Arial" w:cs="Arial" w:eastAsia="Arial" w:hAnsi="Arial"/>
                <w:sz w:val="18"/>
                <w:szCs w:val="18"/>
                <w:color w:val="auto"/>
              </w:rPr>
              <w:t>8.1</w:t>
            </w:r>
          </w:p>
        </w:tc>
        <w:tc>
          <w:tcPr>
            <w:tcW w:w="720" w:type="dxa"/>
            <w:vAlign w:val="bottom"/>
          </w:tcPr>
          <w:p>
            <w:pPr>
              <w:ind w:left="2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rPr>
              <w:t>7.3</w:t>
            </w:r>
          </w:p>
        </w:tc>
        <w:tc>
          <w:tcPr>
            <w:tcW w:w="1080" w:type="dxa"/>
            <w:vAlign w:val="bottom"/>
          </w:tcPr>
          <w:p>
            <w:pPr>
              <w:ind w:left="440"/>
              <w:spacing w:after="0"/>
              <w:rPr>
                <w:sz w:val="20"/>
                <w:szCs w:val="20"/>
                <w:color w:val="auto"/>
              </w:rPr>
            </w:pPr>
            <w:r>
              <w:rPr>
                <w:rFonts w:ascii="Arial" w:cs="Arial" w:eastAsia="Arial" w:hAnsi="Arial"/>
                <w:sz w:val="18"/>
                <w:szCs w:val="18"/>
                <w:color w:val="auto"/>
              </w:rPr>
              <w:t>7.3</w:t>
            </w:r>
          </w:p>
        </w:tc>
        <w:tc>
          <w:tcPr>
            <w:tcW w:w="760" w:type="dxa"/>
            <w:vAlign w:val="bottom"/>
          </w:tcPr>
          <w:p>
            <w:pPr>
              <w:ind w:left="280"/>
              <w:spacing w:after="0"/>
              <w:rPr>
                <w:sz w:val="20"/>
                <w:szCs w:val="20"/>
                <w:color w:val="auto"/>
              </w:rPr>
            </w:pPr>
            <w:r>
              <w:rPr>
                <w:rFonts w:ascii="Arial" w:cs="Arial" w:eastAsia="Arial" w:hAnsi="Arial"/>
                <w:sz w:val="18"/>
                <w:szCs w:val="18"/>
                <w:color w:val="auto"/>
              </w:rPr>
              <w:t>7.3</w:t>
            </w:r>
          </w:p>
        </w:tc>
      </w:tr>
      <w:tr>
        <w:trPr>
          <w:trHeight w:val="176"/>
        </w:trPr>
        <w:tc>
          <w:tcPr>
            <w:tcW w:w="56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Weighted-average assumptions used to determine benefit obligation</w:t>
            </w:r>
          </w:p>
        </w:tc>
        <w:tc>
          <w:tcPr>
            <w:tcW w:w="10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r>
      <w:tr>
        <w:trPr>
          <w:trHeight w:val="243"/>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 of December 31:</w:t>
            </w:r>
          </w:p>
        </w:tc>
        <w:tc>
          <w:tcPr>
            <w:tcW w:w="104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040" w:type="dxa"/>
            <w:vAlign w:val="bottom"/>
          </w:tcPr>
          <w:p>
            <w:pPr>
              <w:ind w:left="420"/>
              <w:spacing w:after="0"/>
              <w:rPr>
                <w:sz w:val="20"/>
                <w:szCs w:val="20"/>
                <w:color w:val="auto"/>
              </w:rPr>
            </w:pPr>
            <w:r>
              <w:rPr>
                <w:rFonts w:ascii="Arial" w:cs="Arial" w:eastAsia="Arial" w:hAnsi="Arial"/>
                <w:sz w:val="18"/>
                <w:szCs w:val="18"/>
                <w:b w:val="1"/>
                <w:bCs w:val="1"/>
                <w:color w:val="auto"/>
              </w:rPr>
              <w:t>5.5 %</w:t>
            </w:r>
          </w:p>
        </w:tc>
        <w:tc>
          <w:tcPr>
            <w:tcW w:w="960" w:type="dxa"/>
            <w:vAlign w:val="bottom"/>
          </w:tcPr>
          <w:p>
            <w:pPr>
              <w:ind w:left="280"/>
              <w:spacing w:after="0"/>
              <w:rPr>
                <w:sz w:val="20"/>
                <w:szCs w:val="20"/>
                <w:color w:val="auto"/>
              </w:rPr>
            </w:pPr>
            <w:r>
              <w:rPr>
                <w:rFonts w:ascii="Arial" w:cs="Arial" w:eastAsia="Arial" w:hAnsi="Arial"/>
                <w:sz w:val="18"/>
                <w:szCs w:val="18"/>
                <w:color w:val="auto"/>
              </w:rPr>
              <w:t>4.8 %</w:t>
            </w:r>
          </w:p>
        </w:tc>
        <w:tc>
          <w:tcPr>
            <w:tcW w:w="720" w:type="dxa"/>
            <w:vAlign w:val="bottom"/>
          </w:tcPr>
          <w:p>
            <w:pPr>
              <w:ind w:left="220"/>
              <w:spacing w:after="0"/>
              <w:rPr>
                <w:sz w:val="20"/>
                <w:szCs w:val="20"/>
                <w:color w:val="auto"/>
              </w:rPr>
            </w:pPr>
            <w:r>
              <w:rPr>
                <w:rFonts w:ascii="Arial" w:cs="Arial" w:eastAsia="Arial" w:hAnsi="Arial"/>
                <w:sz w:val="18"/>
                <w:szCs w:val="18"/>
                <w:color w:val="auto"/>
              </w:rPr>
              <w:t>5.1 %</w:t>
            </w:r>
          </w:p>
        </w:tc>
        <w:tc>
          <w:tcPr>
            <w:tcW w:w="14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b w:val="1"/>
                <w:bCs w:val="1"/>
                <w:color w:val="auto"/>
                <w:w w:val="99"/>
              </w:rPr>
              <w:t>5.7 %</w:t>
            </w:r>
          </w:p>
        </w:tc>
        <w:tc>
          <w:tcPr>
            <w:tcW w:w="1080" w:type="dxa"/>
            <w:vAlign w:val="bottom"/>
          </w:tcPr>
          <w:p>
            <w:pPr>
              <w:ind w:left="440"/>
              <w:spacing w:after="0"/>
              <w:rPr>
                <w:sz w:val="20"/>
                <w:szCs w:val="20"/>
                <w:color w:val="auto"/>
              </w:rPr>
            </w:pPr>
            <w:r>
              <w:rPr>
                <w:rFonts w:ascii="Arial" w:cs="Arial" w:eastAsia="Arial" w:hAnsi="Arial"/>
                <w:sz w:val="18"/>
                <w:szCs w:val="18"/>
                <w:color w:val="auto"/>
              </w:rPr>
              <w:t>5.0 %</w:t>
            </w:r>
          </w:p>
        </w:tc>
        <w:tc>
          <w:tcPr>
            <w:tcW w:w="760" w:type="dxa"/>
            <w:vAlign w:val="bottom"/>
          </w:tcPr>
          <w:p>
            <w:pPr>
              <w:ind w:left="280"/>
              <w:spacing w:after="0"/>
              <w:rPr>
                <w:sz w:val="20"/>
                <w:szCs w:val="20"/>
                <w:color w:val="auto"/>
              </w:rPr>
            </w:pPr>
            <w:r>
              <w:rPr>
                <w:rFonts w:ascii="Arial" w:cs="Arial" w:eastAsia="Arial" w:hAnsi="Arial"/>
                <w:sz w:val="18"/>
                <w:szCs w:val="18"/>
                <w:color w:val="auto"/>
                <w:w w:val="99"/>
              </w:rPr>
              <w:t>5.2 %</w:t>
            </w:r>
          </w:p>
        </w:tc>
      </w:tr>
      <w:tr>
        <w:trPr>
          <w:trHeight w:val="229"/>
        </w:trPr>
        <w:tc>
          <w:tcPr>
            <w:tcW w:w="56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Rate of compensation increase</w:t>
            </w:r>
          </w:p>
        </w:tc>
        <w:tc>
          <w:tcPr>
            <w:tcW w:w="1040" w:type="dxa"/>
            <w:vAlign w:val="bottom"/>
            <w:shd w:val="clear" w:color="auto" w:fill="DBDBDB"/>
          </w:tcPr>
          <w:p>
            <w:pPr>
              <w:ind w:left="420"/>
              <w:spacing w:after="0"/>
              <w:rPr>
                <w:sz w:val="20"/>
                <w:szCs w:val="20"/>
                <w:color w:val="auto"/>
              </w:rPr>
            </w:pPr>
            <w:r>
              <w:rPr>
                <w:rFonts w:ascii="Arial" w:cs="Arial" w:eastAsia="Arial" w:hAnsi="Arial"/>
                <w:sz w:val="18"/>
                <w:szCs w:val="18"/>
                <w:b w:val="1"/>
                <w:bCs w:val="1"/>
                <w:color w:val="auto"/>
              </w:rPr>
              <w:t>4.0</w:t>
            </w:r>
          </w:p>
        </w:tc>
        <w:tc>
          <w:tcPr>
            <w:tcW w:w="960" w:type="dxa"/>
            <w:vAlign w:val="bottom"/>
            <w:shd w:val="clear" w:color="auto" w:fill="DBDBDB"/>
          </w:tcPr>
          <w:p>
            <w:pPr>
              <w:ind w:left="28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return on plan assets, we consider many factors, with a primary analysis of current and projected market conditions; asset returns and asset allocations; and the views of leading financial advisers and economists. In U.S. and Puerto Rico, the expected return on plan assets uses a market-related value of assets. For U.S. dollar denominated investment grade debt securities and derivatives, the market-related value of assets is the actual fair value. For all other asset categories, the market-related value of assets uses a method that recognizes investment gains and losses arising from the difference between expected and actual returns on plan assets over a five-year period.</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may also review our historical assumptions compared with actual results, as well as the assumptions and trend rates utilized by similar plans, where applicable.</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which reflect expected future service,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2028</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2029</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2030 - 2034</w:t>
            </w:r>
          </w:p>
        </w:tc>
      </w:tr>
      <w:tr>
        <w:trPr>
          <w:trHeight w:val="224"/>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677.0</w:t>
            </w:r>
          </w:p>
        </w:tc>
        <w:tc>
          <w:tcPr>
            <w:tcW w:w="3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694.4</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721.4</w:t>
            </w:r>
          </w:p>
        </w:tc>
        <w:tc>
          <w:tcPr>
            <w:tcW w:w="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746.9</w:t>
            </w:r>
          </w:p>
        </w:tc>
        <w:tc>
          <w:tcPr>
            <w:tcW w:w="3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778.4</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4,388.7</w:t>
            </w:r>
          </w:p>
        </w:tc>
      </w:tr>
      <w:tr>
        <w:trPr>
          <w:trHeight w:val="239"/>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93.6</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94.4</w:t>
            </w:r>
          </w:p>
        </w:tc>
        <w:tc>
          <w:tcPr>
            <w:tcW w:w="3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95.1</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r>
      <w:tr>
        <w:trPr>
          <w:trHeight w:val="224"/>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Projected benefit obligation</w:t>
            </w:r>
          </w:p>
        </w:tc>
        <w:tc>
          <w:tcPr>
            <w:tcW w:w="340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b w:val="1"/>
                <w:bCs w:val="1"/>
                <w:color w:val="auto"/>
              </w:rPr>
              <w:t>2,297.0</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2,395.3</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1,058.4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1,035.4</w:t>
            </w:r>
          </w:p>
        </w:tc>
      </w:tr>
    </w:tbl>
    <w:p>
      <w:pPr>
        <w:spacing w:after="0" w:line="16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85"/>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6"/>
                <w:szCs w:val="16"/>
                <w:color w:val="auto"/>
              </w:rPr>
            </w:pPr>
          </w:p>
        </w:tc>
      </w:tr>
      <w:tr>
        <w:trPr>
          <w:trHeight w:val="195"/>
        </w:trPr>
        <w:tc>
          <w:tcPr>
            <w:tcW w:w="5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r>
      <w:tr>
        <w:trPr>
          <w:trHeight w:val="224"/>
        </w:trPr>
        <w:tc>
          <w:tcPr>
            <w:tcW w:w="5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BDBDB"/>
          </w:tcPr>
          <w:p>
            <w:pPr>
              <w:jc w:val="right"/>
              <w:ind w:right="21"/>
              <w:spacing w:after="0"/>
              <w:rPr>
                <w:sz w:val="20"/>
                <w:szCs w:val="20"/>
                <w:color w:val="auto"/>
              </w:rPr>
            </w:pPr>
            <w:r>
              <w:rPr>
                <w:rFonts w:ascii="Arial" w:cs="Arial" w:eastAsia="Arial" w:hAnsi="Arial"/>
                <w:sz w:val="18"/>
                <w:szCs w:val="18"/>
                <w:b w:val="1"/>
                <w:bCs w:val="1"/>
                <w:color w:val="auto"/>
              </w:rPr>
              <w:t>1,655.8</w:t>
            </w:r>
          </w:p>
        </w:tc>
        <w:tc>
          <w:tcPr>
            <w:tcW w:w="54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BDBDB"/>
          </w:tcPr>
          <w:p>
            <w:pPr>
              <w:jc w:val="right"/>
              <w:ind w:right="21"/>
              <w:spacing w:after="0"/>
              <w:rPr>
                <w:sz w:val="20"/>
                <w:szCs w:val="20"/>
                <w:color w:val="auto"/>
              </w:rPr>
            </w:pPr>
            <w:r>
              <w:rPr>
                <w:rFonts w:ascii="Arial" w:cs="Arial" w:eastAsia="Arial" w:hAnsi="Arial"/>
                <w:sz w:val="18"/>
                <w:szCs w:val="18"/>
                <w:b w:val="1"/>
                <w:bCs w:val="1"/>
                <w:color w:val="auto"/>
              </w:rPr>
              <w:t>141.5</w:t>
            </w:r>
          </w:p>
        </w:tc>
        <w:tc>
          <w:tcPr>
            <w:tcW w:w="52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w:t>
            </w:r>
          </w:p>
        </w:tc>
      </w:tr>
      <w:tr>
        <w:trPr>
          <w:trHeight w:val="247"/>
        </w:trPr>
        <w:tc>
          <w:tcPr>
            <w:tcW w:w="59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595.0</w:t>
            </w: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total accumulated benefit obligation for our defined benefit pension plans was $12.18 billion and $12.74 billion at December 31, 2024 and 2023,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Net periodic (benefit) cost included the following components: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4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5"/>
        </w:trPr>
        <w:tc>
          <w:tcPr>
            <w:tcW w:w="4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r>
      <w:tr>
        <w:trPr>
          <w:trHeight w:val="224"/>
        </w:trPr>
        <w:tc>
          <w:tcPr>
            <w:tcW w:w="4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338.7</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290.4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35.4</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42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661.7</w:t>
            </w:r>
          </w:p>
        </w:tc>
        <w:tc>
          <w:tcPr>
            <w:tcW w:w="30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648.2</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62.1</w:t>
            </w: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61.3</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(1,112.2)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(192.3)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29"/>
        </w:trPr>
        <w:tc>
          <w:tcPr>
            <w:tcW w:w="42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2.4</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(5.6)</w:t>
            </w:r>
          </w:p>
        </w:tc>
        <w:tc>
          <w:tcPr>
            <w:tcW w:w="3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422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Recognized actuarial (gain)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125.1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122.0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2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15.4</w:t>
            </w:r>
          </w:p>
        </w:tc>
        <w:tc>
          <w:tcPr>
            <w:tcW w:w="30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BDBDB"/>
          </w:tcPr>
          <w:p>
            <w:pPr>
              <w:jc w:val="right"/>
              <w:ind w:right="53"/>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(103.0)</w:t>
            </w:r>
          </w:p>
        </w:tc>
        <w:tc>
          <w:tcPr>
            <w:tcW w:w="30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(147.7)</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554.5</w:t>
            </w:r>
          </w:p>
        </w:tc>
        <w:tc>
          <w:tcPr>
            <w:tcW w:w="3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(763.9)</w:t>
            </w:r>
          </w:p>
        </w:tc>
        <w:tc>
          <w:tcPr>
            <w:tcW w:w="2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823.6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w:t>
            </w:r>
          </w:p>
        </w:tc>
        <w:tc>
          <w:tcPr>
            <w:tcW w:w="30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prior service (benefit) cost included in</w:t>
            </w:r>
          </w:p>
        </w:tc>
        <w:tc>
          <w:tcPr>
            <w:tcW w:w="260" w:type="dxa"/>
            <w:vAlign w:val="bottom"/>
          </w:tcPr>
          <w:p>
            <w:pPr>
              <w:spacing w:after="0"/>
              <w:rPr>
                <w:sz w:val="15"/>
                <w:szCs w:val="15"/>
                <w:color w:val="auto"/>
              </w:rPr>
            </w:pPr>
          </w:p>
        </w:tc>
        <w:tc>
          <w:tcPr>
            <w:tcW w:w="84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5"/>
                <w:szCs w:val="15"/>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Amortization of net actuarial (gain) loss included in</w:t>
            </w:r>
          </w:p>
        </w:tc>
        <w:tc>
          <w:tcPr>
            <w:tcW w:w="260" w:type="dxa"/>
            <w:vAlign w:val="bottom"/>
            <w:shd w:val="clear" w:color="auto" w:fill="DBDBDB"/>
          </w:tcPr>
          <w:p>
            <w:pPr>
              <w:spacing w:after="0"/>
              <w:rPr>
                <w:sz w:val="15"/>
                <w:szCs w:val="15"/>
                <w:color w:val="auto"/>
              </w:rPr>
            </w:pPr>
          </w:p>
        </w:tc>
        <w:tc>
          <w:tcPr>
            <w:tcW w:w="840" w:type="dxa"/>
            <w:vAlign w:val="bottom"/>
            <w:vMerge w:val="restart"/>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125.1</w:t>
            </w:r>
          </w:p>
        </w:tc>
        <w:tc>
          <w:tcPr>
            <w:tcW w:w="32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right"/>
              <w:ind w:right="53"/>
              <w:spacing w:after="0"/>
              <w:rPr>
                <w:sz w:val="20"/>
                <w:szCs w:val="20"/>
                <w:color w:val="auto"/>
              </w:rPr>
            </w:pPr>
            <w:r>
              <w:rPr>
                <w:rFonts w:ascii="Arial" w:cs="Arial" w:eastAsia="Arial" w:hAnsi="Arial"/>
                <w:sz w:val="18"/>
                <w:szCs w:val="18"/>
                <w:color w:val="auto"/>
              </w:rPr>
              <w:t>122.0</w:t>
            </w:r>
          </w:p>
        </w:tc>
        <w:tc>
          <w:tcPr>
            <w:tcW w:w="280" w:type="dxa"/>
            <w:vAlign w:val="bottom"/>
            <w:shd w:val="clear" w:color="auto" w:fill="DBDBDB"/>
          </w:tcPr>
          <w:p>
            <w:pPr>
              <w:spacing w:after="0"/>
              <w:rPr>
                <w:sz w:val="15"/>
                <w:szCs w:val="15"/>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DBDBDB"/>
          </w:tcPr>
          <w:p>
            <w:pPr>
              <w:spacing w:after="0"/>
              <w:rPr>
                <w:sz w:val="15"/>
                <w:szCs w:val="15"/>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8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Foreign currency exchange rate changes and 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56"/>
        </w:trPr>
        <w:tc>
          <w:tcPr>
            <w:tcW w:w="428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Total other comprehensive income (loss) during</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DBDBDB"/>
          </w:tcPr>
          <w:p>
            <w:pPr>
              <w:jc w:val="right"/>
              <w:ind w:right="13"/>
              <w:spacing w:after="0"/>
              <w:rPr>
                <w:sz w:val="20"/>
                <w:szCs w:val="20"/>
                <w:color w:val="auto"/>
              </w:rPr>
            </w:pPr>
            <w:r>
              <w:rPr>
                <w:rFonts w:ascii="Arial" w:cs="Arial" w:eastAsia="Arial" w:hAnsi="Arial"/>
                <w:sz w:val="18"/>
                <w:szCs w:val="18"/>
                <w:b w:val="1"/>
                <w:bCs w:val="1"/>
                <w:color w:val="auto"/>
              </w:rPr>
              <w:t>697.3</w:t>
            </w:r>
          </w:p>
        </w:tc>
        <w:tc>
          <w:tcPr>
            <w:tcW w:w="320" w:type="dxa"/>
            <w:vAlign w:val="bottom"/>
            <w:vMerge w:val="restart"/>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8"/>
                <w:szCs w:val="18"/>
                <w:color w:val="auto"/>
              </w:rPr>
              <w:t>(668.7)</w:t>
            </w:r>
          </w:p>
        </w:tc>
        <w:tc>
          <w:tcPr>
            <w:tcW w:w="28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(45.5)</w:t>
            </w:r>
          </w:p>
        </w:tc>
        <w:tc>
          <w:tcPr>
            <w:tcW w:w="300" w:type="dxa"/>
            <w:vAlign w:val="bottom"/>
            <w:vMerge w:val="restart"/>
            <w:shd w:val="clear" w:color="auto" w:fill="DBDBDB"/>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(107.8)</w:t>
            </w:r>
          </w:p>
        </w:tc>
        <w:tc>
          <w:tcPr>
            <w:tcW w:w="30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840" w:type="dxa"/>
            <w:vAlign w:val="bottom"/>
            <w:tcBorders>
              <w:bottom w:val="single" w:sz="8" w:color="auto"/>
            </w:tcBorders>
            <w:vMerge w:val="continue"/>
            <w:shd w:val="clear" w:color="auto" w:fill="DBDBDB"/>
          </w:tcPr>
          <w:p>
            <w:pPr>
              <w:spacing w:after="0"/>
              <w:rPr>
                <w:sz w:val="20"/>
                <w:szCs w:val="20"/>
                <w:color w:val="auto"/>
              </w:rPr>
            </w:pPr>
          </w:p>
        </w:tc>
        <w:tc>
          <w:tcPr>
            <w:tcW w:w="320" w:type="dxa"/>
            <w:vAlign w:val="bottom"/>
            <w:tcBorders>
              <w:bottom w:val="single" w:sz="8" w:color="auto"/>
            </w:tcBorders>
            <w:vMerge w:val="continue"/>
            <w:shd w:val="clear" w:color="auto" w:fill="DBDBDB"/>
          </w:tcPr>
          <w:p>
            <w:pPr>
              <w:spacing w:after="0"/>
              <w:rPr>
                <w:sz w:val="20"/>
                <w:szCs w:val="20"/>
                <w:color w:val="auto"/>
              </w:rPr>
            </w:pPr>
          </w:p>
        </w:tc>
        <w:tc>
          <w:tcPr>
            <w:tcW w:w="900" w:type="dxa"/>
            <w:vAlign w:val="bottom"/>
            <w:tcBorders>
              <w:bottom w:val="single" w:sz="8" w:color="auto"/>
            </w:tcBorders>
            <w:vMerge w:val="continue"/>
            <w:shd w:val="clear" w:color="auto" w:fill="DBDBDB"/>
          </w:tcPr>
          <w:p>
            <w:pPr>
              <w:spacing w:after="0"/>
              <w:rPr>
                <w:sz w:val="20"/>
                <w:szCs w:val="20"/>
                <w:color w:val="auto"/>
              </w:rPr>
            </w:pPr>
          </w:p>
        </w:tc>
        <w:tc>
          <w:tcPr>
            <w:tcW w:w="280" w:type="dxa"/>
            <w:vAlign w:val="bottom"/>
            <w:tcBorders>
              <w:bottom w:val="single" w:sz="8" w:color="auto"/>
            </w:tcBorders>
            <w:vMerge w:val="continue"/>
            <w:shd w:val="clear" w:color="auto" w:fill="DBDBDB"/>
          </w:tcPr>
          <w:p>
            <w:pPr>
              <w:spacing w:after="0"/>
              <w:rPr>
                <w:sz w:val="20"/>
                <w:szCs w:val="20"/>
                <w:color w:val="auto"/>
              </w:rPr>
            </w:pPr>
          </w:p>
        </w:tc>
        <w:tc>
          <w:tcPr>
            <w:tcW w:w="84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860" w:type="dxa"/>
            <w:vAlign w:val="bottom"/>
            <w:tcBorders>
              <w:bottom w:val="single" w:sz="8" w:color="auto"/>
            </w:tcBorders>
            <w:vMerge w:val="continue"/>
            <w:shd w:val="clear" w:color="auto" w:fill="DBDBDB"/>
          </w:tcPr>
          <w:p>
            <w:pPr>
              <w:spacing w:after="0"/>
              <w:rPr>
                <w:sz w:val="20"/>
                <w:szCs w:val="20"/>
                <w:color w:val="auto"/>
              </w:rPr>
            </w:pPr>
          </w:p>
        </w:tc>
        <w:tc>
          <w:tcPr>
            <w:tcW w:w="300" w:type="dxa"/>
            <w:vAlign w:val="bottom"/>
            <w:tcBorders>
              <w:bottom w:val="single" w:sz="8" w:color="auto"/>
            </w:tcBorders>
            <w:vMerge w:val="continue"/>
            <w:shd w:val="clear" w:color="auto" w:fill="DBDBDB"/>
          </w:tcPr>
          <w:p>
            <w:pPr>
              <w:spacing w:after="0"/>
              <w:rPr>
                <w:sz w:val="20"/>
                <w:szCs w:val="20"/>
                <w:color w:val="auto"/>
              </w:rPr>
            </w:pPr>
          </w:p>
        </w:tc>
        <w:tc>
          <w:tcPr>
            <w:tcW w:w="880" w:type="dxa"/>
            <w:vAlign w:val="bottom"/>
            <w:tcBorders>
              <w:bottom w:val="single" w:sz="8" w:color="auto"/>
            </w:tcBorders>
            <w:vMerge w:val="continue"/>
            <w:shd w:val="clear" w:color="auto" w:fill="DBDBDB"/>
          </w:tcPr>
          <w:p>
            <w:pPr>
              <w:spacing w:after="0"/>
              <w:rPr>
                <w:sz w:val="20"/>
                <w:szCs w:val="20"/>
                <w:color w:val="auto"/>
              </w:rPr>
            </w:pPr>
          </w:p>
        </w:tc>
        <w:tc>
          <w:tcPr>
            <w:tcW w:w="300" w:type="dxa"/>
            <w:vAlign w:val="bottom"/>
            <w:tcBorders>
              <w:bottom w:val="single" w:sz="8" w:color="auto"/>
            </w:tcBorders>
            <w:vMerge w:val="continue"/>
            <w:shd w:val="clear" w:color="auto" w:fill="DBDBDB"/>
          </w:tcPr>
          <w:p>
            <w:pPr>
              <w:spacing w:after="0"/>
              <w:rPr>
                <w:sz w:val="20"/>
                <w:szCs w:val="20"/>
                <w:color w:val="auto"/>
              </w:rPr>
            </w:pPr>
          </w:p>
        </w:tc>
        <w:tc>
          <w:tcPr>
            <w:tcW w:w="82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$249.7 million, $222.6 million, and $170.6 million for the years ended December 31, 2024, 2023, and 2022,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85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7" w:name="page98"/>
    <w:bookmarkEnd w:id="97"/>
    <w:p>
      <w:pPr>
        <w:ind w:right="40"/>
        <w:spacing w:after="0" w:line="262"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80 percent growth investments and 20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bank loans, mortgage-backed securities, commercial mortgage-backed obligations, and any related repurchase agreements.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11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4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2024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300" w:type="dxa"/>
            <w:vAlign w:val="bottom"/>
          </w:tcPr>
          <w:p>
            <w:pPr>
              <w:spacing w:after="0"/>
              <w:rPr>
                <w:sz w:val="10"/>
                <w:szCs w:val="10"/>
                <w:color w:val="auto"/>
              </w:rPr>
            </w:pPr>
          </w:p>
        </w:tc>
        <w:tc>
          <w:tcPr>
            <w:tcW w:w="12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w w:val="96"/>
              </w:rPr>
              <w:t>Significant</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Markets for</w:t>
            </w:r>
          </w:p>
        </w:tc>
        <w:tc>
          <w:tcPr>
            <w:tcW w:w="300" w:type="dxa"/>
            <w:vAlign w:val="bottom"/>
          </w:tcPr>
          <w:p>
            <w:pPr>
              <w:spacing w:after="0"/>
              <w:rPr>
                <w:sz w:val="10"/>
                <w:szCs w:val="10"/>
                <w:color w:val="auto"/>
              </w:rPr>
            </w:pPr>
          </w:p>
        </w:tc>
        <w:tc>
          <w:tcPr>
            <w:tcW w:w="1280" w:type="dxa"/>
            <w:vAlign w:val="bottom"/>
          </w:tcPr>
          <w:p>
            <w:pPr>
              <w:jc w:val="center"/>
              <w:ind w:right="235"/>
              <w:spacing w:after="0" w:line="122" w:lineRule="exact"/>
              <w:rPr>
                <w:sz w:val="20"/>
                <w:szCs w:val="20"/>
                <w:color w:val="auto"/>
              </w:rPr>
            </w:pPr>
            <w:r>
              <w:rPr>
                <w:rFonts w:ascii="Arial" w:cs="Arial" w:eastAsia="Arial" w:hAnsi="Arial"/>
                <w:sz w:val="13"/>
                <w:szCs w:val="13"/>
                <w:b w:val="1"/>
                <w:bCs w:val="1"/>
                <w:color w:val="auto"/>
                <w:w w:val="95"/>
              </w:rPr>
              <w:t>Observable</w:t>
            </w: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1"/>
                <w:szCs w:val="11"/>
                <w:color w:val="auto"/>
              </w:rPr>
            </w:pPr>
          </w:p>
        </w:tc>
        <w:tc>
          <w:tcPr>
            <w:tcW w:w="132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1"/>
                <w:szCs w:val="11"/>
                <w:color w:val="auto"/>
              </w:rPr>
            </w:pPr>
          </w:p>
        </w:tc>
        <w:tc>
          <w:tcPr>
            <w:tcW w:w="128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1,905.6</w:t>
            </w:r>
          </w:p>
        </w:tc>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602.4</w:t>
            </w:r>
          </w:p>
        </w:tc>
        <w:tc>
          <w:tcPr>
            <w:tcW w:w="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0.3</w:t>
            </w:r>
          </w:p>
        </w:tc>
        <w:tc>
          <w:tcPr>
            <w:tcW w:w="32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1,517.3</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336.7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2,343.2</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2,161.9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175"/>
        </w:trPr>
        <w:tc>
          <w:tcPr>
            <w:tcW w:w="35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51"/>
              <w:spacing w:after="0"/>
              <w:rPr>
                <w:sz w:val="20"/>
                <w:szCs w:val="20"/>
                <w:color w:val="auto"/>
              </w:rPr>
            </w:pPr>
            <w:r>
              <w:rPr>
                <w:rFonts w:ascii="Arial" w:cs="Arial" w:eastAsia="Arial" w:hAnsi="Arial"/>
                <w:sz w:val="18"/>
                <w:szCs w:val="18"/>
                <w:color w:val="auto"/>
              </w:rPr>
              <w:t>(641.0)</w:t>
            </w:r>
          </w:p>
        </w:tc>
        <w:tc>
          <w:tcPr>
            <w:tcW w:w="180" w:type="dxa"/>
            <w:vAlign w:val="bottom"/>
            <w:shd w:val="clear" w:color="auto" w:fill="DBDBDB"/>
          </w:tcPr>
          <w:p>
            <w:pPr>
              <w:spacing w:after="0"/>
              <w:rPr>
                <w:sz w:val="15"/>
                <w:szCs w:val="15"/>
                <w:color w:val="auto"/>
              </w:rPr>
            </w:pPr>
          </w:p>
        </w:tc>
        <w:tc>
          <w:tcPr>
            <w:tcW w:w="1320" w:type="dxa"/>
            <w:vAlign w:val="bottom"/>
            <w:vMerge w:val="restart"/>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5"/>
                <w:szCs w:val="15"/>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(641.0)</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BDBDB"/>
          </w:tcPr>
          <w:p>
            <w:pPr>
              <w:spacing w:after="0"/>
              <w:rPr>
                <w:sz w:val="21"/>
                <w:szCs w:val="21"/>
                <w:color w:val="auto"/>
              </w:rPr>
            </w:pPr>
          </w:p>
        </w:tc>
        <w:tc>
          <w:tcPr>
            <w:tcW w:w="1220" w:type="dxa"/>
            <w:vAlign w:val="bottom"/>
            <w:vMerge w:val="continue"/>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32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280" w:type="dxa"/>
            <w:vAlign w:val="bottom"/>
            <w:vMerge w:val="continue"/>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320.4</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3,057.6</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3,057.6</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3,931.5</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3,922.1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450.9</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301.0</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772.9</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25.9</w:t>
            </w: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13,658.4</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1,408.9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1,918.7</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10,321.3</w:t>
            </w:r>
          </w:p>
        </w:tc>
        <w:tc>
          <w:tcPr>
            <w:tcW w:w="0" w:type="dxa"/>
            <w:vAlign w:val="bottom"/>
          </w:tcPr>
          <w:p>
            <w:pPr>
              <w:spacing w:after="0"/>
              <w:rPr>
                <w:sz w:val="1"/>
                <w:szCs w:val="1"/>
                <w:color w:val="auto"/>
              </w:rPr>
            </w:pPr>
          </w:p>
        </w:tc>
      </w:tr>
      <w:tr>
        <w:trPr>
          <w:trHeight w:val="95"/>
        </w:trPr>
        <w:tc>
          <w:tcPr>
            <w:tcW w:w="350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00" w:type="dxa"/>
            <w:vAlign w:val="bottom"/>
            <w:shd w:val="clear" w:color="auto" w:fill="DBDBDB"/>
          </w:tcPr>
          <w:p>
            <w:pPr>
              <w:spacing w:after="0"/>
              <w:rPr>
                <w:sz w:val="8"/>
                <w:szCs w:val="8"/>
                <w:color w:val="auto"/>
              </w:rPr>
            </w:pPr>
          </w:p>
        </w:tc>
        <w:tc>
          <w:tcPr>
            <w:tcW w:w="1280" w:type="dxa"/>
            <w:vAlign w:val="bottom"/>
            <w:shd w:val="clear" w:color="auto" w:fill="DBDBDB"/>
          </w:tcPr>
          <w:p>
            <w:pPr>
              <w:spacing w:after="0"/>
              <w:rPr>
                <w:sz w:val="8"/>
                <w:szCs w:val="8"/>
                <w:color w:val="auto"/>
              </w:rPr>
            </w:pPr>
          </w:p>
        </w:tc>
        <w:tc>
          <w:tcPr>
            <w:tcW w:w="32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184.2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285.2</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1,464.9</w:t>
            </w:r>
          </w:p>
        </w:tc>
        <w:tc>
          <w:tcPr>
            <w:tcW w:w="180" w:type="dxa"/>
            <w:vAlign w:val="bottom"/>
          </w:tcPr>
          <w:p>
            <w:pPr>
              <w:spacing w:after="0"/>
              <w:rPr>
                <w:sz w:val="15"/>
                <w:szCs w:val="15"/>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Arial" w:cs="Arial" w:eastAsia="Arial" w:hAnsi="Arial"/>
                <w:sz w:val="18"/>
                <w:szCs w:val="18"/>
                <w:color w:val="auto"/>
              </w:rPr>
              <w:t>1,464.9</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64.3</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2,565.8</w:t>
            </w: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129.9</w:t>
            </w:r>
          </w:p>
        </w:tc>
        <w:tc>
          <w:tcPr>
            <w:tcW w:w="30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1,520.9</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2024. The activity in the Level 3 investments during the year ended December 31, 2024 was not material.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9" w:name="page100"/>
    <w:bookmarkEnd w:id="99"/>
    <w:p>
      <w:pPr>
        <w:ind w:right="600"/>
        <w:spacing w:after="0" w:line="287"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2023 by asset category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8"/>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1"/>
                <w:szCs w:val="11"/>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380" w:type="dxa"/>
            <w:vAlign w:val="bottom"/>
          </w:tcPr>
          <w:p>
            <w:pPr>
              <w:jc w:val="center"/>
              <w:ind w:right="75"/>
              <w:spacing w:after="0" w:line="129"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1"/>
                <w:szCs w:val="11"/>
                <w:color w:val="auto"/>
              </w:rPr>
            </w:pPr>
          </w:p>
        </w:tc>
        <w:tc>
          <w:tcPr>
            <w:tcW w:w="1220" w:type="dxa"/>
            <w:vAlign w:val="bottom"/>
          </w:tcPr>
          <w:p>
            <w:pPr>
              <w:jc w:val="center"/>
              <w:ind w:right="272"/>
              <w:spacing w:after="0" w:line="129"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82"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1,379.7</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490.5</w:t>
            </w:r>
          </w:p>
        </w:tc>
        <w:tc>
          <w:tcPr>
            <w:tcW w:w="360" w:type="dxa"/>
            <w:vAlign w:val="bottom"/>
            <w:shd w:val="clear" w:color="auto" w:fill="DBDBDB"/>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0.3</w:t>
            </w:r>
          </w:p>
        </w:tc>
        <w:tc>
          <w:tcPr>
            <w:tcW w:w="320" w:type="dxa"/>
            <w:vAlign w:val="bottom"/>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441.2</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333.4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2,783.9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2,597.3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75"/>
        </w:trPr>
        <w:tc>
          <w:tcPr>
            <w:tcW w:w="350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51"/>
              <w:spacing w:after="0"/>
              <w:rPr>
                <w:sz w:val="20"/>
                <w:szCs w:val="20"/>
                <w:color w:val="auto"/>
              </w:rPr>
            </w:pPr>
            <w:r>
              <w:rPr>
                <w:rFonts w:ascii="Arial" w:cs="Arial" w:eastAsia="Arial" w:hAnsi="Arial"/>
                <w:sz w:val="18"/>
                <w:szCs w:val="18"/>
                <w:color w:val="auto"/>
              </w:rPr>
              <w:t>(772.8)</w:t>
            </w:r>
          </w:p>
        </w:tc>
        <w:tc>
          <w:tcPr>
            <w:tcW w:w="120" w:type="dxa"/>
            <w:vAlign w:val="bottom"/>
            <w:shd w:val="clear" w:color="auto" w:fill="DBDBDB"/>
          </w:tcPr>
          <w:p>
            <w:pPr>
              <w:spacing w:after="0"/>
              <w:rPr>
                <w:sz w:val="15"/>
                <w:szCs w:val="15"/>
                <w:color w:val="auto"/>
              </w:rPr>
            </w:pPr>
          </w:p>
        </w:tc>
        <w:tc>
          <w:tcPr>
            <w:tcW w:w="1380" w:type="dxa"/>
            <w:vAlign w:val="bottom"/>
            <w:vMerge w:val="restart"/>
            <w:shd w:val="clear" w:color="auto" w:fill="DBDBDB"/>
          </w:tcPr>
          <w:p>
            <w:pPr>
              <w:jc w:val="right"/>
              <w:ind w:right="35"/>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(786.0)</w:t>
            </w:r>
          </w:p>
        </w:tc>
        <w:tc>
          <w:tcPr>
            <w:tcW w:w="3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BDBDB"/>
          </w:tcPr>
          <w:p>
            <w:pPr>
              <w:spacing w:after="0"/>
              <w:rPr>
                <w:sz w:val="21"/>
                <w:szCs w:val="21"/>
                <w:color w:val="auto"/>
              </w:rPr>
            </w:pPr>
          </w:p>
        </w:tc>
        <w:tc>
          <w:tcPr>
            <w:tcW w:w="12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380" w:type="dxa"/>
            <w:vAlign w:val="bottom"/>
            <w:vMerge w:val="continue"/>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20" w:type="dxa"/>
            <w:vAlign w:val="bottom"/>
            <w:vMerge w:val="continue"/>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3,125.9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3,125.9</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4,093.7</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261.9</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1,024.1</w:t>
            </w:r>
          </w:p>
        </w:tc>
        <w:tc>
          <w:tcPr>
            <w:tcW w:w="1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170.8</w:t>
            </w:r>
          </w:p>
        </w:tc>
        <w:tc>
          <w:tcPr>
            <w:tcW w:w="3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color w:val="auto"/>
              </w:rPr>
              <w:t>42.6</w:t>
            </w: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13,708.7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1,409.2</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2,223.3</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10,051.0</w:t>
            </w:r>
          </w:p>
        </w:tc>
        <w:tc>
          <w:tcPr>
            <w:tcW w:w="0" w:type="dxa"/>
            <w:vAlign w:val="bottom"/>
          </w:tcPr>
          <w:p>
            <w:pPr>
              <w:spacing w:after="0"/>
              <w:rPr>
                <w:sz w:val="1"/>
                <w:szCs w:val="1"/>
                <w:color w:val="auto"/>
              </w:rPr>
            </w:pPr>
          </w:p>
        </w:tc>
      </w:tr>
      <w:tr>
        <w:trPr>
          <w:trHeight w:val="95"/>
        </w:trPr>
        <w:tc>
          <w:tcPr>
            <w:tcW w:w="3500" w:type="dxa"/>
            <w:vAlign w:val="bottom"/>
            <w:shd w:val="clear" w:color="auto" w:fill="DBDBDB"/>
          </w:tcPr>
          <w:p>
            <w:pPr>
              <w:spacing w:after="0"/>
              <w:rPr>
                <w:sz w:val="8"/>
                <w:szCs w:val="8"/>
                <w:color w:val="auto"/>
              </w:rPr>
            </w:pPr>
          </w:p>
        </w:tc>
        <w:tc>
          <w:tcPr>
            <w:tcW w:w="34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1380" w:type="dxa"/>
            <w:vAlign w:val="bottom"/>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220" w:type="dxa"/>
            <w:vAlign w:val="bottom"/>
            <w:shd w:val="clear" w:color="auto" w:fill="DBDBDB"/>
          </w:tcPr>
          <w:p>
            <w:pPr>
              <w:spacing w:after="0"/>
              <w:rPr>
                <w:sz w:val="8"/>
                <w:szCs w:val="8"/>
                <w:color w:val="auto"/>
              </w:rPr>
            </w:pPr>
          </w:p>
        </w:tc>
        <w:tc>
          <w:tcPr>
            <w:tcW w:w="320" w:type="dxa"/>
            <w:vAlign w:val="bottom"/>
            <w:shd w:val="clear" w:color="auto" w:fill="DBDBDB"/>
          </w:tcPr>
          <w:p>
            <w:pPr>
              <w:spacing w:after="0"/>
              <w:rPr>
                <w:sz w:val="8"/>
                <w:szCs w:val="8"/>
                <w:color w:val="auto"/>
              </w:rPr>
            </w:pPr>
          </w:p>
        </w:tc>
        <w:tc>
          <w:tcPr>
            <w:tcW w:w="1180" w:type="dxa"/>
            <w:vAlign w:val="bottom"/>
            <w:shd w:val="clear" w:color="auto" w:fill="DBDBDB"/>
          </w:tcPr>
          <w:p>
            <w:pPr>
              <w:spacing w:after="0"/>
              <w:rPr>
                <w:sz w:val="8"/>
                <w:szCs w:val="8"/>
                <w:color w:val="auto"/>
              </w:rPr>
            </w:pPr>
          </w:p>
        </w:tc>
        <w:tc>
          <w:tcPr>
            <w:tcW w:w="2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127.0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44.2</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38.2</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335.1</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5"/>
                <w:szCs w:val="15"/>
                <w:color w:val="auto"/>
              </w:rPr>
            </w:pPr>
          </w:p>
        </w:tc>
        <w:tc>
          <w:tcPr>
            <w:tcW w:w="1220" w:type="dxa"/>
            <w:vAlign w:val="bottom"/>
            <w:vMerge w:val="restart"/>
          </w:tcPr>
          <w:p>
            <w:pPr>
              <w:jc w:val="right"/>
              <w:ind w:right="91"/>
              <w:spacing w:after="0"/>
              <w:rPr>
                <w:sz w:val="20"/>
                <w:szCs w:val="20"/>
                <w:color w:val="auto"/>
              </w:rPr>
            </w:pPr>
            <w:r>
              <w:rPr>
                <w:rFonts w:ascii="Arial" w:cs="Arial" w:eastAsia="Arial" w:hAnsi="Arial"/>
                <w:sz w:val="18"/>
                <w:szCs w:val="18"/>
                <w:color w:val="auto"/>
              </w:rPr>
              <w:t>1,526.5</w:t>
            </w:r>
          </w:p>
        </w:tc>
        <w:tc>
          <w:tcPr>
            <w:tcW w:w="120" w:type="dxa"/>
            <w:vAlign w:val="bottom"/>
          </w:tcPr>
          <w:p>
            <w:pPr>
              <w:spacing w:after="0"/>
              <w:rPr>
                <w:sz w:val="15"/>
                <w:szCs w:val="15"/>
                <w:color w:val="auto"/>
              </w:rPr>
            </w:pPr>
          </w:p>
        </w:tc>
        <w:tc>
          <w:tcPr>
            <w:tcW w:w="1380" w:type="dxa"/>
            <w:vAlign w:val="bottom"/>
            <w:vMerge w:val="restart"/>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18"/>
                <w:szCs w:val="18"/>
                <w:color w:val="auto"/>
              </w:rPr>
              <w:t>1,526.5</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8"/>
                <w:szCs w:val="18"/>
                <w:color w:val="auto"/>
              </w:rPr>
              <w:t>2,580.3</w:t>
            </w: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8"/>
                <w:szCs w:val="18"/>
                <w:color w:val="auto"/>
              </w:rPr>
              <w:t>130.1</w:t>
            </w:r>
          </w:p>
        </w:tc>
        <w:tc>
          <w:tcPr>
            <w:tcW w:w="360" w:type="dxa"/>
            <w:vAlign w:val="bottom"/>
            <w:tcBorders>
              <w:bottom w:val="single" w:sz="8" w:color="auto"/>
            </w:tcBorders>
            <w:shd w:val="clear" w:color="auto" w:fill="DBDBDB"/>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8"/>
                <w:szCs w:val="18"/>
                <w:color w:val="auto"/>
              </w:rPr>
              <w:t>1,603.5</w:t>
            </w:r>
          </w:p>
        </w:tc>
        <w:tc>
          <w:tcPr>
            <w:tcW w:w="3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2023. The activity in the Level 3 investments during the year ended December 31, 2023 was not material.</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2025, we expect to contribute approximately $30 million to our defined benefit pension plans to satisfy minimum funding requirements for the year. We do not currently expect to make material discretionary contributions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16: Contingencies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regulatory agencies, competitors, customers, suppliers, service providers, licensees, employees, or shareholders, among others. These matters may involve patent infringement, antitrust, securities, pricing, access, sales and marketing practices, environmental, commercial, contractual rights, licensing obligations, health and safety matters, consumer fraud, employment matters, product liability, insurance coverage, and regulatory compliance,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defending against the legal proceedings in which we are named as defendants vigorously. It is not possible to determine the final outcome of these matters, and, unless otherwise noted,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Litigation accruals and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October 2023, Teva appealed to the U.S. Court of Appeals for the Federal Circuit. The appeal is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01" w:name="page102"/>
    <w:bookmarkEnd w:id="101"/>
    <w:p>
      <w:pPr>
        <w:ind w:right="20"/>
        <w:spacing w:after="0" w:line="256"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The trial court's ruling included a liquidated award of 300 million Brazilian reais, which, when adjusted for inflation, is approximately 1.4 billion Brazilian reais (approximately $226 million as of December 31, 2024). In July 2018, the appeals court generally affirmed the trial court's ruling. Lilly Brasil has appealed to the superior labor court (TST).</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 Brasil's appeal and, when adjusted for inflation, is approximately 145 million Brazilian reais (approximately $23 million as of December 31, 2024). Both parties have appealed this order to the TST.</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trial court is currently assessing the status of Lilly Brasil's compliance with the obligations as to the land, and an inspection in the industrial plant occurred in October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Various former employees have filed related claims against Lilly Brasil in the trial court. These lawsuits are at various stages in the litigation process.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Health and Human Services (HHS), the Secretary of HHS, the Health Resources and Services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a declaratory judgment that the defendants violated the Administrative Procedure Act (APA) and the U.S. Constitution, a preliminary injunction enjoining implementation of the ADR process and application of the advisory opinion,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the subpoena.</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have been named in various ADR petitions, filed in 2021, 2023, and 2024, seeking declaratory, injunctive, and/or monetary relief related to the 340B program. In light of the preliminary injunction order described above, these petitions are being held in abeyance as to us.</w:t>
      </w:r>
    </w:p>
    <w:p>
      <w:pPr>
        <w:spacing w:after="0" w:line="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(Sanofi), Novo Nordisk Inc. (Novo Nordisk), and AstraZeneca Pharmaceuticals LP (AstraZeneca), alleging antitrust and unjust enrichment claims related to the defendants' 340B programs. In October 2021, an amended complaint added Central Virginia Health Services, Inc. as a plaintiff. In September 2022, the court dismissed the amended complaint for failure to state a claim but allowed the plaintiffs to move for leave to file a second amended complaint. In January 2024, the court denied the plaintiffs' motion for leave to amend and dismissed the case. In February 2024, the plaintiffs appealed to the U.S. Court of Appeals for the Second Circuit. The appeal remains pending.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have multiple other challenges against HHS and related parties related to interpretations and actions under the 340B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Insulin Pricing Litigation</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first-filed case, a putative consumer class action, we and the plaintiffs reached a proposed settlement in May 2023. In January 2024, the court denied the plaintiffs' motion for class certification. We and the plaintiffs subsequently terminated our proposed settlement and stipulated that the court's ruling denying class certification applied to Lilly. The MDL court has issued various case management orders, including but not limited to orders establishing separate tracks for state attorney general claims (State AG Track), putative class actions (Class Action Track), and non-class suits by self-funded payers (Self-Funded Payer Track).</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In August 2023, the state filed an application for leave to appeal to the Michigan Supreme Court, and oral argument was held in October 2024. The state's request for leave to appeal remains pending.</w:t>
      </w:r>
    </w:p>
    <w:p>
      <w:pPr>
        <w:spacing w:after="0" w:line="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Lilly has entered into settlement agreements with two states to resolve allegations relating to insulin pricing. In particular, in February 2024, after discovery, Lilly entered into a non-monetary settlement with the Minnesota attorney general's office that resolved a lawsuit filed by Minnesota in 2018; and Lilly entered into a similar non-monetary settlement with the New York attorney general’s office in May 2023. These agreements involved no monetary payments and no admission of wrongdoing or liability.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from the Vermont attorney general office, civil investigative demands from the U.S. Department of Justice, the U.S. Federal Trade Commission, and the Colorado, Indiana, Louisiana, Oregon, Texas, and Washington attorney general offices, as well as information requests from the California, Florida, Hawaii, Mississippi, New Mexico, Nevada, and Washington D.C. attorney general offices.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November 2014,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U.S. District Court for the Northern District of Illinois against us and Takeda Pharmaceuticals America, Inc. The relator's complaint alleges that the defendants should have treated certain credits from distributors as retroactive price increases and included such increases in calculating average manufacturer prices. In August 2022, following a trial, the jury returned a verdict in favor of the relator. Lilly has appealed to the U.S. Court of Appeals for the Seventh Circuit, and the appeal remains pending.</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 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In August 2023, the U.S. Court of Appeals for the Ninth Circuit granted our and Takeda's petition for permission to appeal the class certification order. That appeal remains pending.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August 2023, various plaintiffs have filed lawsuits against us, Novo Nordisk A/S (Novo), and other related Novo entities, alleging injuries following purported use of incretin medicines, including Mounjaro and Trulicity. The complaints assert a variety of claims and generally seek damages, medical monitoring, or other relief. Most of these lawsuits have been coordinated or consolidated for pretrial proceedings in a federal MDL pending in the U.S. District Court for the Eastern District of Pennsylvania; cases outside the MDL include one case pending in Georgia state court, as well as a class action petition in Israel. In November 2024, the MDL plaintiffs filed a master complaint.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June 2019, the Court of First Instance (CFI) granted summary judgment in our favor, dismissing the Municipality's complaint in its entirety. In December 2020, the Puerto Rico Appellate Court (AP) reversed and remanded the case to the CFI for trial on the merits. After trial began in May 2022, the Municipality filed a motion requesting the CFI to execute an alleged judgment. The CFI denied the request, and the Municipality filed for revision at the AP, which we opposed, staying the case. The AP denied the Municipality's motion for revision. Trial resumed in October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October 2019,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against us in Texas state court asserting claims under the Texas Medicaid Fraud Prevention Act based on allegations about certain patient support programs related to our products Humalog, Humulin, and Forteo. The lawsuit seeks to recover the value of payments by the Texas Medicaid Program for these products, as well as civil penalties and other relief. The action has been stayed since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The settlement agreement is not an admission of liability or fault, and is subject to conditions. Pursuant to the agreement, the court entered final judgment, Lilly filed a notice of appeal to the U.S. Court of Appeals for the Ninth Circuit, and Lilly made an initial payment under the agreement. Lilly's appeal remains pending. The remaining amount payable under the agreement, if any, should not have a material impact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17: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3"/>
                <w:szCs w:val="13"/>
                <w:b w:val="1"/>
                <w:bCs w:val="1"/>
                <w:color w:val="auto"/>
                <w:w w:val="95"/>
              </w:rPr>
              <w:t>Foreign Currency</w:t>
            </w:r>
          </w:p>
        </w:tc>
        <w:tc>
          <w:tcPr>
            <w:tcW w:w="180" w:type="dxa"/>
            <w:vAlign w:val="bottom"/>
          </w:tcPr>
          <w:p>
            <w:pPr>
              <w:spacing w:after="0"/>
              <w:rPr>
                <w:sz w:val="13"/>
                <w:szCs w:val="13"/>
                <w:color w:val="auto"/>
              </w:rPr>
            </w:pPr>
          </w:p>
        </w:tc>
        <w:tc>
          <w:tcPr>
            <w:tcW w:w="1100" w:type="dxa"/>
            <w:vAlign w:val="bottom"/>
          </w:tcPr>
          <w:p>
            <w:pPr>
              <w:jc w:val="center"/>
              <w:ind w:right="100"/>
              <w:spacing w:after="0"/>
              <w:rPr>
                <w:sz w:val="20"/>
                <w:szCs w:val="20"/>
                <w:color w:val="auto"/>
              </w:rPr>
            </w:pPr>
            <w:r>
              <w:rPr>
                <w:rFonts w:ascii="Arial" w:cs="Arial" w:eastAsia="Arial" w:hAnsi="Arial"/>
                <w:sz w:val="13"/>
                <w:szCs w:val="13"/>
                <w:b w:val="1"/>
                <w:bCs w:val="1"/>
                <w:color w:val="auto"/>
                <w:w w:val="97"/>
              </w:rPr>
              <w:t>Net Unrealized</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Retirement Benefit</w:t>
            </w:r>
          </w:p>
        </w:tc>
        <w:tc>
          <w:tcPr>
            <w:tcW w:w="12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Gains (Losses)</w:t>
            </w:r>
          </w:p>
        </w:tc>
        <w:tc>
          <w:tcPr>
            <w:tcW w:w="180" w:type="dxa"/>
            <w:vAlign w:val="bottom"/>
          </w:tcPr>
          <w:p>
            <w:pPr>
              <w:spacing w:after="0"/>
              <w:rPr>
                <w:sz w:val="10"/>
                <w:szCs w:val="10"/>
                <w:color w:val="auto"/>
              </w:rPr>
            </w:pPr>
          </w:p>
        </w:tc>
        <w:tc>
          <w:tcPr>
            <w:tcW w:w="128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w w:val="95"/>
              </w:rPr>
              <w:t>Accumulated Other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presented net of taxes)</w:t>
            </w:r>
          </w:p>
        </w:tc>
        <w:tc>
          <w:tcPr>
            <w:tcW w:w="120" w:type="dxa"/>
            <w:vAlign w:val="bottom"/>
          </w:tcPr>
          <w:p>
            <w:pPr>
              <w:spacing w:after="0"/>
              <w:rPr>
                <w:sz w:val="11"/>
                <w:szCs w:val="11"/>
                <w:color w:val="auto"/>
              </w:rPr>
            </w:pPr>
          </w:p>
        </w:tc>
        <w:tc>
          <w:tcPr>
            <w:tcW w:w="12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2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on Available-For-</w:t>
            </w: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8"/>
              </w:rPr>
              <w:t>Gains (Losses)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7"/>
              </w:rPr>
              <w:t>Sale Securities</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Plans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3"/>
              </w:rPr>
              <w:t>Hedges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25"/>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 at January 1, 2022</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(1,550.2)</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DBDBDB"/>
          </w:tcPr>
          <w:p>
            <w:pPr>
              <w:jc w:val="right"/>
              <w:ind w:right="64"/>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(2,583.6)</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176"/>
        </w:trPr>
        <w:tc>
          <w:tcPr>
            <w:tcW w:w="464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(324.4)</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5"/>
                <w:szCs w:val="15"/>
                <w:color w:val="auto"/>
              </w:rPr>
            </w:pPr>
          </w:p>
        </w:tc>
        <w:tc>
          <w:tcPr>
            <w:tcW w:w="960" w:type="dxa"/>
            <w:vAlign w:val="bottom"/>
            <w:vMerge w:val="restart"/>
          </w:tcPr>
          <w:p>
            <w:pPr>
              <w:jc w:val="right"/>
              <w:ind w:right="55"/>
              <w:spacing w:after="0"/>
              <w:rPr>
                <w:sz w:val="20"/>
                <w:szCs w:val="20"/>
                <w:color w:val="auto"/>
              </w:rPr>
            </w:pPr>
            <w:r>
              <w:rPr>
                <w:rFonts w:ascii="Arial" w:cs="Arial" w:eastAsia="Arial" w:hAnsi="Arial"/>
                <w:sz w:val="18"/>
                <w:szCs w:val="18"/>
                <w:color w:val="auto"/>
              </w:rPr>
              <w:t>291.5</w:t>
            </w:r>
          </w:p>
        </w:tc>
        <w:tc>
          <w:tcPr>
            <w:tcW w:w="180" w:type="dxa"/>
            <w:vAlign w:val="bottom"/>
          </w:tcPr>
          <w:p>
            <w:pPr>
              <w:spacing w:after="0"/>
              <w:rPr>
                <w:sz w:val="15"/>
                <w:szCs w:val="15"/>
                <w:color w:val="auto"/>
              </w:rPr>
            </w:pPr>
          </w:p>
        </w:tc>
        <w:tc>
          <w:tcPr>
            <w:tcW w:w="1020" w:type="dxa"/>
            <w:vAlign w:val="bottom"/>
            <w:vMerge w:val="restart"/>
          </w:tcPr>
          <w:p>
            <w:pPr>
              <w:jc w:val="right"/>
              <w:ind w:right="38"/>
              <w:spacing w:after="0"/>
              <w:rPr>
                <w:sz w:val="20"/>
                <w:szCs w:val="20"/>
                <w:color w:val="auto"/>
              </w:rPr>
            </w:pPr>
            <w:r>
              <w:rPr>
                <w:rFonts w:ascii="Arial" w:cs="Arial" w:eastAsia="Arial" w:hAnsi="Arial"/>
                <w:sz w:val="18"/>
                <w:szCs w:val="18"/>
                <w:color w:val="auto"/>
              </w:rPr>
              <w:t>332.8</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20" w:type="dxa"/>
            <w:vAlign w:val="bottom"/>
            <w:shd w:val="clear" w:color="auto" w:fill="DBDBDB"/>
          </w:tcPr>
          <w:p>
            <w:pPr>
              <w:spacing w:after="0"/>
              <w:rPr>
                <w:sz w:val="15"/>
                <w:szCs w:val="15"/>
                <w:color w:val="auto"/>
              </w:rPr>
            </w:pPr>
          </w:p>
        </w:tc>
        <w:tc>
          <w:tcPr>
            <w:tcW w:w="1260" w:type="dxa"/>
            <w:vAlign w:val="bottom"/>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DBDBDB"/>
          </w:tcPr>
          <w:p>
            <w:pPr>
              <w:spacing w:after="0"/>
              <w:rPr>
                <w:sz w:val="15"/>
                <w:szCs w:val="15"/>
                <w:color w:val="auto"/>
              </w:rPr>
            </w:pPr>
          </w:p>
        </w:tc>
        <w:tc>
          <w:tcPr>
            <w:tcW w:w="960" w:type="dxa"/>
            <w:vAlign w:val="bottom"/>
            <w:vMerge w:val="restart"/>
            <w:shd w:val="clear" w:color="auto" w:fill="DBDBDB"/>
          </w:tcPr>
          <w:p>
            <w:pPr>
              <w:jc w:val="right"/>
              <w:ind w:right="55"/>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ind w:right="38"/>
              <w:spacing w:after="0"/>
              <w:rPr>
                <w:sz w:val="20"/>
                <w:szCs w:val="20"/>
                <w:color w:val="auto"/>
              </w:rPr>
            </w:pPr>
            <w:r>
              <w:rPr>
                <w:rFonts w:ascii="Arial" w:cs="Arial" w:eastAsia="Arial" w:hAnsi="Arial"/>
                <w:sz w:val="18"/>
                <w:szCs w:val="18"/>
                <w:color w:val="auto"/>
              </w:rPr>
              <w:t>9.2</w:t>
            </w:r>
          </w:p>
        </w:tc>
        <w:tc>
          <w:tcPr>
            <w:tcW w:w="180" w:type="dxa"/>
            <w:vAlign w:val="bottom"/>
            <w:shd w:val="clear" w:color="auto" w:fill="DBDBDB"/>
          </w:tcPr>
          <w:p>
            <w:pPr>
              <w:spacing w:after="0"/>
              <w:rPr>
                <w:sz w:val="15"/>
                <w:szCs w:val="15"/>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43"/>
        </w:trPr>
        <w:tc>
          <w:tcPr>
            <w:tcW w:w="4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vMerge w:val="continue"/>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vMerge w:val="continue"/>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vMerge w:val="continue"/>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vMerge w:val="continue"/>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521.3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342.0</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23"/>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(1,874.2)</w:t>
            </w:r>
          </w:p>
        </w:tc>
        <w:tc>
          <w:tcPr>
            <w:tcW w:w="1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(2,062.3)</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8"/>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(3,844.6)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40" w:right="120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78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78.9</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(686.9)</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79.7</w:t>
            </w:r>
          </w:p>
        </w:tc>
        <w:tc>
          <w:tcPr>
            <w:tcW w:w="1080" w:type="dxa"/>
            <w:vAlign w:val="bottom"/>
          </w:tcPr>
          <w:p>
            <w:pPr>
              <w:jc w:val="right"/>
              <w:spacing w:after="0"/>
              <w:rPr>
                <w:sz w:val="20"/>
                <w:szCs w:val="20"/>
                <w:color w:val="auto"/>
              </w:rPr>
            </w:pPr>
            <w:r>
              <w:rPr>
                <w:rFonts w:ascii="Arial" w:cs="Arial" w:eastAsia="Arial" w:hAnsi="Arial"/>
                <w:sz w:val="18"/>
                <w:szCs w:val="18"/>
                <w:color w:val="auto"/>
              </w:rPr>
              <w:t>(518.2)</w:t>
            </w:r>
          </w:p>
        </w:tc>
      </w:tr>
      <w:tr>
        <w:trPr>
          <w:trHeight w:val="414"/>
        </w:trPr>
        <w:tc>
          <w:tcPr>
            <w:tcW w:w="920" w:type="dxa"/>
            <w:vAlign w:val="bottom"/>
          </w:tcPr>
          <w:p>
            <w:pPr>
              <w:jc w:val="right"/>
              <w:ind w:right="350"/>
              <w:spacing w:after="0"/>
              <w:rPr>
                <w:sz w:val="20"/>
                <w:szCs w:val="20"/>
                <w:color w:val="auto"/>
              </w:rPr>
            </w:pPr>
            <w:r>
              <w:rPr>
                <w:rFonts w:ascii="Arial" w:cs="Arial" w:eastAsia="Arial" w:hAnsi="Arial"/>
                <w:sz w:val="18"/>
                <w:szCs w:val="18"/>
                <w:color w:val="auto"/>
                <w:w w:val="97"/>
              </w:rPr>
              <w:t>(23.7)</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51.9</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6.8</w:t>
            </w: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-264795</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720"/>
            <w:col w:w="5780"/>
          </w:cols>
          <w:pgMar w:left="320" w:top="103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17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55.2</w:t>
            </w: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10.9</w:t>
            </w:r>
          </w:p>
        </w:tc>
        <w:tc>
          <w:tcPr>
            <w:tcW w:w="1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(635.0)</w:t>
            </w: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86.5</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r>
      <w:tr>
        <w:trPr>
          <w:trHeight w:val="223"/>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2023</w:t>
            </w:r>
          </w:p>
        </w:tc>
        <w:tc>
          <w:tcPr>
            <w:tcW w:w="170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(1,819.0)</w:t>
            </w:r>
          </w:p>
        </w:tc>
        <w:tc>
          <w:tcPr>
            <w:tcW w:w="116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(26.2)</w:t>
            </w:r>
          </w:p>
        </w:tc>
        <w:tc>
          <w:tcPr>
            <w:tcW w:w="136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(2,697.3)</w:t>
            </w:r>
          </w:p>
        </w:tc>
        <w:tc>
          <w:tcPr>
            <w:tcW w:w="122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rPr>
              <w:t>215.5</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(4,327.0)</w:t>
            </w:r>
          </w:p>
        </w:tc>
      </w:tr>
    </w:tbl>
    <w:p>
      <w:pPr>
        <w:spacing w:after="0" w:line="1" w:lineRule="exact"/>
        <w:rPr>
          <w:sz w:val="20"/>
          <w:szCs w:val="20"/>
          <w:color w:val="auto"/>
        </w:rPr>
      </w:pPr>
    </w:p>
    <w:p>
      <w:pPr>
        <w:sectPr>
          <w:pgSz w:w="11900" w:h="16838" w:orient="portrait"/>
          <w:cols w:equalWidth="0" w:num="1">
            <w:col w:w="11240"/>
          </w:cols>
          <w:pgMar w:left="320" w:top="1039" w:right="339" w:bottom="1440" w:gutter="0" w:footer="0" w:header="0"/>
          <w:type w:val="continuous"/>
        </w:sectPr>
      </w:pPr>
    </w:p>
    <w:p>
      <w:pPr>
        <w:ind w:left="140" w:right="1100"/>
        <w:spacing w:after="0" w:line="237" w:lineRule="auto"/>
        <w:rPr>
          <w:sz w:val="20"/>
          <w:szCs w:val="20"/>
          <w:color w:val="auto"/>
        </w:rPr>
      </w:pPr>
      <w:r>
        <w:rPr>
          <w:rFonts w:ascii="Arial" w:cs="Arial" w:eastAsia="Arial" w:hAnsi="Arial"/>
          <w:sz w:val="18"/>
          <w:szCs w:val="18"/>
          <w:color w:val="auto"/>
        </w:rPr>
        <w:t>Other comprehensive income (loss) before reclassifications</w:t>
      </w:r>
    </w:p>
    <w:p>
      <w:pPr>
        <w:spacing w:after="0" w:line="4" w:lineRule="exact"/>
        <w:rPr>
          <w:sz w:val="20"/>
          <w:szCs w:val="20"/>
          <w:color w:val="auto"/>
        </w:rPr>
      </w:pPr>
    </w:p>
    <w:p>
      <w:pPr>
        <w:ind w:left="140" w:right="680"/>
        <w:spacing w:after="0"/>
        <w:rPr>
          <w:sz w:val="20"/>
          <w:szCs w:val="20"/>
          <w:color w:val="auto"/>
        </w:rPr>
      </w:pPr>
      <w:r>
        <w:rPr>
          <w:rFonts w:ascii="Arial" w:cs="Arial" w:eastAsia="Arial" w:hAnsi="Arial"/>
          <w:sz w:val="18"/>
          <w:szCs w:val="18"/>
          <w:color w:val="auto"/>
        </w:rPr>
        <w:t>Net amount reclassified from accumulated other comprehensive loss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(580.2)</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(5.0)</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424.6</w:t>
            </w: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62.0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(98.6)</w:t>
            </w:r>
          </w:p>
        </w:tc>
      </w:tr>
      <w:tr>
        <w:trPr>
          <w:trHeight w:val="407"/>
        </w:trPr>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9.6</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(0.5)</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94.0</w:t>
            </w: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0.6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-264795</wp:posOffset>
            </wp:positionV>
            <wp:extent cx="713232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880"/>
          </w:cols>
          <w:pgMar w:left="320" w:top="103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(570.6)</w:t>
            </w: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518.6</w:t>
            </w: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62.6</w:t>
            </w: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r>
      <w:tr>
        <w:trPr>
          <w:trHeight w:val="243"/>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 at December 31, 2024</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(2,389.6)</w:t>
            </w:r>
          </w:p>
        </w:tc>
        <w:tc>
          <w:tcPr>
            <w:tcW w:w="44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(31.7)</w:t>
            </w:r>
          </w:p>
        </w:tc>
        <w:tc>
          <w:tcPr>
            <w:tcW w:w="32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(2,178.7)</w:t>
            </w:r>
          </w:p>
        </w:tc>
        <w:tc>
          <w:tcPr>
            <w:tcW w:w="40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278.1</w:t>
            </w:r>
          </w:p>
        </w:tc>
        <w:tc>
          <w:tcPr>
            <w:tcW w:w="4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(4,321.9)</w:t>
            </w: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4"/>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(146.4)</w:t>
            </w:r>
          </w:p>
        </w:tc>
        <w:tc>
          <w:tcPr>
            <w:tcW w:w="940" w:type="dxa"/>
            <w:vAlign w:val="bottom"/>
            <w:shd w:val="clear" w:color="auto" w:fill="DBDBDB"/>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81.0</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1.6</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Retirement benefit plans</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(133.2)</w:t>
            </w:r>
          </w:p>
        </w:tc>
        <w:tc>
          <w:tcPr>
            <w:tcW w:w="94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7"/>
              </w:rPr>
              <w:t>141.5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(95.6)</w:t>
            </w:r>
          </w:p>
        </w:tc>
      </w:tr>
      <w:tr>
        <w:trPr>
          <w:trHeight w:val="230"/>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30"/>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Benefit (expense) for income taxes related to other comprehensive income (loss)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(294.7)</w:t>
            </w:r>
          </w:p>
        </w:tc>
        <w:tc>
          <w:tcPr>
            <w:tcW w:w="940" w:type="dxa"/>
            <w:vAlign w:val="bottom"/>
            <w:tcBorders>
              <w:bottom w:val="single" w:sz="8" w:color="auto"/>
            </w:tcBorders>
            <w:shd w:val="clear" w:color="auto" w:fill="DBDBDB"/>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7"/>
              </w:rPr>
              <w:t>196.3</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(250.0)</w:t>
            </w:r>
          </w:p>
        </w:tc>
      </w:tr>
    </w:tbl>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3500" w:type="dxa"/>
            <w:vAlign w:val="bottom"/>
            <w:gridSpan w:val="6"/>
          </w:tcPr>
          <w:p>
            <w:pPr>
              <w:ind w:left="40"/>
              <w:spacing w:after="0"/>
              <w:rPr>
                <w:sz w:val="20"/>
                <w:szCs w:val="20"/>
                <w:color w:val="auto"/>
              </w:rPr>
            </w:pPr>
            <w:r>
              <w:rPr>
                <w:rFonts w:ascii="Arial" w:cs="Arial" w:eastAsia="Arial" w:hAnsi="Arial"/>
                <w:sz w:val="14"/>
                <w:szCs w:val="14"/>
                <w:b w:val="1"/>
                <w:bCs w:val="1"/>
                <w:color w:val="auto"/>
              </w:rPr>
              <w:t>Affected Line Item in the Consolidated Statements</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of Operations</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retirement benefit items:</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Prior service benefits,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center"/>
              <w:ind w:left="233"/>
              <w:spacing w:after="0"/>
              <w:rPr>
                <w:sz w:val="20"/>
                <w:szCs w:val="20"/>
                <w:color w:val="auto"/>
              </w:rPr>
            </w:pPr>
            <w:r>
              <w:rPr>
                <w:rFonts w:ascii="Arial" w:cs="Arial" w:eastAsia="Arial" w:hAnsi="Arial"/>
                <w:sz w:val="18"/>
                <w:szCs w:val="18"/>
                <w:color w:val="auto"/>
              </w:rPr>
              <w:t>(52.4)</w:t>
            </w:r>
          </w:p>
        </w:tc>
        <w:tc>
          <w:tcPr>
            <w:tcW w:w="2580" w:type="dxa"/>
            <w:vAlign w:val="bottom"/>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Actuarial losses</w:t>
            </w:r>
          </w:p>
        </w:tc>
        <w:tc>
          <w:tcPr>
            <w:tcW w:w="3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122.5</w:t>
            </w:r>
          </w:p>
        </w:tc>
        <w:tc>
          <w:tcPr>
            <w:tcW w:w="3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color w:val="auto"/>
              </w:rPr>
              <w:t>116.2</w:t>
            </w:r>
          </w:p>
        </w:tc>
        <w:tc>
          <w:tcPr>
            <w:tcW w:w="4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343.3</w:t>
            </w:r>
          </w:p>
        </w:tc>
        <w:tc>
          <w:tcPr>
            <w:tcW w:w="2580" w:type="dxa"/>
            <w:vAlign w:val="bottom"/>
            <w:gridSpan w:val="4"/>
            <w:shd w:val="clear" w:color="auto" w:fill="DBDBDB"/>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119.0</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290.9</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(25.0)</w:t>
            </w:r>
          </w:p>
        </w:tc>
        <w:tc>
          <w:tcPr>
            <w:tcW w:w="3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center"/>
              <w:ind w:left="233"/>
              <w:spacing w:after="0"/>
              <w:rPr>
                <w:sz w:val="20"/>
                <w:szCs w:val="20"/>
                <w:color w:val="auto"/>
              </w:rPr>
            </w:pPr>
            <w:r>
              <w:rPr>
                <w:rFonts w:ascii="Arial" w:cs="Arial" w:eastAsia="Arial" w:hAnsi="Arial"/>
                <w:sz w:val="18"/>
                <w:szCs w:val="18"/>
                <w:color w:val="auto"/>
              </w:rPr>
              <w:t>(61.1)</w:t>
            </w:r>
          </w:p>
        </w:tc>
        <w:tc>
          <w:tcPr>
            <w:tcW w:w="202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94.0</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229.8</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2580" w:type="dxa"/>
            <w:vAlign w:val="bottom"/>
            <w:gridSpan w:val="4"/>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580" w:type="dxa"/>
            <w:vAlign w:val="bottom"/>
            <w:tcBorders>
              <w:bottom w:val="single" w:sz="8" w:color="DBDBDB"/>
            </w:tcBorders>
            <w:gridSpan w:val="4"/>
          </w:tcPr>
          <w:p>
            <w:pPr>
              <w:ind w:left="140"/>
              <w:spacing w:after="0"/>
              <w:rPr>
                <w:sz w:val="20"/>
                <w:szCs w:val="20"/>
                <w:color w:val="auto"/>
              </w:rPr>
            </w:pPr>
            <w:r>
              <w:rPr>
                <w:rFonts w:ascii="Arial" w:cs="Arial" w:eastAsia="Arial" w:hAnsi="Arial"/>
                <w:sz w:val="18"/>
                <w:szCs w:val="18"/>
                <w:color w:val="auto"/>
              </w:rPr>
              <w:t>Other—net, (income) expense</w:t>
            </w:r>
          </w:p>
        </w:tc>
        <w:tc>
          <w:tcPr>
            <w:tcW w:w="9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DBDBDB"/>
          </w:tcPr>
          <w:p>
            <w:pPr>
              <w:ind w:left="140"/>
              <w:spacing w:after="0" w:line="156" w:lineRule="exact"/>
              <w:rPr>
                <w:sz w:val="20"/>
                <w:szCs w:val="20"/>
                <w:color w:val="auto"/>
              </w:rPr>
            </w:pPr>
            <w:r>
              <w:rPr>
                <w:rFonts w:ascii="Arial" w:cs="Arial" w:eastAsia="Arial" w:hAnsi="Arial"/>
                <w:sz w:val="18"/>
                <w:szCs w:val="18"/>
                <w:color w:val="auto"/>
                <w:w w:val="99"/>
              </w:rPr>
              <w:t>Total reclassifications for the period, net of</w:t>
            </w:r>
          </w:p>
        </w:tc>
        <w:tc>
          <w:tcPr>
            <w:tcW w:w="320" w:type="dxa"/>
            <w:vAlign w:val="bottom"/>
            <w:vMerge w:val="restart"/>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103.7</w:t>
            </w:r>
          </w:p>
        </w:tc>
        <w:tc>
          <w:tcPr>
            <w:tcW w:w="360" w:type="dxa"/>
            <w:vAlign w:val="bottom"/>
            <w:vMerge w:val="restart"/>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BDBDB"/>
          </w:tcPr>
          <w:p>
            <w:pPr>
              <w:jc w:val="right"/>
              <w:ind w:right="32"/>
              <w:spacing w:after="0"/>
              <w:rPr>
                <w:sz w:val="20"/>
                <w:szCs w:val="20"/>
                <w:color w:val="auto"/>
              </w:rPr>
            </w:pPr>
            <w:r>
              <w:rPr>
                <w:rFonts w:ascii="Arial" w:cs="Arial" w:eastAsia="Arial" w:hAnsi="Arial"/>
                <w:sz w:val="18"/>
                <w:szCs w:val="18"/>
                <w:color w:val="auto"/>
              </w:rPr>
              <w:t>35.8</w:t>
            </w:r>
          </w:p>
        </w:tc>
        <w:tc>
          <w:tcPr>
            <w:tcW w:w="44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250.8</w:t>
            </w:r>
          </w:p>
        </w:tc>
        <w:tc>
          <w:tcPr>
            <w:tcW w:w="5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vMerge w:val="continue"/>
            <w:shd w:val="clear" w:color="auto" w:fill="DBDBDB"/>
          </w:tcPr>
          <w:p>
            <w:pPr>
              <w:spacing w:after="0"/>
              <w:rPr>
                <w:sz w:val="21"/>
                <w:szCs w:val="21"/>
                <w:color w:val="auto"/>
              </w:rPr>
            </w:pPr>
          </w:p>
        </w:tc>
        <w:tc>
          <w:tcPr>
            <w:tcW w:w="1060" w:type="dxa"/>
            <w:vAlign w:val="bottom"/>
            <w:tcBorders>
              <w:bottom w:val="single" w:sz="8" w:color="auto"/>
            </w:tcBorders>
            <w:vMerge w:val="continue"/>
            <w:shd w:val="clear" w:color="auto" w:fill="DBDBDB"/>
          </w:tcPr>
          <w:p>
            <w:pPr>
              <w:spacing w:after="0"/>
              <w:rPr>
                <w:sz w:val="21"/>
                <w:szCs w:val="21"/>
                <w:color w:val="auto"/>
              </w:rPr>
            </w:pPr>
          </w:p>
        </w:tc>
        <w:tc>
          <w:tcPr>
            <w:tcW w:w="360" w:type="dxa"/>
            <w:vAlign w:val="bottom"/>
            <w:tcBorders>
              <w:bottom w:val="single" w:sz="8" w:color="auto"/>
            </w:tcBorders>
            <w:vMerge w:val="continue"/>
            <w:shd w:val="clear" w:color="auto" w:fill="DBDBDB"/>
          </w:tcPr>
          <w:p>
            <w:pPr>
              <w:spacing w:after="0"/>
              <w:rPr>
                <w:sz w:val="21"/>
                <w:szCs w:val="21"/>
                <w:color w:val="auto"/>
              </w:rPr>
            </w:pPr>
          </w:p>
        </w:tc>
        <w:tc>
          <w:tcPr>
            <w:tcW w:w="1060" w:type="dxa"/>
            <w:vAlign w:val="bottom"/>
            <w:tcBorders>
              <w:bottom w:val="single" w:sz="8" w:color="auto"/>
            </w:tcBorders>
            <w:vMerge w:val="continue"/>
            <w:shd w:val="clear" w:color="auto" w:fill="DBDBDB"/>
          </w:tcPr>
          <w:p>
            <w:pPr>
              <w:spacing w:after="0"/>
              <w:rPr>
                <w:sz w:val="21"/>
                <w:szCs w:val="21"/>
                <w:color w:val="auto"/>
              </w:rPr>
            </w:pPr>
          </w:p>
        </w:tc>
        <w:tc>
          <w:tcPr>
            <w:tcW w:w="44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840" w:type="dxa"/>
            <w:vAlign w:val="bottom"/>
            <w:tcBorders>
              <w:bottom w:val="single" w:sz="8" w:color="auto"/>
            </w:tcBorders>
            <w:vMerge w:val="continue"/>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768"/>
        </w:trPr>
        <w:tc>
          <w:tcPr>
            <w:tcW w:w="3540" w:type="dxa"/>
            <w:vAlign w:val="bottom"/>
          </w:tcPr>
          <w:p>
            <w:pPr>
              <w:spacing w:after="0"/>
              <w:rPr>
                <w:sz w:val="20"/>
                <w:szCs w:val="20"/>
                <w:color w:val="auto"/>
              </w:rPr>
            </w:pPr>
            <w:r>
              <w:rPr>
                <w:rFonts w:ascii="Arial" w:cs="Arial" w:eastAsia="Arial" w:hAnsi="Arial"/>
                <w:sz w:val="18"/>
                <w:szCs w:val="18"/>
                <w:b w:val="1"/>
                <w:bCs w:val="1"/>
                <w:color w:val="auto"/>
              </w:rPr>
              <w:t>Note 18: Other–Net, (Income) Expense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Other–net, (income) expense consisted of the following:</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780.6</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485.9</w:t>
            </w:r>
          </w:p>
        </w:tc>
        <w:tc>
          <w:tcPr>
            <w:tcW w:w="56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(175.2)</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Net investment losses on equity securities (Note 7)</w:t>
            </w: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500" w:type="dxa"/>
            <w:vAlign w:val="bottom"/>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49.5</w:t>
            </w:r>
          </w:p>
        </w:tc>
        <w:tc>
          <w:tcPr>
            <w:tcW w:w="38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20.2</w:t>
            </w:r>
          </w:p>
        </w:tc>
        <w:tc>
          <w:tcPr>
            <w:tcW w:w="5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(461.7)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(461.9)</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3"/>
              <w:spacing w:after="0"/>
              <w:rPr>
                <w:sz w:val="20"/>
                <w:szCs w:val="20"/>
                <w:color w:val="auto"/>
              </w:rPr>
            </w:pPr>
            <w:r>
              <w:rPr>
                <w:rFonts w:ascii="Arial" w:cs="Arial" w:eastAsia="Arial" w:hAnsi="Arial"/>
                <w:sz w:val="18"/>
                <w:szCs w:val="18"/>
                <w:b w:val="1"/>
                <w:bCs w:val="1"/>
                <w:color w:val="auto"/>
              </w:rPr>
              <w:t>25.4</w:t>
            </w:r>
          </w:p>
        </w:tc>
        <w:tc>
          <w:tcPr>
            <w:tcW w:w="3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8"/>
                <w:szCs w:val="18"/>
                <w:color w:val="auto"/>
              </w:rPr>
              <w:t>32.7</w:t>
            </w:r>
          </w:p>
        </w:tc>
        <w:tc>
          <w:tcPr>
            <w:tcW w:w="56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8"/>
                <w:szCs w:val="18"/>
                <w:b w:val="1"/>
                <w:bCs w:val="1"/>
                <w:color w:val="auto"/>
              </w:rPr>
              <w:t>218.6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following table summarizes our segment revenue, significant segment expenses, and segment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6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45,042.7</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34,124.1</w:t>
            </w:r>
          </w:p>
        </w:tc>
        <w:tc>
          <w:tcPr>
            <w:tcW w:w="4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28,541.4</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8,418.3</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7,082.2</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6,629.8</w:t>
            </w: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3,916.9</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3,092.5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2,406.6</w:t>
            </w:r>
          </w:p>
        </w:tc>
      </w:tr>
      <w:tr>
        <w:trPr>
          <w:trHeight w:val="229"/>
        </w:trPr>
        <w:tc>
          <w:tcPr>
            <w:tcW w:w="678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7,073.7</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6,220.9</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4,784.2</w:t>
            </w: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8,593.8</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7,403.1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6,440.4</w:t>
            </w:r>
          </w:p>
        </w:tc>
      </w:tr>
      <w:tr>
        <w:trPr>
          <w:trHeight w:val="229"/>
        </w:trPr>
        <w:tc>
          <w:tcPr>
            <w:tcW w:w="6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3,280.4</w:t>
            </w:r>
          </w:p>
        </w:tc>
        <w:tc>
          <w:tcPr>
            <w:tcW w:w="4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3,799.8</w:t>
            </w:r>
          </w:p>
        </w:tc>
        <w:tc>
          <w:tcPr>
            <w:tcW w:w="4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908.5</w:t>
            </w:r>
          </w:p>
        </w:tc>
      </w:tr>
      <w:tr>
        <w:trPr>
          <w:trHeight w:val="229"/>
        </w:trPr>
        <w:tc>
          <w:tcPr>
            <w:tcW w:w="6780" w:type="dxa"/>
            <w:vAlign w:val="bottom"/>
            <w:tcBorders>
              <w:bottom w:val="single" w:sz="8" w:color="DBDBDB"/>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3,169.6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1,285.2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w:t>
            </w:r>
          </w:p>
        </w:tc>
      </w:tr>
      <w:tr>
        <w:trPr>
          <w:trHeight w:val="230"/>
        </w:trPr>
        <w:tc>
          <w:tcPr>
            <w:tcW w:w="6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10,590.0</w:t>
            </w:r>
          </w:p>
        </w:tc>
        <w:tc>
          <w:tcPr>
            <w:tcW w:w="40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5,240.4</w:t>
            </w:r>
          </w:p>
        </w:tc>
        <w:tc>
          <w:tcPr>
            <w:tcW w:w="42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6,244.8</w:t>
            </w:r>
          </w:p>
        </w:tc>
      </w:tr>
    </w:tbl>
    <w:p>
      <w:pPr>
        <w:spacing w:after="0" w:line="99" w:lineRule="exact"/>
        <w:rPr>
          <w:sz w:val="20"/>
          <w:szCs w:val="20"/>
          <w:color w:val="auto"/>
        </w:rPr>
      </w:pPr>
    </w:p>
    <w:p>
      <w:pPr>
        <w:ind w:left="180" w:right="560" w:hanging="172"/>
        <w:spacing w:after="0" w:line="238" w:lineRule="auto"/>
        <w:tabs>
          <w:tab w:leader="none" w:pos="158"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 and asset impairment, restructuring, and other special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additional segment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175.2</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173.6</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780.6</w:t>
            </w:r>
          </w:p>
        </w:tc>
        <w:tc>
          <w:tcPr>
            <w:tcW w:w="4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485.9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29"/>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1,766.6</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1,527.3</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1,522.5</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1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860.6</w:t>
            </w:r>
          </w:p>
        </w:tc>
        <w:tc>
          <w:tcPr>
            <w:tcW w:w="4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30"/>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(loss) in equity method investments</w:t>
            </w:r>
          </w:p>
        </w:tc>
        <w:tc>
          <w:tcPr>
            <w:tcW w:w="1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89.8</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(138.0)</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3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2,090.4</w:t>
            </w:r>
          </w:p>
        </w:tc>
        <w:tc>
          <w:tcPr>
            <w:tcW w:w="40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1,314.2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561.6</w:t>
            </w:r>
          </w:p>
        </w:tc>
      </w:tr>
      <w:tr>
        <w:trPr>
          <w:trHeight w:val="230"/>
        </w:trPr>
        <w:tc>
          <w:tcPr>
            <w:tcW w:w="574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(1)</w:t>
            </w:r>
          </w:p>
        </w:tc>
        <w:tc>
          <w:tcPr>
            <w:tcW w:w="13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5,560.8</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3,830.2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2,289.2</w:t>
            </w:r>
          </w:p>
        </w:tc>
      </w:tr>
    </w:tbl>
    <w:p>
      <w:pPr>
        <w:spacing w:after="0" w:line="85"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2"/>
          <w:szCs w:val="12"/>
          <w:color w:val="auto"/>
        </w:rPr>
        <w:t>Includes expenditures for property and equipment and computer software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r>
      <w:tr>
        <w:trPr>
          <w:trHeight w:val="224"/>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40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ind w:right="16"/>
              <w:spacing w:after="0"/>
              <w:rPr>
                <w:sz w:val="20"/>
                <w:szCs w:val="20"/>
                <w:color w:val="auto"/>
              </w:rPr>
            </w:pPr>
            <w:r>
              <w:rPr>
                <w:rFonts w:ascii="Arial" w:cs="Arial" w:eastAsia="Arial" w:hAnsi="Arial"/>
                <w:sz w:val="18"/>
                <w:szCs w:val="18"/>
                <w:b w:val="1"/>
                <w:bCs w:val="1"/>
                <w:color w:val="auto"/>
              </w:rPr>
              <w:t>78,714.9</w:t>
            </w:r>
          </w:p>
        </w:tc>
        <w:tc>
          <w:tcPr>
            <w:tcW w:w="4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64,006.3</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3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1,142.7</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7" w:name="page108"/>
    <w:bookmarkEnd w:id="107"/>
    <w:p>
      <w:pPr>
        <w:spacing w:after="0"/>
        <w:rPr>
          <w:sz w:val="20"/>
          <w:szCs w:val="20"/>
          <w:color w:val="auto"/>
        </w:rPr>
      </w:pPr>
      <w:r>
        <w:rPr>
          <w:rFonts w:ascii="Arial" w:cs="Arial" w:eastAsia="Arial" w:hAnsi="Arial"/>
          <w:sz w:val="29"/>
          <w:szCs w:val="29"/>
          <w:i w:val="1"/>
          <w:iCs w:val="1"/>
          <w:color w:val="auto"/>
        </w:rPr>
        <w:t>Management's Reports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for Financial Statements—Eli Lilly and Company and Subsidiaries</w:t>
      </w:r>
    </w:p>
    <w:p>
      <w:pPr>
        <w:spacing w:after="0" w:line="11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(PCAOB ID: 42).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audit committee includes four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Reporting—Eli Lilly and Company and Subsidiaries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7" w:right="359" w:bottom="1440" w:gutter="0" w:footer="0" w:header="0"/>
        </w:sectPr>
      </w:pPr>
    </w:p>
    <w:bookmarkStart w:id="108" w:name="page109"/>
    <w:bookmarkEnd w:id="108"/>
    <w:p>
      <w:pPr>
        <w:ind w:right="720"/>
        <w:spacing w:after="0" w:line="262"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2024.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effectiveness of internal control over financial reporting as of December 31, 2024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ind w:left="20"/>
              <w:spacing w:after="0"/>
              <w:rPr>
                <w:sz w:val="20"/>
                <w:szCs w:val="20"/>
                <w:color w:val="auto"/>
              </w:rPr>
            </w:pPr>
            <w:r>
              <w:rPr>
                <w:rFonts w:ascii="Arial" w:cs="Arial" w:eastAsia="Arial" w:hAnsi="Arial"/>
                <w:sz w:val="18"/>
                <w:szCs w:val="18"/>
                <w:color w:val="auto"/>
              </w:rPr>
              <w:t>David Ricks</w:t>
            </w:r>
          </w:p>
        </w:tc>
        <w:tc>
          <w:tcPr>
            <w:tcW w:w="6700" w:type="dxa"/>
            <w:vAlign w:val="bottom"/>
          </w:tcPr>
          <w:p>
            <w:pPr>
              <w:ind w:left="1100"/>
              <w:spacing w:after="0"/>
              <w:rPr>
                <w:sz w:val="20"/>
                <w:szCs w:val="20"/>
                <w:color w:val="auto"/>
              </w:rPr>
            </w:pPr>
            <w:r>
              <w:rPr>
                <w:rFonts w:ascii="Arial" w:cs="Arial" w:eastAsia="Arial" w:hAnsi="Arial"/>
                <w:sz w:val="18"/>
                <w:szCs w:val="18"/>
                <w:color w:val="auto"/>
              </w:rPr>
              <w:t>Lucas Montarce</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Chair, President, and Chief Executive Officer</w:t>
            </w:r>
          </w:p>
        </w:tc>
        <w:tc>
          <w:tcPr>
            <w:tcW w:w="6700" w:type="dxa"/>
            <w:vAlign w:val="bottom"/>
          </w:tcPr>
          <w:p>
            <w:pPr>
              <w:ind w:left="1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February 19, 2025</w:t>
            </w:r>
          </w:p>
        </w:tc>
        <w:tc>
          <w:tcPr>
            <w:tcW w:w="6700" w:type="dxa"/>
            <w:vAlign w:val="bottom"/>
          </w:tcPr>
          <w:p>
            <w:pPr>
              <w:spacing w:after="0"/>
              <w:rPr>
                <w:sz w:val="24"/>
                <w:szCs w:val="24"/>
                <w:color w:val="auto"/>
              </w:rPr>
            </w:pPr>
          </w:p>
        </w:tc>
      </w:tr>
      <w:tr>
        <w:trPr>
          <w:trHeight w:val="810"/>
        </w:trPr>
        <w:tc>
          <w:tcPr>
            <w:tcW w:w="4540" w:type="dxa"/>
            <w:vAlign w:val="bottom"/>
          </w:tcPr>
          <w:p>
            <w:pPr>
              <w:spacing w:after="0"/>
              <w:rPr>
                <w:sz w:val="24"/>
                <w:szCs w:val="24"/>
                <w:color w:val="auto"/>
              </w:rPr>
            </w:pPr>
          </w:p>
        </w:tc>
        <w:tc>
          <w:tcPr>
            <w:tcW w:w="6700" w:type="dxa"/>
            <w:vAlign w:val="bottom"/>
          </w:tcPr>
          <w:p>
            <w:pPr>
              <w:jc w:val="right"/>
              <w:ind w:right="5370"/>
              <w:spacing w:after="0"/>
              <w:rPr>
                <w:sz w:val="20"/>
                <w:szCs w:val="20"/>
                <w:color w:val="auto"/>
              </w:rPr>
            </w:pPr>
            <w:r>
              <w:rPr>
                <w:rFonts w:ascii="Arial" w:cs="Arial" w:eastAsia="Arial" w:hAnsi="Arial"/>
                <w:sz w:val="18"/>
                <w:szCs w:val="18"/>
                <w:color w:val="auto"/>
              </w:rPr>
              <w:t>109</w:t>
            </w:r>
          </w:p>
        </w:tc>
      </w:tr>
      <w:tr>
        <w:trPr>
          <w:trHeight w:val="111"/>
        </w:trPr>
        <w:tc>
          <w:tcPr>
            <w:tcW w:w="45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9" w:name="page110"/>
    <w:bookmarkEnd w:id="109"/>
    <w:p>
      <w:pPr>
        <w:spacing w:after="0"/>
        <w:rPr>
          <w:sz w:val="20"/>
          <w:szCs w:val="20"/>
          <w:color w:val="auto"/>
        </w:rPr>
      </w:pPr>
      <w:r>
        <w:rPr>
          <w:rFonts w:ascii="Arial" w:cs="Arial" w:eastAsia="Arial" w:hAnsi="Arial"/>
          <w:sz w:val="29"/>
          <w:szCs w:val="29"/>
          <w:i w:val="1"/>
          <w:iCs w:val="1"/>
          <w:color w:val="auto"/>
        </w:rPr>
        <w:t>Report of Independent Registered Public Accounting Firm</w:t>
      </w:r>
    </w:p>
    <w:p>
      <w:pPr>
        <w:spacing w:after="0" w:line="191" w:lineRule="exact"/>
        <w:rPr>
          <w:sz w:val="20"/>
          <w:szCs w:val="20"/>
          <w:color w:val="auto"/>
        </w:rPr>
      </w:pPr>
    </w:p>
    <w:p>
      <w:pPr>
        <w:ind w:right="5500"/>
        <w:spacing w:after="0" w:line="438" w:lineRule="auto"/>
        <w:rPr>
          <w:sz w:val="20"/>
          <w:szCs w:val="20"/>
          <w:color w:val="auto"/>
        </w:rPr>
      </w:pPr>
      <w:r>
        <w:rPr>
          <w:rFonts w:ascii="Arial" w:cs="Arial" w:eastAsia="Arial" w:hAnsi="Arial"/>
          <w:sz w:val="18"/>
          <w:szCs w:val="18"/>
          <w:color w:val="auto"/>
        </w:rPr>
        <w:t xml:space="preserve">To the Shareholders and the Board of Directors of Eli Lilly and Company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2024 and 2023, the related consolidated statements of operations, comprehensive income (loss),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10" w:name="page111"/>
    <w:bookmarkEnd w:id="110"/>
    <w:p>
      <w:pPr>
        <w:spacing w:after="0" w:line="230" w:lineRule="exact"/>
        <w:rPr>
          <w:sz w:val="20"/>
          <w:szCs w:val="20"/>
          <w:color w:val="auto"/>
        </w:rPr>
      </w:pPr>
    </w:p>
    <w:p>
      <w:pPr>
        <w:ind w:left="20" w:right="420"/>
        <w:spacing w:after="0" w:line="239"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2 to the consolidated financial statements under the caption “Net</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Product Revenue,” the Company establishes provisions for sales rebate and discounts in the same period as the related sales occur. At December 31, 2024, the Company had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$11,539.3 million in sales rebate and discount accruals. A large portion of these accruals</w:t>
      </w:r>
    </w:p>
    <w:p>
      <w:pPr>
        <w:spacing w:after="0" w:line="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are rebates associated with sales in the United States for which payment for purchase of the product is covered by Medicaid, Managed Care, and Medicare.</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changes in rebate contracts, an evaluation of the current Medicaid and Medicare laws and interpretations, the percentage of products that are sold via Medicaid, Managed Care, and Medicare, and product pricing. Given variability in prescription drug costs and variability in prescription data, historical rebate information may not be predictive for management to estimate the rebate accrual and thus, management supplements its historical data analysis with qualitative adjustments based upon current expectations, particularly for select products which contribute the largest portion of the Company's revenue.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 of the sales rebate and discount liabilities. This included testing controls over management’s review of the significant assumptions used to calculate the Medicaid, Managed Care, and Medicare rebate liabilities, including the significant assumptions discussed above. This testing also included management’s control to compare actual activity to estimated activity and controls to ensure the data used to evaluate the significant assumptions was complete and accurate.</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professionals with an understanding of the statutory reimbursement requirements to assess the consistency of the Company’s calculation methodologies with the applicable government regulations and policy.</w:t>
      </w:r>
    </w:p>
    <w:p>
      <w:pPr>
        <w:spacing w:after="0" w:line="864" w:lineRule="exact"/>
        <w:rPr>
          <w:sz w:val="20"/>
          <w:szCs w:val="20"/>
          <w:color w:val="auto"/>
        </w:rPr>
      </w:pPr>
    </w:p>
    <w:p>
      <w:pPr>
        <w:sectPr>
          <w:pgSz w:w="11900" w:h="16838" w:orient="portrait"/>
          <w:cols w:equalWidth="0" w:num="2">
            <w:col w:w="1840" w:space="220"/>
            <w:col w:w="9040"/>
          </w:cols>
          <w:pgMar w:left="320" w:top="973" w:right="47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3" w:right="4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29"/>
          <w:szCs w:val="29"/>
          <w:i w:val="1"/>
          <w:i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Eli Lilly and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2024, based on the COSO criteria.</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shareholders’ equity and cash flows for each of the three years in the period ended December 31, 2024, and the related notes and our report dated February 19, 2025,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7" w:right="379" w:bottom="1440" w:gutter="0" w:footer="0" w:header="0"/>
        </w:sectPr>
      </w:pPr>
    </w:p>
    <w:bookmarkStart w:id="112" w:name="page113"/>
    <w:bookmarkEnd w:id="112"/>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4" w:right="479" w:bottom="1440" w:gutter="0" w:footer="0" w:header="0"/>
        </w:sectPr>
      </w:pPr>
    </w:p>
    <w:bookmarkStart w:id="113" w:name="page114"/>
    <w:bookmarkEnd w:id="113"/>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management, with the participation of David Ricks, president and chief executive officer, and Lucas Montarce, executive vice president and chief financial officer, evaluated our disclosure controls and procedures (as such term is defined in Rules 13a-15(e) and 15d-15(e) under the Securities Exchange Act of 1934) as of December 31, 2024, and concluded that they were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Mr. Ricks and Mr. Montarce provided a report on behalf of management on our internal control over financial reporting, in which management concluded that the company's internal control over financial reporting is effective at December 31, 2024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6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Item 8 for the full text of management's report and Ernst &amp; Young's attestation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fourth quarter of 2024, there were no changes in our internal control over financial reporting that materially affected, or are reasonably likely to materially affect, our internal control over financial reporting.</w:t>
      </w: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November 20, 2024, Donald Zakrowski, senior vice president, finance, and chief accounting officer, adopted a sales plan (Plan). The Plan was entered into during an open trading window and is intended to satisfy the affirmative defense conditions of Rule 10b5-1(c) of the Exchange Act of 1934 and our policies regarding trading in our securities. The Plan calls for the sale of up to 4,000 shares of company common stock between March 13, 2025 and November 19, 2025 subject to the terms and conditions of the Plan.</w:t>
      </w:r>
    </w:p>
    <w:p>
      <w:pPr>
        <w:spacing w:after="0" w:line="200" w:lineRule="exact"/>
        <w:rPr>
          <w:sz w:val="20"/>
          <w:szCs w:val="20"/>
          <w:color w:val="auto"/>
        </w:rPr>
      </w:pPr>
    </w:p>
    <w:p>
      <w:pPr>
        <w:spacing w:after="0" w:line="221" w:lineRule="exact"/>
        <w:rPr>
          <w:sz w:val="20"/>
          <w:szCs w:val="20"/>
          <w:color w:val="auto"/>
        </w:rPr>
      </w:pPr>
    </w:p>
    <w:p>
      <w:pPr>
        <w:ind w:right="4400"/>
        <w:spacing w:after="0" w:line="410" w:lineRule="auto"/>
        <w:rPr>
          <w:sz w:val="20"/>
          <w:szCs w:val="20"/>
          <w:color w:val="auto"/>
        </w:rPr>
      </w:pPr>
      <w:r>
        <w:rPr>
          <w:rFonts w:ascii="Arial" w:cs="Arial" w:eastAsia="Arial" w:hAnsi="Arial"/>
          <w:sz w:val="18"/>
          <w:szCs w:val="18"/>
          <w:b w:val="1"/>
          <w:bCs w:val="1"/>
          <w:i w:val="1"/>
          <w:i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14" w:name="page115"/>
    <w:bookmarkEnd w:id="114"/>
    <w:p>
      <w:pPr>
        <w:spacing w:after="0"/>
        <w:rPr>
          <w:sz w:val="20"/>
          <w:szCs w:val="20"/>
          <w:color w:val="auto"/>
        </w:rPr>
      </w:pPr>
      <w:r>
        <w:rPr>
          <w:rFonts w:ascii="Arial" w:cs="Arial" w:eastAsia="Arial" w:hAnsi="Arial"/>
          <w:sz w:val="29"/>
          <w:szCs w:val="29"/>
          <w:u w:val="single" w:color="auto"/>
          <w:color w:val="auto"/>
        </w:rPr>
        <w:t>Part III</w:t>
      </w:r>
    </w:p>
    <w:p>
      <w:pPr>
        <w:spacing w:after="0" w:line="2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1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Information relating to our board of directors is found in our Definitive Proxy Statement, to be dated on or about March 21, 2025 (Proxy Statement), under "Governance - How We Build an Effective Board" and is incorporated in this Annual Report on Form 10-K by reference.</w:t>
      </w:r>
    </w:p>
    <w:p>
      <w:pPr>
        <w:spacing w:after="0" w:line="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Information relating to our insider trading procedure and processes is found in our Proxy Statement under "Ownership of Company Stock - Common Stock Ownership by Directors and Executive Officers" and is incorporated in this Annual Report on Form 10-K by reference.</w:t>
      </w:r>
    </w:p>
    <w:p>
      <w:pPr>
        <w:spacing w:after="0" w:line="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Information relating to our code of ethics is found in our Proxy Statement under "Governance - How We Operate an Effective Board - Governance Practices - Board Oversight - Key Areas of Oversight by the Board and Its Committees - Governance - Code of Ethics" and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"Governance - How We Build an Effective Board - Director Nominations - Shareholder Director Candidates" and is incorporated in this Annual Report on Form 10-K by reference.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Securities and Exchange Commission and New York Stock Exchange requirements for audit committees. Information about our audit committee is found in our Proxy Statement under "Governance - How We Operate an Effective Board - Board Structure - Meetings of the Board and Its Committees - Committees of the Board - Audit Committee" and is incorporated in this Annual Report on Form 10-K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Reporting Compliance</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Information about our compliance with Section 16(a) is found in our Proxy Statement under "Ownership of Company Stock - Delinquent Section 16(a) Reports" and is incorporated in this Annual Report on Form 10-K by reference.</w:t>
      </w:r>
    </w:p>
    <w:p>
      <w:pPr>
        <w:spacing w:after="0" w:line="39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i w:val="1"/>
          <w:i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on director compensation, executive compensation, and talent and compensation committee matters can be found in the Proxy Statement under "Governance - How We Build an Effective Board - Director Compensation," "- How We Operate an Effective Board - Board Structure - Meetings of the Board and Its Committees - Committees of the Board - Talent and Compensation Committee," "Compensation - Compensation Discussion and Analysis," "- Talent and Compensation Committee Matters,"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7" w:right="359" w:bottom="1440" w:gutter="0" w:footer="0" w:header="0"/>
        </w:sectPr>
      </w:pPr>
    </w:p>
    <w:bookmarkStart w:id="115" w:name="page116"/>
    <w:bookmarkEnd w:id="115"/>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presents information as of December 31, 2024 regarding the company's compensation plans under which shares of the company's common stock have been authorized for issuance.</w:t>
      </w:r>
    </w:p>
    <w:p>
      <w:pPr>
        <w:sectPr>
          <w:pgSz w:w="11900" w:h="16838" w:orient="portrait"/>
          <w:cols w:equalWidth="0" w:num="1">
            <w:col w:w="11240"/>
          </w:cols>
          <w:pgMar w:left="320" w:top="933" w:right="339" w:bottom="1440" w:gutter="0" w:footer="0" w:header="0"/>
        </w:sect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940" w:type="dxa"/>
            <w:vAlign w:val="bottom"/>
          </w:tcPr>
          <w:p>
            <w:pPr>
              <w:jc w:val="center"/>
              <w:ind w:left="1828"/>
              <w:spacing w:after="0"/>
              <w:rPr>
                <w:sz w:val="20"/>
                <w:szCs w:val="20"/>
                <w:color w:val="auto"/>
              </w:rPr>
            </w:pPr>
            <w:r>
              <w:rPr>
                <w:rFonts w:ascii="Arial" w:cs="Arial" w:eastAsia="Arial" w:hAnsi="Arial"/>
                <w:sz w:val="14"/>
                <w:szCs w:val="14"/>
                <w:b w:val="1"/>
                <w:bCs w:val="1"/>
                <w:color w:val="auto"/>
              </w:rPr>
              <w:t>(a) Number of securities to</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(b) Weighted-average</w:t>
            </w: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3940" w:type="dxa"/>
            <w:vAlign w:val="bottom"/>
          </w:tcPr>
          <w:p>
            <w:pPr>
              <w:jc w:val="center"/>
              <w:ind w:left="1828"/>
              <w:spacing w:after="0" w:line="139" w:lineRule="exact"/>
              <w:rPr>
                <w:sz w:val="20"/>
                <w:szCs w:val="20"/>
                <w:color w:val="auto"/>
              </w:rPr>
            </w:pPr>
            <w:r>
              <w:rPr>
                <w:rFonts w:ascii="Arial" w:cs="Arial" w:eastAsia="Arial" w:hAnsi="Arial"/>
                <w:sz w:val="14"/>
                <w:szCs w:val="14"/>
                <w:b w:val="1"/>
                <w:bCs w:val="1"/>
                <w:color w:val="auto"/>
              </w:rPr>
              <w:t>be issued upon exercise</w:t>
            </w:r>
          </w:p>
        </w:tc>
        <w:tc>
          <w:tcPr>
            <w:tcW w:w="158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exercise price of</w:t>
            </w:r>
          </w:p>
        </w:tc>
        <w:tc>
          <w:tcPr>
            <w:tcW w:w="0" w:type="dxa"/>
            <w:vAlign w:val="bottom"/>
          </w:tcPr>
          <w:p>
            <w:pPr>
              <w:spacing w:after="0"/>
              <w:rPr>
                <w:sz w:val="1"/>
                <w:szCs w:val="1"/>
                <w:color w:val="auto"/>
              </w:rPr>
            </w:pPr>
          </w:p>
        </w:tc>
      </w:tr>
      <w:tr>
        <w:trPr>
          <w:trHeight w:val="146"/>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940" w:type="dxa"/>
            <w:vAlign w:val="bottom"/>
          </w:tcPr>
          <w:p>
            <w:pPr>
              <w:jc w:val="center"/>
              <w:ind w:left="1828"/>
              <w:spacing w:after="0" w:line="146" w:lineRule="exact"/>
              <w:rPr>
                <w:sz w:val="20"/>
                <w:szCs w:val="20"/>
                <w:color w:val="auto"/>
              </w:rPr>
            </w:pPr>
            <w:r>
              <w:rPr>
                <w:rFonts w:ascii="Arial" w:cs="Arial" w:eastAsia="Arial" w:hAnsi="Arial"/>
                <w:sz w:val="14"/>
                <w:szCs w:val="14"/>
                <w:b w:val="1"/>
                <w:bCs w:val="1"/>
                <w:color w:val="auto"/>
              </w:rPr>
              <w:t>of outstanding options,</w:t>
            </w:r>
          </w:p>
        </w:tc>
        <w:tc>
          <w:tcPr>
            <w:tcW w:w="1580" w:type="dxa"/>
            <w:vAlign w:val="bottom"/>
          </w:tcPr>
          <w:p>
            <w:pPr>
              <w:jc w:val="center"/>
              <w:ind w:left="48"/>
              <w:spacing w:after="0" w:line="146" w:lineRule="exact"/>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201"/>
        </w:trPr>
        <w:tc>
          <w:tcPr>
            <w:tcW w:w="2940" w:type="dxa"/>
            <w:vAlign w:val="bottom"/>
            <w:vMerge w:val="continue"/>
          </w:tcPr>
          <w:p>
            <w:pPr>
              <w:spacing w:after="0"/>
              <w:rPr>
                <w:sz w:val="17"/>
                <w:szCs w:val="17"/>
                <w:color w:val="auto"/>
              </w:rPr>
            </w:pPr>
          </w:p>
        </w:tc>
        <w:tc>
          <w:tcPr>
            <w:tcW w:w="3940" w:type="dxa"/>
            <w:vAlign w:val="bottom"/>
          </w:tcPr>
          <w:p>
            <w:pPr>
              <w:jc w:val="center"/>
              <w:ind w:left="1828"/>
              <w:spacing w:after="0" w:line="201" w:lineRule="exact"/>
              <w:rPr>
                <w:sz w:val="20"/>
                <w:szCs w:val="20"/>
                <w:color w:val="auto"/>
              </w:rPr>
            </w:pPr>
            <w:r>
              <w:rPr>
                <w:rFonts w:ascii="Arial" w:cs="Arial" w:eastAsia="Arial" w:hAnsi="Arial"/>
                <w:sz w:val="14"/>
                <w:szCs w:val="14"/>
                <w:b w:val="1"/>
                <w:bCs w:val="1"/>
                <w:color w:val="auto"/>
                <w:w w:val="99"/>
              </w:rPr>
              <w:t xml:space="preserve">warrants, and rights </w:t>
            </w:r>
            <w:r>
              <w:rPr>
                <w:rFonts w:ascii="Arial" w:cs="Arial" w:eastAsia="Arial" w:hAnsi="Arial"/>
                <w:sz w:val="18"/>
                <w:szCs w:val="18"/>
                <w:b w:val="1"/>
                <w:bCs w:val="1"/>
                <w:color w:val="auto"/>
                <w:w w:val="99"/>
                <w:vertAlign w:val="superscript"/>
              </w:rPr>
              <w:t>(1)</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warrants, and 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left="3" w:right="80" w:hanging="3"/>
        <w:spacing w:after="0" w:line="221" w:lineRule="auto"/>
        <w:tabs>
          <w:tab w:leader="none" w:pos="223"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Number of securities remaining available for future issuance under</w:t>
      </w:r>
    </w:p>
    <w:p>
      <w:pPr>
        <w:spacing w:after="0" w:line="1" w:lineRule="exact"/>
        <w:rPr>
          <w:rFonts w:ascii="Arial" w:cs="Arial" w:eastAsia="Arial" w:hAnsi="Arial"/>
          <w:sz w:val="14"/>
          <w:szCs w:val="14"/>
          <w:b w:val="1"/>
          <w:bCs w:val="1"/>
          <w:color w:val="auto"/>
        </w:rPr>
      </w:pPr>
    </w:p>
    <w:p>
      <w:pPr>
        <w:ind w:left="263"/>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equity compensation plans</w:t>
      </w:r>
    </w:p>
    <w:p>
      <w:pPr>
        <w:ind w:left="63"/>
        <w:spacing w:after="0" w:line="201" w:lineRule="auto"/>
        <w:rPr>
          <w:rFonts w:ascii="Arial" w:cs="Arial" w:eastAsia="Arial" w:hAnsi="Arial"/>
          <w:sz w:val="14"/>
          <w:szCs w:val="14"/>
          <w:b w:val="1"/>
          <w:bCs w:val="1"/>
          <w:color w:val="auto"/>
        </w:rPr>
      </w:pPr>
      <w:r>
        <w:rPr>
          <w:rFonts w:ascii="Arial" w:cs="Arial" w:eastAsia="Arial" w:hAnsi="Arial"/>
          <w:sz w:val="14"/>
          <w:szCs w:val="14"/>
          <w:b w:val="1"/>
          <w:bCs w:val="1"/>
          <w:color w:val="auto"/>
        </w:rPr>
        <w:t>(excluding securities reflected in</w:t>
      </w:r>
    </w:p>
    <w:p>
      <w:pPr>
        <w:ind w:left="80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column (a))</w:t>
      </w:r>
    </w:p>
    <w:p>
      <w:pPr>
        <w:spacing w:after="0" w:line="24" w:lineRule="exact"/>
        <w:rPr>
          <w:sz w:val="20"/>
          <w:szCs w:val="20"/>
          <w:color w:val="auto"/>
        </w:rPr>
      </w:pPr>
    </w:p>
    <w:p>
      <w:pPr>
        <w:sectPr>
          <w:pgSz w:w="11900" w:h="16838" w:orient="portrait"/>
          <w:cols w:equalWidth="0" w:num="2">
            <w:col w:w="8480" w:space="297"/>
            <w:col w:w="2463"/>
          </w:cols>
          <w:pgMar w:left="320" w:top="93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600" w:type="dxa"/>
            <w:vAlign w:val="bottom"/>
            <w:tcBorders>
              <w:top w:val="single" w:sz="8" w:color="auto"/>
            </w:tcBorders>
            <w:gridSpan w:val="2"/>
            <w:shd w:val="clear" w:color="auto" w:fill="DBDBDB"/>
          </w:tcPr>
          <w:p>
            <w:pPr>
              <w:ind w:left="1620"/>
              <w:spacing w:after="0"/>
              <w:rPr>
                <w:sz w:val="20"/>
                <w:szCs w:val="20"/>
                <w:color w:val="auto"/>
              </w:rPr>
            </w:pPr>
            <w:r>
              <w:rPr>
                <w:rFonts w:ascii="Arial" w:cs="Arial" w:eastAsia="Arial" w:hAnsi="Arial"/>
                <w:sz w:val="18"/>
                <w:szCs w:val="18"/>
                <w:color w:val="auto"/>
              </w:rPr>
              <w:t>— $</w:t>
            </w:r>
          </w:p>
        </w:tc>
        <w:tc>
          <w:tcPr>
            <w:tcW w:w="1140" w:type="dxa"/>
            <w:vAlign w:val="bottom"/>
            <w:tcBorders>
              <w:top w:val="single" w:sz="8" w:color="auto"/>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48,827,102</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26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14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DBDBDB"/>
          </w:tcPr>
          <w:p>
            <w:pPr>
              <w:ind w:left="16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DBDBDB"/>
              <w:bottom w:val="single" w:sz="8" w:color="DBDBDB"/>
            </w:tcBorders>
            <w:shd w:val="clear" w:color="auto" w:fill="DBDBDB"/>
          </w:tcPr>
          <w:p>
            <w:pPr>
              <w:spacing w:after="0"/>
              <w:rPr>
                <w:sz w:val="20"/>
                <w:szCs w:val="20"/>
                <w:color w:val="auto"/>
              </w:rPr>
            </w:pPr>
          </w:p>
        </w:tc>
        <w:tc>
          <w:tcPr>
            <w:tcW w:w="1140" w:type="dxa"/>
            <w:vAlign w:val="bottom"/>
            <w:tcBorders>
              <w:top w:val="single" w:sz="8" w:color="DBDBDB"/>
              <w:bottom w:val="single" w:sz="8" w:color="DBDBDB"/>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48,827,102</w:t>
            </w:r>
          </w:p>
        </w:tc>
      </w:tr>
    </w:tbl>
    <w:p>
      <w:pPr>
        <w:spacing w:after="0" w:line="82" w:lineRule="exact"/>
        <w:rPr>
          <w:sz w:val="20"/>
          <w:szCs w:val="20"/>
          <w:color w:val="auto"/>
        </w:rPr>
      </w:pPr>
    </w:p>
    <w:p>
      <w:pPr>
        <w:ind w:left="160" w:hanging="152"/>
        <w:spacing w:after="0"/>
        <w:tabs>
          <w:tab w:leader="none" w:pos="1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2,396,006 shares are underlying outstanding equity awards.</w:t>
      </w:r>
    </w:p>
    <w:p>
      <w:pPr>
        <w:spacing w:after="0" w:line="200" w:lineRule="exact"/>
        <w:rPr>
          <w:sz w:val="20"/>
          <w:szCs w:val="20"/>
          <w:color w:val="auto"/>
        </w:rPr>
      </w:pPr>
    </w:p>
    <w:p>
      <w:pPr>
        <w:spacing w:after="0" w:line="3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How We Operate an Effective Board - Board Alignment - Conflicts of Interest and Transactions with Related Persons." Such information is incorporated in this Annual Report on Form 10-K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How We Build an Effective Board - Director Qualifications - Independence" and is incorporated in this Annual Report on Form 10-K by reference.</w:t>
      </w:r>
    </w:p>
    <w:p>
      <w:pPr>
        <w:spacing w:after="0" w:line="3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3. Ratification of the Appointment of the Independent Auditor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116" w:name="page117"/>
    <w:bookmarkEnd w:id="116"/>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2024,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2024,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Balance Sheets—December 31, 2024 and 2023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2024,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2024, 2023, and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520" w:type="dxa"/>
            <w:vAlign w:val="bottom"/>
            <w:gridSpan w:val="2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3.1</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Amended Articles of Incorporation, incorporated by reference to Exhibit 3.1 to the Company's Current Report on Form</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67">
              <w:r>
                <w:rPr>
                  <w:rFonts w:ascii="Arial" w:cs="Arial" w:eastAsia="Arial" w:hAnsi="Arial"/>
                  <w:sz w:val="18"/>
                  <w:szCs w:val="18"/>
                  <w:color w:val="0000FF"/>
                </w:rPr>
                <w:t>Bylaws, as amended, incorporated by reference to Exhibit 3.2 to the Company's Current Report on Form 8-K filed on</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May 4, 2022</w:t>
              </w:r>
            </w:hyperlink>
          </w:p>
        </w:tc>
        <w:tc>
          <w:tcPr>
            <w:tcW w:w="82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68">
              <w:r>
                <w:rPr>
                  <w:rFonts w:ascii="Arial" w:cs="Arial" w:eastAsia="Arial" w:hAnsi="Arial"/>
                  <w:sz w:val="18"/>
                  <w:szCs w:val="18"/>
                  <w:color w:val="0000FF"/>
                </w:rPr>
                <w:t>Indenture, dated February 1, 1991, between the Company and Deutsche Bank Trust Company Americas, as successor</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8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68">
              <w:r>
                <w:rPr>
                  <w:rFonts w:ascii="Arial" w:cs="Arial" w:eastAsia="Arial" w:hAnsi="Arial"/>
                  <w:sz w:val="18"/>
                  <w:szCs w:val="18"/>
                  <w:color w:val="0000FF"/>
                </w:rPr>
                <w:t>trustee to Citibank, N.A., as Trustee, incorporated by reference to Exhibit 4.1 to the Company's Registration Statement</w:t>
              </w:r>
            </w:hyperlink>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on Form S-3, Registration No. 333-186979</w:t>
              </w:r>
            </w:hyperlink>
          </w:p>
        </w:tc>
        <w:tc>
          <w:tcPr>
            <w:tcW w:w="100" w:type="dxa"/>
            <w:vAlign w:val="bottom"/>
            <w:gridSpan w:val="2"/>
          </w:tcPr>
          <w:p>
            <w:pPr>
              <w:spacing w:after="0"/>
              <w:rPr>
                <w:sz w:val="13"/>
                <w:szCs w:val="13"/>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69">
              <w:r>
                <w:rPr>
                  <w:rFonts w:ascii="Arial" w:cs="Arial" w:eastAsia="Arial" w:hAnsi="Arial"/>
                  <w:sz w:val="18"/>
                  <w:szCs w:val="18"/>
                  <w:color w:val="0000FF"/>
                </w:rPr>
                <w:t>Tripartite Agreement, dated September 13, 2007, appointing Deutsche Bank Trust Company Americas as Successor</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3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69">
              <w:r>
                <w:rPr>
                  <w:rFonts w:ascii="Arial" w:cs="Arial" w:eastAsia="Arial" w:hAnsi="Arial"/>
                  <w:sz w:val="18"/>
                  <w:szCs w:val="18"/>
                  <w:color w:val="0000FF"/>
                </w:rPr>
                <w:t>Trustee under the Indenture listed in Exhibit 4.1, incorporated by reference to Exhibit 4.2 to the Company's Annual</w:t>
              </w:r>
            </w:hyperlink>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Report on Form 10-K for the year ended December 31, 2008</w:t>
              </w:r>
            </w:hyperlink>
          </w:p>
        </w:tc>
        <w:tc>
          <w:tcPr>
            <w:tcW w:w="4240" w:type="dxa"/>
            <w:vAlign w:val="bottom"/>
            <w:tcBorders>
              <w:top w:val="single" w:sz="8" w:color="0000FF"/>
            </w:tcBorders>
            <w:gridSpan w:val="8"/>
          </w:tcPr>
          <w:p>
            <w:pPr>
              <w:spacing w:after="0"/>
              <w:rPr>
                <w:sz w:val="13"/>
                <w:szCs w:val="13"/>
                <w:color w:val="auto"/>
              </w:rPr>
            </w:pPr>
          </w:p>
        </w:tc>
        <w:tc>
          <w:tcPr>
            <w:tcW w:w="2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70">
              <w:r>
                <w:rPr>
                  <w:rFonts w:ascii="Arial" w:cs="Arial" w:eastAsia="Arial" w:hAnsi="Arial"/>
                  <w:sz w:val="18"/>
                  <w:szCs w:val="18"/>
                  <w:color w:val="0000FF"/>
                </w:rPr>
                <w:t>Description of the Company's Common Stock, incorporated by reference to Exhibit 4.3 to the Company’s Annual</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Report on Form 10-K for the year ended December 31, 2023</w:t>
              </w:r>
            </w:hyperlink>
          </w:p>
        </w:tc>
        <w:tc>
          <w:tcPr>
            <w:tcW w:w="410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71">
              <w:r>
                <w:rPr>
                  <w:rFonts w:ascii="Arial" w:cs="Arial" w:eastAsia="Arial" w:hAnsi="Arial"/>
                  <w:sz w:val="18"/>
                  <w:szCs w:val="18"/>
                  <w:color w:val="0000FF"/>
                </w:rPr>
                <w:t>Description of the Company's 1.625% Notes due 2026 and 2.125% Notes due 2030, incorporated by reference to</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Exhibit 4.4 to the Company's Annual Report on Form 10-K for the year ended December 31, 2019</w:t>
              </w:r>
            </w:hyperlink>
          </w:p>
        </w:tc>
        <w:tc>
          <w:tcPr>
            <w:tcW w:w="32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72">
              <w:r>
                <w:rPr>
                  <w:rFonts w:ascii="Arial" w:cs="Arial" w:eastAsia="Arial" w:hAnsi="Arial"/>
                  <w:sz w:val="18"/>
                  <w:szCs w:val="18"/>
                  <w:color w:val="0000FF"/>
                </w:rPr>
                <w:t>Description of the Company's 6.77% Notes due 2036, incorporated by reference to Exhibit 4.5 to the Company's</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Annual Report on Form 10-K for the year ended December 31, 2019</w:t>
              </w:r>
            </w:hyperlink>
          </w:p>
        </w:tc>
        <w:tc>
          <w:tcPr>
            <w:tcW w:w="40" w:type="dxa"/>
            <w:vAlign w:val="bottom"/>
            <w:gridSpan w:val="2"/>
          </w:tcPr>
          <w:p>
            <w:pPr>
              <w:spacing w:after="0"/>
              <w:rPr>
                <w:sz w:val="14"/>
                <w:szCs w:val="14"/>
                <w:color w:val="auto"/>
              </w:rPr>
            </w:pPr>
          </w:p>
        </w:tc>
        <w:tc>
          <w:tcPr>
            <w:tcW w:w="38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4.6</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73">
              <w:r>
                <w:rPr>
                  <w:rFonts w:ascii="Arial" w:cs="Arial" w:eastAsia="Arial" w:hAnsi="Arial"/>
                  <w:sz w:val="18"/>
                  <w:szCs w:val="18"/>
                  <w:color w:val="0000FF"/>
                </w:rPr>
                <w:t>Description of the Company's 7 1/8% Notes due 2025, incorporated by reference to Exhibit 4.6 to the Company's</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9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Annual Report on Form 10-K for the year ended December 31, 2019</w:t>
              </w:r>
            </w:hyperlink>
          </w:p>
        </w:tc>
        <w:tc>
          <w:tcPr>
            <w:tcW w:w="38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4.7</w:t>
            </w:r>
          </w:p>
        </w:tc>
        <w:tc>
          <w:tcPr>
            <w:tcW w:w="1220" w:type="dxa"/>
            <w:vAlign w:val="bottom"/>
          </w:tcPr>
          <w:p>
            <w:pPr>
              <w:spacing w:after="0"/>
              <w:rPr>
                <w:sz w:val="22"/>
                <w:szCs w:val="22"/>
                <w:color w:val="auto"/>
              </w:rPr>
            </w:pPr>
          </w:p>
        </w:tc>
        <w:tc>
          <w:tcPr>
            <w:tcW w:w="9520" w:type="dxa"/>
            <w:vAlign w:val="bottom"/>
            <w:gridSpan w:val="21"/>
          </w:tcPr>
          <w:p>
            <w:pPr>
              <w:spacing w:after="0"/>
              <w:rPr>
                <w:rFonts w:ascii="Arial" w:cs="Arial" w:eastAsia="Arial" w:hAnsi="Arial"/>
                <w:sz w:val="18"/>
                <w:szCs w:val="18"/>
                <w:color w:val="0000FF"/>
              </w:rPr>
            </w:pPr>
            <w:hyperlink r:id="rId174">
              <w:r>
                <w:rPr>
                  <w:rFonts w:ascii="Arial" w:cs="Arial" w:eastAsia="Arial" w:hAnsi="Arial"/>
                  <w:sz w:val="18"/>
                  <w:szCs w:val="18"/>
                  <w:color w:val="0000FF"/>
                </w:rPr>
                <w:t>Description of the Company's 0.625% Notes due 2031 and 1.700% Notes due 2049, incorporated by reference to</w:t>
              </w:r>
            </w:hyperlink>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Exhibit 4.7 to the Company's Annual Report on Form 10-K for the year ended December 31, 2019</w:t>
              </w:r>
            </w:hyperlink>
          </w:p>
        </w:tc>
        <w:tc>
          <w:tcPr>
            <w:tcW w:w="320" w:type="dxa"/>
            <w:vAlign w:val="bottom"/>
            <w:gridSpan w:val="4"/>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20"/>
        </w:trPr>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80" w:type="dxa"/>
            <w:vAlign w:val="bottom"/>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63"/>
        </w:trPr>
        <w:tc>
          <w:tcPr>
            <w:tcW w:w="50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1220" w:type="dxa"/>
            <w:vAlign w:val="bottom"/>
          </w:tcPr>
          <w:p>
            <w:pPr>
              <w:spacing w:after="0"/>
              <w:rPr>
                <w:sz w:val="22"/>
                <w:szCs w:val="22"/>
                <w:color w:val="auto"/>
              </w:rPr>
            </w:pPr>
          </w:p>
        </w:tc>
        <w:tc>
          <w:tcPr>
            <w:tcW w:w="8800" w:type="dxa"/>
            <w:vAlign w:val="bottom"/>
            <w:tcBorders>
              <w:bottom w:val="single" w:sz="8" w:color="0000FF"/>
            </w:tcBorders>
            <w:gridSpan w:val="9"/>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Description of the Company's 0.500% Notes due 2033, 1.125% Notes due 2051, and 1.375% Notes due 2061,</w:t>
              </w:r>
            </w:hyperlink>
          </w:p>
        </w:tc>
        <w:tc>
          <w:tcPr>
            <w:tcW w:w="720" w:type="dxa"/>
            <w:vAlign w:val="bottom"/>
            <w:gridSpan w:val="12"/>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520" w:type="dxa"/>
            <w:vAlign w:val="bottom"/>
            <w:gridSpan w:val="21"/>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4.8 to the Company's Annual Report on Form 10-K for the year ended December</w:t>
              </w:r>
            </w:hyperlink>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31, 2021</w:t>
              </w:r>
            </w:hyperlink>
          </w:p>
        </w:tc>
        <w:tc>
          <w:tcPr>
            <w:tcW w:w="2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9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140" w:type="dxa"/>
            <w:vAlign w:val="bottom"/>
            <w:gridSpan w:val="5"/>
          </w:tcPr>
          <w:p>
            <w:pPr>
              <w:jc w:val="right"/>
              <w:ind w:right="800"/>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17" w:name="page118"/>
    <w:bookmarkEnd w:id="117"/>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4.9</w:t>
            </w:r>
          </w:p>
        </w:tc>
        <w:tc>
          <w:tcPr>
            <w:tcW w:w="9460" w:type="dxa"/>
            <w:vAlign w:val="bottom"/>
            <w:gridSpan w:val="49"/>
          </w:tcPr>
          <w:p>
            <w:pPr>
              <w:spacing w:after="0"/>
              <w:rPr>
                <w:rFonts w:ascii="Arial" w:cs="Arial" w:eastAsia="Arial" w:hAnsi="Arial"/>
                <w:sz w:val="18"/>
                <w:szCs w:val="18"/>
                <w:color w:val="0000FF"/>
              </w:rPr>
            </w:pPr>
            <w:hyperlink r:id="rId178">
              <w:r>
                <w:rPr>
                  <w:rFonts w:ascii="Arial" w:cs="Arial" w:eastAsia="Arial" w:hAnsi="Arial"/>
                  <w:sz w:val="18"/>
                  <w:szCs w:val="18"/>
                  <w:color w:val="0000FF"/>
                </w:rPr>
                <w:t>Description of the Company's 1.625% Notes due 2043, incorporated by reference to Exhibit 4.9 to the Company's</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30"/>
          </w:tcPr>
          <w:p>
            <w:pPr>
              <w:spacing w:after="0" w:line="169" w:lineRule="exact"/>
              <w:rPr>
                <w:rFonts w:ascii="Arial" w:cs="Arial" w:eastAsia="Arial" w:hAnsi="Arial"/>
                <w:sz w:val="18"/>
                <w:szCs w:val="18"/>
                <w:color w:val="0000FF"/>
              </w:rPr>
            </w:pPr>
            <w:hyperlink r:id="rId178">
              <w:r>
                <w:rPr>
                  <w:rFonts w:ascii="Arial" w:cs="Arial" w:eastAsia="Arial" w:hAnsi="Arial"/>
                  <w:sz w:val="18"/>
                  <w:szCs w:val="18"/>
                  <w:color w:val="0000FF"/>
                </w:rPr>
                <w:t>Annual Report on Form 10-K for the year ended December 31, 2021</w:t>
              </w:r>
            </w:hyperlink>
          </w:p>
        </w:tc>
        <w:tc>
          <w:tcPr>
            <w:tcW w:w="35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gridSpan w:val="49"/>
          </w:tcPr>
          <w:p>
            <w:pPr>
              <w:spacing w:after="0"/>
              <w:rPr>
                <w:rFonts w:ascii="Arial" w:cs="Arial" w:eastAsia="Arial" w:hAnsi="Arial"/>
                <w:sz w:val="18"/>
                <w:szCs w:val="18"/>
                <w:color w:val="0000FF"/>
              </w:rPr>
            </w:pPr>
            <w:hyperlink r:id="rId179">
              <w:r>
                <w:rPr>
                  <w:rFonts w:ascii="Arial" w:cs="Arial" w:eastAsia="Arial" w:hAnsi="Arial"/>
                  <w:sz w:val="18"/>
                  <w:szCs w:val="18"/>
                  <w:color w:val="0000FF"/>
                </w:rPr>
                <w:t>Amended and Restated 2002 Lilly Stock Plan(1), incorporated by reference to Exhibit 10.1 to the Company's Quarterly</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6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Report on Form 10-Q for the quarter ended June 30, 2024</w:t>
              </w:r>
            </w:hyperlink>
          </w:p>
        </w:tc>
        <w:tc>
          <w:tcPr>
            <w:tcW w:w="47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10.2</w:t>
            </w:r>
          </w:p>
        </w:tc>
        <w:tc>
          <w:tcPr>
            <w:tcW w:w="4800" w:type="dxa"/>
            <w:vAlign w:val="bottom"/>
            <w:tcBorders>
              <w:bottom w:val="single" w:sz="8" w:color="0000FF"/>
            </w:tcBorders>
            <w:gridSpan w:val="18"/>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Form of Performance Award under the 2002 Lilly Stock Plan</w:t>
              </w:r>
            </w:hyperlink>
          </w:p>
        </w:tc>
        <w:tc>
          <w:tcPr>
            <w:tcW w:w="160" w:type="dxa"/>
            <w:vAlign w:val="bottom"/>
            <w:gridSpan w:val="5"/>
          </w:tcPr>
          <w:p>
            <w:pPr>
              <w:jc w:val="right"/>
              <w:spacing w:after="0"/>
              <w:rPr>
                <w:rFonts w:ascii="Arial" w:cs="Arial" w:eastAsia="Arial" w:hAnsi="Arial"/>
                <w:sz w:val="12"/>
                <w:szCs w:val="12"/>
                <w:color w:val="0000FF"/>
                <w:w w:val="81"/>
              </w:rPr>
            </w:pPr>
            <w:hyperlink r:id="rId180">
              <w:r>
                <w:rPr>
                  <w:rFonts w:ascii="Arial" w:cs="Arial" w:eastAsia="Arial" w:hAnsi="Arial"/>
                  <w:sz w:val="12"/>
                  <w:szCs w:val="12"/>
                  <w:color w:val="0000FF"/>
                  <w:w w:val="81"/>
                </w:rPr>
                <w:t>(1)</w:t>
              </w:r>
            </w:hyperlink>
          </w:p>
        </w:tc>
        <w:tc>
          <w:tcPr>
            <w:tcW w:w="3760" w:type="dxa"/>
            <w:vAlign w:val="bottom"/>
            <w:tcBorders>
              <w:bottom w:val="single" w:sz="8" w:color="0000FF"/>
            </w:tcBorders>
            <w:gridSpan w:val="19"/>
          </w:tcPr>
          <w:p>
            <w:pPr>
              <w:ind w:left="20"/>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incorporated by reference to Exhibit 10.2 to the</w:t>
              </w:r>
            </w:hyperlink>
          </w:p>
        </w:tc>
        <w:tc>
          <w:tcPr>
            <w:tcW w:w="20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4800" w:type="dxa"/>
            <w:vAlign w:val="bottom"/>
            <w:gridSpan w:val="18"/>
            <w:vMerge w:val="restart"/>
          </w:tcPr>
          <w:p>
            <w:pPr>
              <w:spacing w:after="0" w:line="169" w:lineRule="exact"/>
              <w:rPr>
                <w:rFonts w:ascii="Arial" w:cs="Arial" w:eastAsia="Arial" w:hAnsi="Arial"/>
                <w:sz w:val="18"/>
                <w:szCs w:val="18"/>
                <w:color w:val="0000FF"/>
              </w:rPr>
            </w:pPr>
            <w:hyperlink r:id="rId180">
              <w:r>
                <w:rPr>
                  <w:rFonts w:ascii="Arial" w:cs="Arial" w:eastAsia="Arial" w:hAnsi="Arial"/>
                  <w:sz w:val="18"/>
                  <w:szCs w:val="18"/>
                  <w:color w:val="0000FF"/>
                </w:rPr>
                <w:t>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40" w:type="dxa"/>
            <w:vAlign w:val="bottom"/>
            <w:gridSpan w:val="12"/>
            <w:vMerge w:val="restart"/>
          </w:tcPr>
          <w:p>
            <w:pPr>
              <w:spacing w:after="0" w:line="169"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December 31, 2022</w:t>
              </w:r>
            </w:hyperlink>
          </w:p>
        </w:tc>
        <w:tc>
          <w:tcPr>
            <w:tcW w:w="2320" w:type="dxa"/>
            <w:vAlign w:val="bottom"/>
            <w:gridSpan w:val="7"/>
            <w:vMerge w:val="restart"/>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4800" w:type="dxa"/>
            <w:vAlign w:val="bottom"/>
            <w:tcBorders>
              <w:bottom w:val="single" w:sz="8" w:color="0000FF"/>
            </w:tcBorders>
            <w:gridSpan w:val="18"/>
            <w:vMerge w:val="continue"/>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440" w:type="dxa"/>
            <w:vAlign w:val="bottom"/>
            <w:tcBorders>
              <w:bottom w:val="single" w:sz="8" w:color="0000FF"/>
            </w:tcBorders>
            <w:gridSpan w:val="12"/>
            <w:vMerge w:val="continue"/>
          </w:tcPr>
          <w:p>
            <w:pPr>
              <w:spacing w:after="0"/>
              <w:rPr>
                <w:sz w:val="10"/>
                <w:szCs w:val="10"/>
                <w:color w:val="auto"/>
              </w:rPr>
            </w:pPr>
          </w:p>
        </w:tc>
        <w:tc>
          <w:tcPr>
            <w:tcW w:w="232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7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524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Form of Shareholder Value Award under the 2002 Lilly Stock Plan</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0000FF"/>
                <w:w w:val="81"/>
              </w:rPr>
              <w:t>(1)</w:t>
            </w:r>
          </w:p>
        </w:tc>
        <w:tc>
          <w:tcPr>
            <w:tcW w:w="120" w:type="dxa"/>
            <w:vAlign w:val="bottom"/>
            <w:tcBorders>
              <w:bottom w:val="single" w:sz="8" w:color="0000FF"/>
            </w:tcBorders>
            <w:gridSpan w:val="4"/>
          </w:tcPr>
          <w:p>
            <w:pPr>
              <w:jc w:val="right"/>
              <w:ind w:right="40"/>
              <w:spacing w:after="0"/>
              <w:rPr>
                <w:sz w:val="20"/>
                <w:szCs w:val="20"/>
                <w:color w:val="auto"/>
              </w:rPr>
            </w:pPr>
            <w:r>
              <w:rPr>
                <w:rFonts w:ascii="Arial" w:cs="Arial" w:eastAsia="Arial" w:hAnsi="Arial"/>
                <w:sz w:val="18"/>
                <w:szCs w:val="18"/>
                <w:color w:val="0000FF"/>
                <w:w w:val="84"/>
              </w:rPr>
              <w:t>*</w:t>
            </w:r>
          </w:p>
        </w:tc>
        <w:tc>
          <w:tcPr>
            <w:tcW w:w="80" w:type="dxa"/>
            <w:vAlign w:val="bottom"/>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760" w:type="dxa"/>
            <w:vAlign w:val="bottom"/>
            <w:gridSpan w:val="2"/>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560" w:type="dxa"/>
            <w:vAlign w:val="bottom"/>
            <w:vMerge w:val="restart"/>
          </w:tcPr>
          <w:p>
            <w:pPr>
              <w:spacing w:after="0"/>
              <w:rPr>
                <w:sz w:val="22"/>
                <w:szCs w:val="22"/>
                <w:color w:val="auto"/>
              </w:rPr>
            </w:pPr>
          </w:p>
        </w:tc>
        <w:tc>
          <w:tcPr>
            <w:tcW w:w="840" w:type="dxa"/>
            <w:vAlign w:val="bottom"/>
            <w:vMerge w:val="restart"/>
          </w:tcPr>
          <w:p>
            <w:pPr>
              <w:spacing w:after="0"/>
              <w:rPr>
                <w:sz w:val="22"/>
                <w:szCs w:val="22"/>
                <w:color w:val="auto"/>
              </w:rPr>
            </w:pPr>
          </w:p>
        </w:tc>
        <w:tc>
          <w:tcPr>
            <w:tcW w:w="80" w:type="dxa"/>
            <w:vAlign w:val="bottom"/>
            <w:vMerge w:val="restart"/>
          </w:tcPr>
          <w:p>
            <w:pPr>
              <w:spacing w:after="0"/>
              <w:rPr>
                <w:sz w:val="22"/>
                <w:szCs w:val="22"/>
                <w:color w:val="auto"/>
              </w:rPr>
            </w:pPr>
          </w:p>
        </w:tc>
        <w:tc>
          <w:tcPr>
            <w:tcW w:w="860" w:type="dxa"/>
            <w:vAlign w:val="bottom"/>
            <w:gridSpan w:val="2"/>
            <w:vMerge w:val="restart"/>
          </w:tcPr>
          <w:p>
            <w:pPr>
              <w:spacing w:after="0"/>
              <w:rPr>
                <w:sz w:val="22"/>
                <w:szCs w:val="22"/>
                <w:color w:val="auto"/>
              </w:rPr>
            </w:pPr>
          </w:p>
        </w:tc>
        <w:tc>
          <w:tcPr>
            <w:tcW w:w="120" w:type="dxa"/>
            <w:vAlign w:val="bottom"/>
            <w:gridSpan w:val="2"/>
            <w:vMerge w:val="restart"/>
          </w:tcPr>
          <w:p>
            <w:pPr>
              <w:spacing w:after="0"/>
              <w:rPr>
                <w:sz w:val="22"/>
                <w:szCs w:val="22"/>
                <w:color w:val="auto"/>
              </w:rPr>
            </w:pPr>
          </w:p>
        </w:tc>
        <w:tc>
          <w:tcPr>
            <w:tcW w:w="140" w:type="dxa"/>
            <w:vAlign w:val="bottom"/>
            <w:vMerge w:val="restart"/>
          </w:tcPr>
          <w:p>
            <w:pPr>
              <w:spacing w:after="0"/>
              <w:rPr>
                <w:sz w:val="22"/>
                <w:szCs w:val="22"/>
                <w:color w:val="auto"/>
              </w:rPr>
            </w:pPr>
          </w:p>
        </w:tc>
        <w:tc>
          <w:tcPr>
            <w:tcW w:w="260" w:type="dxa"/>
            <w:vAlign w:val="bottom"/>
            <w:gridSpan w:val="2"/>
            <w:vMerge w:val="restart"/>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17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00FF"/>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4940" w:type="dxa"/>
            <w:vAlign w:val="bottom"/>
            <w:tcBorders>
              <w:bottom w:val="single" w:sz="8" w:color="0000FF"/>
            </w:tcBorders>
            <w:gridSpan w:val="22"/>
          </w:tcPr>
          <w:p>
            <w:pPr>
              <w:spacing w:after="0" w:line="189" w:lineRule="exact"/>
              <w:rPr>
                <w:sz w:val="20"/>
                <w:szCs w:val="20"/>
                <w:color w:val="auto"/>
              </w:rPr>
            </w:pPr>
            <w:r>
              <w:rPr>
                <w:rFonts w:ascii="Arial" w:cs="Arial" w:eastAsia="Arial" w:hAnsi="Arial"/>
                <w:sz w:val="18"/>
                <w:szCs w:val="18"/>
                <w:color w:val="0000FF"/>
                <w:w w:val="99"/>
              </w:rPr>
              <w:t>Form of Relative Value Award under the 2002 Lilly Stock Plan</w:t>
            </w:r>
          </w:p>
        </w:tc>
        <w:tc>
          <w:tcPr>
            <w:tcW w:w="120" w:type="dxa"/>
            <w:vAlign w:val="bottom"/>
            <w:gridSpan w:val="2"/>
            <w:vMerge w:val="restart"/>
          </w:tcPr>
          <w:p>
            <w:pPr>
              <w:spacing w:after="0"/>
              <w:rPr>
                <w:sz w:val="20"/>
                <w:szCs w:val="20"/>
                <w:color w:val="auto"/>
              </w:rPr>
            </w:pPr>
            <w:r>
              <w:rPr>
                <w:rFonts w:ascii="Arial" w:cs="Arial" w:eastAsia="Arial" w:hAnsi="Arial"/>
                <w:sz w:val="11"/>
                <w:szCs w:val="11"/>
                <w:color w:val="0000FF"/>
                <w:w w:val="74"/>
              </w:rPr>
              <w:t>(1)</w:t>
            </w: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32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7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60" w:type="dxa"/>
            <w:vAlign w:val="bottom"/>
            <w:gridSpan w:val="2"/>
            <w:vMerge w:val="restart"/>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5460" w:type="dxa"/>
            <w:vAlign w:val="bottom"/>
            <w:tcBorders>
              <w:bottom w:val="single" w:sz="8" w:color="0000FF"/>
            </w:tcBorders>
            <w:gridSpan w:val="29"/>
          </w:tcPr>
          <w:p>
            <w:pPr>
              <w:spacing w:after="0" w:line="196" w:lineRule="exact"/>
              <w:rPr>
                <w:sz w:val="20"/>
                <w:szCs w:val="20"/>
                <w:color w:val="auto"/>
              </w:rPr>
            </w:pPr>
            <w:r>
              <w:rPr>
                <w:rFonts w:ascii="Arial" w:cs="Arial" w:eastAsia="Arial" w:hAnsi="Arial"/>
                <w:sz w:val="18"/>
                <w:szCs w:val="18"/>
                <w:color w:val="0000FF"/>
                <w:w w:val="99"/>
              </w:rPr>
              <w:t>Form of Restricted Stock Unit Award under the 2002 Lilly Stock Plan</w:t>
            </w:r>
          </w:p>
        </w:tc>
        <w:tc>
          <w:tcPr>
            <w:tcW w:w="120" w:type="dxa"/>
            <w:vAlign w:val="bottom"/>
            <w:gridSpan w:val="3"/>
            <w:vMerge w:val="restart"/>
          </w:tcPr>
          <w:p>
            <w:pPr>
              <w:jc w:val="right"/>
              <w:spacing w:after="0"/>
              <w:rPr>
                <w:sz w:val="20"/>
                <w:szCs w:val="20"/>
                <w:color w:val="auto"/>
              </w:rPr>
            </w:pPr>
            <w:r>
              <w:rPr>
                <w:rFonts w:ascii="Arial" w:cs="Arial" w:eastAsia="Arial" w:hAnsi="Arial"/>
                <w:sz w:val="11"/>
                <w:szCs w:val="11"/>
                <w:color w:val="0000FF"/>
                <w:w w:val="74"/>
              </w:rPr>
              <w:t>(1)</w:t>
            </w:r>
          </w:p>
        </w:tc>
        <w:tc>
          <w:tcPr>
            <w:tcW w:w="20" w:type="dxa"/>
            <w:vAlign w:val="bottom"/>
            <w:vMerge w:val="restart"/>
          </w:tcPr>
          <w:p>
            <w:pPr>
              <w:spacing w:after="0"/>
              <w:rPr>
                <w:sz w:val="19"/>
                <w:szCs w:val="19"/>
                <w:color w:val="auto"/>
              </w:rPr>
            </w:pP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7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60" w:type="dxa"/>
            <w:vAlign w:val="bottom"/>
            <w:gridSpan w:val="2"/>
            <w:vMerge w:val="restart"/>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70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35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Form of Non-Compete Payment Agreement</w:t>
              </w:r>
            </w:hyperlink>
          </w:p>
        </w:tc>
        <w:tc>
          <w:tcPr>
            <w:tcW w:w="120" w:type="dxa"/>
            <w:vAlign w:val="bottom"/>
            <w:vMerge w:val="restart"/>
          </w:tcPr>
          <w:p>
            <w:pPr>
              <w:jc w:val="right"/>
              <w:spacing w:after="0"/>
              <w:rPr>
                <w:rFonts w:ascii="Arial" w:cs="Arial" w:eastAsia="Arial" w:hAnsi="Arial"/>
                <w:sz w:val="11"/>
                <w:szCs w:val="11"/>
                <w:color w:val="0000FF"/>
                <w:w w:val="74"/>
              </w:rPr>
            </w:pPr>
            <w:hyperlink r:id="rId181">
              <w:r>
                <w:rPr>
                  <w:rFonts w:ascii="Arial" w:cs="Arial" w:eastAsia="Arial" w:hAnsi="Arial"/>
                  <w:sz w:val="11"/>
                  <w:szCs w:val="11"/>
                  <w:color w:val="0000FF"/>
                  <w:w w:val="74"/>
                </w:rPr>
                <w:t>(1)</w:t>
              </w:r>
            </w:hyperlink>
          </w:p>
        </w:tc>
        <w:tc>
          <w:tcPr>
            <w:tcW w:w="5420" w:type="dxa"/>
            <w:vAlign w:val="bottom"/>
            <w:tcBorders>
              <w:bottom w:val="single" w:sz="8" w:color="0000FF"/>
            </w:tcBorders>
            <w:gridSpan w:val="39"/>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 incorporated by reference to Exhibit 10.5 to the Company's Annual</w:t>
              </w:r>
            </w:hyperlink>
          </w:p>
        </w:tc>
        <w:tc>
          <w:tcPr>
            <w:tcW w:w="140" w:type="dxa"/>
            <w:vAlign w:val="bottom"/>
            <w:vMerge w:val="restart"/>
          </w:tcPr>
          <w:p>
            <w:pPr>
              <w:spacing w:after="0"/>
              <w:rPr>
                <w:sz w:val="17"/>
                <w:szCs w:val="17"/>
                <w:color w:val="auto"/>
              </w:rPr>
            </w:pPr>
          </w:p>
        </w:tc>
        <w:tc>
          <w:tcPr>
            <w:tcW w:w="26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7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7"/>
          </w:tcPr>
          <w:p>
            <w:pPr>
              <w:spacing w:after="0"/>
              <w:rPr>
                <w:sz w:val="2"/>
                <w:szCs w:val="2"/>
                <w:color w:val="auto"/>
              </w:rPr>
            </w:pPr>
          </w:p>
        </w:tc>
        <w:tc>
          <w:tcPr>
            <w:tcW w:w="140" w:type="dxa"/>
            <w:vAlign w:val="bottom"/>
            <w:gridSpan w:val="4"/>
          </w:tcPr>
          <w:p>
            <w:pPr>
              <w:spacing w:after="0"/>
              <w:rPr>
                <w:sz w:val="2"/>
                <w:szCs w:val="2"/>
                <w:color w:val="auto"/>
              </w:rPr>
            </w:pPr>
          </w:p>
        </w:tc>
        <w:tc>
          <w:tcPr>
            <w:tcW w:w="8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4840" w:type="dxa"/>
            <w:vAlign w:val="bottom"/>
            <w:tcBorders>
              <w:bottom w:val="single" w:sz="8" w:color="0000FF"/>
            </w:tcBorders>
            <w:gridSpan w:val="20"/>
          </w:tcPr>
          <w:p>
            <w:pPr>
              <w:spacing w:after="0" w:line="129" w:lineRule="exact"/>
              <w:rPr>
                <w:rFonts w:ascii="Arial" w:cs="Arial" w:eastAsia="Arial" w:hAnsi="Arial"/>
                <w:sz w:val="13"/>
                <w:szCs w:val="13"/>
                <w:color w:val="0000FF"/>
              </w:rPr>
            </w:pPr>
            <w:hyperlink r:id="rId181">
              <w:r>
                <w:rPr>
                  <w:rFonts w:ascii="Arial" w:cs="Arial" w:eastAsia="Arial" w:hAnsi="Arial"/>
                  <w:sz w:val="13"/>
                  <w:szCs w:val="13"/>
                  <w:color w:val="0000FF"/>
                </w:rPr>
                <w:t>Report on Form 10-K for the year ended December 31, 2022</w:t>
              </w:r>
            </w:hyperlink>
          </w:p>
        </w:tc>
        <w:tc>
          <w:tcPr>
            <w:tcW w:w="4620" w:type="dxa"/>
            <w:vAlign w:val="bottom"/>
            <w:gridSpan w:val="29"/>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70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41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The Lilly Deferred Compensation Plan, as amended</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0000FF"/>
                <w:w w:val="81"/>
              </w:rPr>
              <w:t>(1)</w:t>
            </w:r>
          </w:p>
        </w:tc>
        <w:tc>
          <w:tcPr>
            <w:tcW w:w="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w:t>
            </w:r>
          </w:p>
        </w:tc>
        <w:tc>
          <w:tcPr>
            <w:tcW w:w="460" w:type="dxa"/>
            <w:vAlign w:val="bottom"/>
            <w:gridSpan w:val="3"/>
            <w:vMerge w:val="restart"/>
          </w:tcPr>
          <w:p>
            <w:pPr>
              <w:spacing w:after="0"/>
              <w:rPr>
                <w:sz w:val="24"/>
                <w:szCs w:val="24"/>
                <w:color w:val="auto"/>
              </w:rPr>
            </w:pPr>
          </w:p>
        </w:tc>
        <w:tc>
          <w:tcPr>
            <w:tcW w:w="100" w:type="dxa"/>
            <w:vAlign w:val="bottom"/>
            <w:gridSpan w:val="2"/>
            <w:vMerge w:val="restart"/>
          </w:tcPr>
          <w:p>
            <w:pPr>
              <w:spacing w:after="0"/>
              <w:rPr>
                <w:sz w:val="24"/>
                <w:szCs w:val="24"/>
                <w:color w:val="auto"/>
              </w:rPr>
            </w:pPr>
          </w:p>
        </w:tc>
        <w:tc>
          <w:tcPr>
            <w:tcW w:w="520" w:type="dxa"/>
            <w:vAlign w:val="bottom"/>
            <w:gridSpan w:val="7"/>
            <w:vMerge w:val="restart"/>
          </w:tcPr>
          <w:p>
            <w:pPr>
              <w:spacing w:after="0"/>
              <w:rPr>
                <w:sz w:val="24"/>
                <w:szCs w:val="24"/>
                <w:color w:val="auto"/>
              </w:rPr>
            </w:pPr>
          </w:p>
        </w:tc>
        <w:tc>
          <w:tcPr>
            <w:tcW w:w="140" w:type="dxa"/>
            <w:vAlign w:val="bottom"/>
            <w:gridSpan w:val="4"/>
            <w:vMerge w:val="restart"/>
          </w:tcPr>
          <w:p>
            <w:pPr>
              <w:spacing w:after="0"/>
              <w:rPr>
                <w:sz w:val="24"/>
                <w:szCs w:val="24"/>
                <w:color w:val="auto"/>
              </w:rPr>
            </w:pPr>
          </w:p>
        </w:tc>
        <w:tc>
          <w:tcPr>
            <w:tcW w:w="840" w:type="dxa"/>
            <w:vAlign w:val="bottom"/>
            <w:gridSpan w:val="4"/>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860" w:type="dxa"/>
            <w:vAlign w:val="bottom"/>
            <w:gridSpan w:val="2"/>
            <w:vMerge w:val="restart"/>
          </w:tcPr>
          <w:p>
            <w:pPr>
              <w:spacing w:after="0"/>
              <w:rPr>
                <w:sz w:val="24"/>
                <w:szCs w:val="24"/>
                <w:color w:val="auto"/>
              </w:rPr>
            </w:pPr>
          </w:p>
        </w:tc>
        <w:tc>
          <w:tcPr>
            <w:tcW w:w="260" w:type="dxa"/>
            <w:vAlign w:val="bottom"/>
            <w:gridSpan w:val="3"/>
            <w:vMerge w:val="restart"/>
          </w:tcPr>
          <w:p>
            <w:pPr>
              <w:spacing w:after="0"/>
              <w:rPr>
                <w:sz w:val="24"/>
                <w:szCs w:val="24"/>
                <w:color w:val="auto"/>
              </w:rPr>
            </w:pPr>
          </w:p>
        </w:tc>
        <w:tc>
          <w:tcPr>
            <w:tcW w:w="2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700" w:type="dxa"/>
            <w:vAlign w:val="bottom"/>
            <w:vMerge w:val="continue"/>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00FF"/>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520" w:type="dxa"/>
            <w:vAlign w:val="bottom"/>
            <w:gridSpan w:val="7"/>
            <w:vMerge w:val="continue"/>
          </w:tcPr>
          <w:p>
            <w:pPr>
              <w:spacing w:after="0"/>
              <w:rPr>
                <w:sz w:val="2"/>
                <w:szCs w:val="2"/>
                <w:color w:val="auto"/>
              </w:rPr>
            </w:pPr>
          </w:p>
        </w:tc>
        <w:tc>
          <w:tcPr>
            <w:tcW w:w="14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70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370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rPr>
              <w:t>The Lilly Directors' Deferral Plan, as amended</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0000FF"/>
                <w:w w:val="74"/>
              </w:rPr>
              <w:t>(1)</w:t>
            </w:r>
          </w:p>
        </w:tc>
        <w:tc>
          <w:tcPr>
            <w:tcW w:w="6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78"/>
              </w:rPr>
              <w:t>*</w:t>
            </w:r>
          </w:p>
        </w:tc>
        <w:tc>
          <w:tcPr>
            <w:tcW w:w="1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520" w:type="dxa"/>
            <w:vAlign w:val="bottom"/>
            <w:gridSpan w:val="4"/>
            <w:vMerge w:val="restart"/>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520" w:type="dxa"/>
            <w:vAlign w:val="bottom"/>
            <w:gridSpan w:val="7"/>
            <w:vMerge w:val="restart"/>
          </w:tcPr>
          <w:p>
            <w:pPr>
              <w:spacing w:after="0"/>
              <w:rPr>
                <w:sz w:val="19"/>
                <w:szCs w:val="19"/>
                <w:color w:val="auto"/>
              </w:rPr>
            </w:pPr>
          </w:p>
        </w:tc>
        <w:tc>
          <w:tcPr>
            <w:tcW w:w="140" w:type="dxa"/>
            <w:vAlign w:val="bottom"/>
            <w:gridSpan w:val="4"/>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8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60" w:type="dxa"/>
            <w:vAlign w:val="bottom"/>
            <w:gridSpan w:val="2"/>
            <w:vMerge w:val="restart"/>
          </w:tcPr>
          <w:p>
            <w:pPr>
              <w:spacing w:after="0"/>
              <w:rPr>
                <w:sz w:val="19"/>
                <w:szCs w:val="19"/>
                <w:color w:val="auto"/>
              </w:rPr>
            </w:pPr>
          </w:p>
        </w:tc>
        <w:tc>
          <w:tcPr>
            <w:tcW w:w="260" w:type="dxa"/>
            <w:vAlign w:val="bottom"/>
            <w:gridSpan w:val="3"/>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520" w:type="dxa"/>
            <w:vAlign w:val="bottom"/>
            <w:gridSpan w:val="4"/>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140" w:type="dxa"/>
            <w:vAlign w:val="bottom"/>
            <w:gridSpan w:val="4"/>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700" w:type="dxa"/>
            <w:vAlign w:val="bottom"/>
          </w:tcPr>
          <w:p>
            <w:pPr>
              <w:spacing w:after="0" w:line="203" w:lineRule="exact"/>
              <w:rPr>
                <w:sz w:val="20"/>
                <w:szCs w:val="20"/>
                <w:color w:val="auto"/>
              </w:rPr>
            </w:pPr>
            <w:r>
              <w:rPr>
                <w:rFonts w:ascii="Arial" w:cs="Arial" w:eastAsia="Arial" w:hAnsi="Arial"/>
                <w:sz w:val="18"/>
                <w:szCs w:val="18"/>
                <w:color w:val="auto"/>
              </w:rPr>
              <w:t>10.9</w:t>
            </w:r>
          </w:p>
        </w:tc>
        <w:tc>
          <w:tcPr>
            <w:tcW w:w="4160" w:type="dxa"/>
            <w:vAlign w:val="bottom"/>
            <w:tcBorders>
              <w:bottom w:val="single" w:sz="8" w:color="0000FF"/>
            </w:tcBorders>
            <w:gridSpan w:val="13"/>
          </w:tcPr>
          <w:p>
            <w:pPr>
              <w:spacing w:after="0" w:line="19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The Eli Lilly and Company Bonus Plan, as amended</w:t>
              </w:r>
            </w:hyperlink>
          </w:p>
        </w:tc>
        <w:tc>
          <w:tcPr>
            <w:tcW w:w="140" w:type="dxa"/>
            <w:vAlign w:val="bottom"/>
            <w:gridSpan w:val="2"/>
          </w:tcPr>
          <w:p>
            <w:pPr>
              <w:jc w:val="right"/>
              <w:spacing w:after="0"/>
              <w:rPr>
                <w:rFonts w:ascii="Arial" w:cs="Arial" w:eastAsia="Arial" w:hAnsi="Arial"/>
                <w:sz w:val="12"/>
                <w:szCs w:val="12"/>
                <w:u w:val="single" w:color="auto"/>
                <w:color w:val="0000FF"/>
                <w:w w:val="81"/>
              </w:rPr>
            </w:pPr>
            <w:hyperlink r:id="rId182">
              <w:r>
                <w:rPr>
                  <w:rFonts w:ascii="Arial" w:cs="Arial" w:eastAsia="Arial" w:hAnsi="Arial"/>
                  <w:sz w:val="12"/>
                  <w:szCs w:val="12"/>
                  <w:u w:val="single" w:color="auto"/>
                  <w:color w:val="0000FF"/>
                  <w:w w:val="81"/>
                </w:rPr>
                <w:t>(1)</w:t>
              </w:r>
            </w:hyperlink>
          </w:p>
        </w:tc>
        <w:tc>
          <w:tcPr>
            <w:tcW w:w="4880" w:type="dxa"/>
            <w:vAlign w:val="bottom"/>
            <w:tcBorders>
              <w:bottom w:val="single" w:sz="8" w:color="0000FF"/>
            </w:tcBorders>
            <w:gridSpan w:val="31"/>
          </w:tcPr>
          <w:p>
            <w:pPr>
              <w:spacing w:after="0" w:line="19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 incorporated by reference to Exhibit 10.14 to the Company's</w:t>
              </w:r>
            </w:hyperlink>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480" w:type="dxa"/>
            <w:vAlign w:val="bottom"/>
            <w:tcBorders>
              <w:bottom w:val="single" w:sz="8" w:color="0000FF"/>
            </w:tcBorders>
            <w:gridSpan w:val="30"/>
          </w:tcPr>
          <w:p>
            <w:pPr>
              <w:spacing w:after="0" w:line="169" w:lineRule="exact"/>
              <w:rPr>
                <w:rFonts w:ascii="Arial" w:cs="Arial" w:eastAsia="Arial" w:hAnsi="Arial"/>
                <w:sz w:val="18"/>
                <w:szCs w:val="18"/>
                <w:color w:val="0000FF"/>
              </w:rPr>
            </w:pPr>
            <w:hyperlink r:id="rId182">
              <w:r>
                <w:rPr>
                  <w:rFonts w:ascii="Arial" w:cs="Arial" w:eastAsia="Arial" w:hAnsi="Arial"/>
                  <w:sz w:val="18"/>
                  <w:szCs w:val="18"/>
                  <w:color w:val="0000FF"/>
                </w:rPr>
                <w:t>Annual Report on Form 10-K for the year ended December 31, 2020</w:t>
              </w:r>
            </w:hyperlink>
          </w:p>
        </w:tc>
        <w:tc>
          <w:tcPr>
            <w:tcW w:w="398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10.10</w:t>
            </w:r>
          </w:p>
        </w:tc>
        <w:tc>
          <w:tcPr>
            <w:tcW w:w="6440" w:type="dxa"/>
            <w:vAlign w:val="bottom"/>
            <w:tcBorders>
              <w:bottom w:val="single" w:sz="8" w:color="0000FF"/>
            </w:tcBorders>
            <w:gridSpan w:val="37"/>
          </w:tcPr>
          <w:p>
            <w:pPr>
              <w:spacing w:after="0"/>
              <w:rPr>
                <w:rFonts w:ascii="Arial" w:cs="Arial" w:eastAsia="Arial" w:hAnsi="Arial"/>
                <w:sz w:val="18"/>
                <w:szCs w:val="18"/>
                <w:color w:val="0000FF"/>
                <w:w w:val="99"/>
              </w:rPr>
            </w:pPr>
            <w:hyperlink r:id="rId183">
              <w:r>
                <w:rPr>
                  <w:rFonts w:ascii="Arial" w:cs="Arial" w:eastAsia="Arial" w:hAnsi="Arial"/>
                  <w:sz w:val="18"/>
                  <w:szCs w:val="18"/>
                  <w:color w:val="0000FF"/>
                  <w:w w:val="99"/>
                </w:rPr>
                <w:t>2007 Change in Control Severance Pay Plan for Select Employees, as amended</w:t>
              </w:r>
            </w:hyperlink>
          </w:p>
        </w:tc>
        <w:tc>
          <w:tcPr>
            <w:tcW w:w="140" w:type="dxa"/>
            <w:vAlign w:val="bottom"/>
          </w:tcPr>
          <w:p>
            <w:pPr>
              <w:jc w:val="right"/>
              <w:spacing w:after="0"/>
              <w:rPr>
                <w:rFonts w:ascii="Arial" w:cs="Arial" w:eastAsia="Arial" w:hAnsi="Arial"/>
                <w:sz w:val="12"/>
                <w:szCs w:val="12"/>
                <w:color w:val="0000FF"/>
                <w:w w:val="81"/>
              </w:rPr>
            </w:pPr>
            <w:hyperlink r:id="rId183">
              <w:r>
                <w:rPr>
                  <w:rFonts w:ascii="Arial" w:cs="Arial" w:eastAsia="Arial" w:hAnsi="Arial"/>
                  <w:sz w:val="12"/>
                  <w:szCs w:val="12"/>
                  <w:color w:val="0000FF"/>
                  <w:w w:val="81"/>
                </w:rPr>
                <w:t>(1)</w:t>
              </w:r>
            </w:hyperlink>
          </w:p>
        </w:tc>
        <w:tc>
          <w:tcPr>
            <w:tcW w:w="2340" w:type="dxa"/>
            <w:vAlign w:val="bottom"/>
            <w:tcBorders>
              <w:bottom w:val="single" w:sz="8" w:color="0000FF"/>
            </w:tcBorders>
            <w:gridSpan w:val="5"/>
          </w:tcPr>
          <w:p>
            <w:pPr>
              <w:spacing w:after="0"/>
              <w:rPr>
                <w:rFonts w:ascii="Arial" w:cs="Arial" w:eastAsia="Arial" w:hAnsi="Arial"/>
                <w:sz w:val="18"/>
                <w:szCs w:val="18"/>
                <w:color w:val="0000FF"/>
                <w:w w:val="98"/>
              </w:rPr>
            </w:pPr>
            <w:hyperlink r:id="rId183">
              <w:r>
                <w:rPr>
                  <w:rFonts w:ascii="Arial" w:cs="Arial" w:eastAsia="Arial" w:hAnsi="Arial"/>
                  <w:sz w:val="18"/>
                  <w:szCs w:val="18"/>
                  <w:color w:val="0000FF"/>
                  <w:w w:val="98"/>
                </w:rPr>
                <w:t>, incorporated by reference to</w:t>
              </w:r>
            </w:hyperlink>
          </w:p>
        </w:tc>
        <w:tc>
          <w:tcPr>
            <w:tcW w:w="5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6420" w:type="dxa"/>
            <w:vAlign w:val="bottom"/>
            <w:gridSpan w:val="36"/>
            <w:vMerge w:val="restart"/>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Exhibit 10.10 to the Company’s Annual Report on Form 10-K for the year ended</w:t>
              </w:r>
            </w:hyperlink>
          </w:p>
        </w:tc>
        <w:tc>
          <w:tcPr>
            <w:tcW w:w="2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340" w:type="dxa"/>
            <w:vAlign w:val="bottom"/>
            <w:gridSpan w:val="5"/>
            <w:vMerge w:val="restart"/>
          </w:tcPr>
          <w:p>
            <w:pPr>
              <w:spacing w:after="0" w:line="169" w:lineRule="exact"/>
              <w:rPr>
                <w:rFonts w:ascii="Arial" w:cs="Arial" w:eastAsia="Arial" w:hAnsi="Arial"/>
                <w:sz w:val="18"/>
                <w:szCs w:val="18"/>
                <w:color w:val="0000FF"/>
              </w:rPr>
            </w:pPr>
            <w:hyperlink r:id="rId183">
              <w:r>
                <w:rPr>
                  <w:rFonts w:ascii="Arial" w:cs="Arial" w:eastAsia="Arial" w:hAnsi="Arial"/>
                  <w:sz w:val="18"/>
                  <w:szCs w:val="18"/>
                  <w:color w:val="0000FF"/>
                </w:rPr>
                <w:t>December 31, 2023</w:t>
              </w:r>
            </w:hyperlink>
          </w:p>
        </w:tc>
        <w:tc>
          <w:tcPr>
            <w:tcW w:w="52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6420" w:type="dxa"/>
            <w:vAlign w:val="bottom"/>
            <w:gridSpan w:val="36"/>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19</w:t>
            </w:r>
          </w:p>
        </w:tc>
        <w:tc>
          <w:tcPr>
            <w:tcW w:w="33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Trading Lilly Securities Global Procedure*</w:t>
            </w:r>
          </w:p>
        </w:tc>
        <w:tc>
          <w:tcPr>
            <w:tcW w:w="4640" w:type="dxa"/>
            <w:vAlign w:val="bottom"/>
            <w:tcBorders>
              <w:top w:val="single" w:sz="8" w:color="0000FF"/>
            </w:tcBorders>
            <w:gridSpan w:val="37"/>
          </w:tcPr>
          <w:p>
            <w:pPr>
              <w:spacing w:after="0"/>
              <w:rPr>
                <w:sz w:val="22"/>
                <w:szCs w:val="22"/>
                <w:color w:val="auto"/>
              </w:rPr>
            </w:pPr>
          </w:p>
        </w:tc>
        <w:tc>
          <w:tcPr>
            <w:tcW w:w="14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21</w:t>
            </w:r>
          </w:p>
        </w:tc>
        <w:tc>
          <w:tcPr>
            <w:tcW w:w="9460" w:type="dxa"/>
            <w:vAlign w:val="bottom"/>
            <w:gridSpan w:val="49"/>
          </w:tcPr>
          <w:p>
            <w:pPr>
              <w:spacing w:after="0"/>
              <w:rPr>
                <w:sz w:val="20"/>
                <w:szCs w:val="20"/>
                <w:color w:val="auto"/>
              </w:rPr>
            </w:pPr>
            <w:r>
              <w:rPr>
                <w:rFonts w:ascii="Arial" w:cs="Arial" w:eastAsia="Arial" w:hAnsi="Arial"/>
                <w:sz w:val="18"/>
                <w:szCs w:val="18"/>
                <w:color w:val="0000FF"/>
              </w:rPr>
              <w:t>List of Subsidiaries*</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23</w:t>
            </w:r>
          </w:p>
        </w:tc>
        <w:tc>
          <w:tcPr>
            <w:tcW w:w="48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4640" w:type="dxa"/>
            <w:vAlign w:val="bottom"/>
            <w:gridSpan w:val="30"/>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31.1</w:t>
            </w:r>
          </w:p>
        </w:tc>
        <w:tc>
          <w:tcPr>
            <w:tcW w:w="7140" w:type="dxa"/>
            <w:vAlign w:val="bottom"/>
            <w:tcBorders>
              <w:bottom w:val="single" w:sz="8" w:color="0000FF"/>
            </w:tcBorders>
            <w:gridSpan w:val="39"/>
          </w:tcPr>
          <w:p>
            <w:pPr>
              <w:spacing w:after="0"/>
              <w:rPr>
                <w:sz w:val="20"/>
                <w:szCs w:val="20"/>
                <w:color w:val="auto"/>
              </w:rPr>
            </w:pPr>
            <w:r>
              <w:rPr>
                <w:rFonts w:ascii="Arial" w:cs="Arial" w:eastAsia="Arial" w:hAnsi="Arial"/>
                <w:sz w:val="18"/>
                <w:szCs w:val="18"/>
                <w:color w:val="0000FF"/>
                <w:w w:val="99"/>
              </w:rPr>
              <w:t>Rule 13a-14(a) Certification of David Ricks, Chair, President, and Chief Executive Officer*</w:t>
            </w:r>
          </w:p>
        </w:tc>
        <w:tc>
          <w:tcPr>
            <w:tcW w:w="23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0"/>
                <w:szCs w:val="20"/>
                <w:color w:val="auto"/>
              </w:rPr>
            </w:pPr>
            <w:r>
              <w:rPr>
                <w:rFonts w:ascii="Arial" w:cs="Arial" w:eastAsia="Arial" w:hAnsi="Arial"/>
                <w:sz w:val="18"/>
                <w:szCs w:val="18"/>
                <w:color w:val="auto"/>
              </w:rPr>
              <w:t>31.2</w:t>
            </w:r>
          </w:p>
        </w:tc>
        <w:tc>
          <w:tcPr>
            <w:tcW w:w="9460" w:type="dxa"/>
            <w:vAlign w:val="bottom"/>
            <w:gridSpan w:val="49"/>
          </w:tcPr>
          <w:p>
            <w:pPr>
              <w:spacing w:after="0"/>
              <w:rPr>
                <w:sz w:val="20"/>
                <w:szCs w:val="20"/>
                <w:color w:val="auto"/>
              </w:rPr>
            </w:pPr>
            <w:r>
              <w:rPr>
                <w:rFonts w:ascii="Arial" w:cs="Arial" w:eastAsia="Arial" w:hAnsi="Arial"/>
                <w:sz w:val="18"/>
                <w:szCs w:val="18"/>
                <w:color w:val="0000FF"/>
              </w:rPr>
              <w:t>Rule 13a-14(a) Certification of Lucas Montarce, Executive Vice President and Chief Financial Officer*</w:t>
            </w: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32</w:t>
            </w:r>
          </w:p>
        </w:tc>
        <w:tc>
          <w:tcPr>
            <w:tcW w:w="8060" w:type="dxa"/>
            <w:vAlign w:val="bottom"/>
            <w:tcBorders>
              <w:top w:val="single" w:sz="8" w:color="0000FF"/>
            </w:tcBorders>
            <w:gridSpan w:val="41"/>
          </w:tcPr>
          <w:p>
            <w:pPr>
              <w:spacing w:after="0"/>
              <w:rPr>
                <w:sz w:val="20"/>
                <w:szCs w:val="20"/>
                <w:color w:val="auto"/>
              </w:rPr>
            </w:pPr>
            <w:r>
              <w:rPr>
                <w:rFonts w:ascii="Arial" w:cs="Arial" w:eastAsia="Arial" w:hAnsi="Arial"/>
                <w:sz w:val="18"/>
                <w:szCs w:val="18"/>
                <w:color w:val="0000FF"/>
              </w:rPr>
              <w:t>Section 1350 Certification*</w:t>
            </w:r>
          </w:p>
        </w:tc>
        <w:tc>
          <w:tcPr>
            <w:tcW w:w="14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0"/>
                <w:szCs w:val="20"/>
                <w:color w:val="auto"/>
              </w:rPr>
            </w:pPr>
            <w:r>
              <w:rPr>
                <w:rFonts w:ascii="Arial" w:cs="Arial" w:eastAsia="Arial" w:hAnsi="Arial"/>
                <w:sz w:val="18"/>
                <w:szCs w:val="18"/>
                <w:color w:val="auto"/>
              </w:rPr>
              <w:t>97</w:t>
            </w:r>
          </w:p>
        </w:tc>
        <w:tc>
          <w:tcPr>
            <w:tcW w:w="9460" w:type="dxa"/>
            <w:vAlign w:val="bottom"/>
            <w:gridSpan w:val="49"/>
          </w:tcPr>
          <w:p>
            <w:pPr>
              <w:spacing w:after="0"/>
              <w:rPr>
                <w:rFonts w:ascii="Arial" w:cs="Arial" w:eastAsia="Arial" w:hAnsi="Arial"/>
                <w:sz w:val="18"/>
                <w:szCs w:val="18"/>
                <w:color w:val="0000FF"/>
              </w:rPr>
            </w:pPr>
            <w:hyperlink r:id="rId184">
              <w:r>
                <w:rPr>
                  <w:rFonts w:ascii="Arial" w:cs="Arial" w:eastAsia="Arial" w:hAnsi="Arial"/>
                  <w:sz w:val="18"/>
                  <w:szCs w:val="18"/>
                  <w:color w:val="0000FF"/>
                </w:rPr>
                <w:t>Executive Compensation Recovery Policy, incorporated by reference to Exhibit 97 to the Company’s Annual Report on</w:t>
              </w:r>
            </w:hyperlink>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Form 10-K for the year ended December 31, 2023</w:t>
              </w:r>
            </w:hyperlink>
          </w:p>
        </w:tc>
        <w:tc>
          <w:tcPr>
            <w:tcW w:w="5440" w:type="dxa"/>
            <w:vAlign w:val="bottom"/>
            <w:tcBorders>
              <w:top w:val="single" w:sz="8" w:color="0000FF"/>
            </w:tcBorders>
            <w:gridSpan w:val="3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70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gridSpan w:val="49"/>
          </w:tcPr>
          <w:p>
            <w:pPr>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gridSpan w:val="49"/>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7520" w:firstLine="8"/>
        <w:spacing w:after="0" w:line="325" w:lineRule="auto"/>
        <w:tabs>
          <w:tab w:leader="none" w:pos="150" w:val="left"/>
        </w:tabs>
        <w:numPr>
          <w:ilvl w:val="0"/>
          <w:numId w:val="47"/>
        </w:numPr>
        <w:rPr>
          <w:rFonts w:ascii="Arial" w:cs="Arial" w:eastAsia="Arial" w:hAnsi="Arial"/>
          <w:sz w:val="9"/>
          <w:szCs w:val="9"/>
          <w:color w:val="auto"/>
        </w:rPr>
      </w:pPr>
      <w:r>
        <w:rPr>
          <w:rFonts w:ascii="Arial" w:cs="Arial" w:eastAsia="Arial" w:hAnsi="Arial"/>
          <w:sz w:val="14"/>
          <w:szCs w:val="14"/>
          <w:color w:val="auto"/>
        </w:rPr>
        <w:t>Indicates management contract or compensatory plan. * Filed herewith.</w:t>
      </w:r>
    </w:p>
    <w:p>
      <w:pPr>
        <w:spacing w:after="0" w:line="144"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Long-term debt instruments under which the total amount of securities authorized does not exceed 10 percent of our consolidated assets are not filed as exhibits to this Annual Report. We will furnish a copy of these agreements to the Securities and Exchange Commission upon request.</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50"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39001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Ricks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0" w:right="439" w:bottom="1440" w:gutter="0" w:footer="0" w:header="0"/>
        </w:sectPr>
      </w:pPr>
    </w:p>
    <w:bookmarkStart w:id="119" w:name="page120"/>
    <w:bookmarkEnd w:id="119"/>
    <w:p>
      <w:pPr>
        <w:ind w:right="56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19, 2025 by the following persons on behalf of the Registrant and in the capacities indicated.</w:t>
      </w:r>
    </w:p>
    <w:p>
      <w:pPr>
        <w:spacing w:after="0" w:line="82" w:lineRule="exact"/>
        <w:rPr>
          <w:sz w:val="20"/>
          <w:szCs w:val="20"/>
          <w:color w:val="auto"/>
        </w:rPr>
      </w:pPr>
    </w:p>
    <w:p>
      <w:pPr>
        <w:ind w:left="2560"/>
        <w:spacing w:after="0"/>
        <w:tabs>
          <w:tab w:leader="none" w:pos="8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08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p>
      <w:pPr>
        <w:spacing w:after="0" w:line="86" w:lineRule="exact"/>
        <w:rPr>
          <w:sz w:val="20"/>
          <w:szCs w:val="20"/>
          <w:color w:val="auto"/>
        </w:rPr>
      </w:pPr>
    </w:p>
    <w:p>
      <w:pPr>
        <w:jc w:val="center"/>
        <w:ind w:left="760"/>
        <w:spacing w:after="0"/>
        <w:tabs>
          <w:tab w:leader="none" w:pos="180" w:val="left"/>
        </w:tabs>
        <w:rPr>
          <w:sz w:val="20"/>
          <w:szCs w:val="20"/>
          <w:color w:val="auto"/>
        </w:rPr>
      </w:pPr>
      <w:r>
        <w:rPr>
          <w:rFonts w:ascii="Arial" w:cs="Arial" w:eastAsia="Arial" w:hAnsi="Arial"/>
          <w:sz w:val="18"/>
          <w:szCs w:val="18"/>
          <w:color w:val="auto"/>
        </w:rPr>
        <w:t>/s/</w:t>
        <w:tab/>
        <w:t>David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DAVID RICKS</w:t>
      </w:r>
    </w:p>
    <w:p>
      <w:pPr>
        <w:spacing w:after="0" w:line="90" w:lineRule="exact"/>
        <w:rPr>
          <w:sz w:val="20"/>
          <w:szCs w:val="20"/>
          <w:color w:val="auto"/>
        </w:rPr>
      </w:pPr>
    </w:p>
    <w:p>
      <w:pPr>
        <w:ind w:left="2040"/>
        <w:spacing w:after="0"/>
        <w:tabs>
          <w:tab w:leader="none" w:pos="2420" w:val="left"/>
        </w:tabs>
        <w:rPr>
          <w:sz w:val="20"/>
          <w:szCs w:val="20"/>
          <w:color w:val="auto"/>
        </w:rPr>
      </w:pPr>
      <w:r>
        <w:rPr>
          <w:rFonts w:ascii="Arial" w:cs="Arial" w:eastAsia="Arial" w:hAnsi="Arial"/>
          <w:sz w:val="18"/>
          <w:szCs w:val="18"/>
          <w:color w:val="auto"/>
        </w:rPr>
        <w:t>/s/</w:t>
        <w:tab/>
        <w:t>Lucas Montarce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LUCAS MONTARCE</w:t>
      </w:r>
    </w:p>
    <w:p>
      <w:pPr>
        <w:spacing w:after="0" w:line="90" w:lineRule="exact"/>
        <w:rPr>
          <w:sz w:val="20"/>
          <w:szCs w:val="20"/>
          <w:color w:val="auto"/>
        </w:rPr>
      </w:pPr>
    </w:p>
    <w:p>
      <w:pPr>
        <w:jc w:val="center"/>
        <w:ind w:left="520"/>
        <w:spacing w:after="0"/>
        <w:tabs>
          <w:tab w:leader="none" w:pos="180" w:val="left"/>
        </w:tabs>
        <w:rPr>
          <w:sz w:val="20"/>
          <w:szCs w:val="20"/>
          <w:color w:val="auto"/>
        </w:rPr>
      </w:pPr>
      <w:r>
        <w:rPr>
          <w:rFonts w:ascii="Arial" w:cs="Arial" w:eastAsia="Arial" w:hAnsi="Arial"/>
          <w:sz w:val="18"/>
          <w:szCs w:val="18"/>
          <w:color w:val="auto"/>
        </w:rPr>
        <w:t>/s/</w:t>
        <w:tab/>
        <w:t>Donald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6518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DONALD ZAKROWSKI</w:t>
      </w:r>
    </w:p>
    <w:p>
      <w:pPr>
        <w:spacing w:after="0" w:line="102" w:lineRule="exact"/>
        <w:rPr>
          <w:sz w:val="20"/>
          <w:szCs w:val="20"/>
          <w:color w:val="auto"/>
        </w:rPr>
      </w:pPr>
    </w:p>
    <w:p>
      <w:pPr>
        <w:ind w:left="2120"/>
        <w:spacing w:after="0"/>
        <w:tabs>
          <w:tab w:leader="none" w:pos="250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518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Chair, President, and Chief Executive Officer (principal executive officer)</w:t>
      </w:r>
    </w:p>
    <w:p>
      <w:pPr>
        <w:spacing w:after="0" w:line="15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5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Senior Vice President, Finance, and Chief Accounting Officer (principal accounting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19" w:lineRule="exact"/>
        <w:rPr>
          <w:sz w:val="20"/>
          <w:szCs w:val="20"/>
          <w:color w:val="auto"/>
        </w:rPr>
      </w:pPr>
    </w:p>
    <w:p>
      <w:pPr>
        <w:sectPr>
          <w:pgSz w:w="11900" w:h="16838" w:orient="portrait"/>
          <w:cols w:equalWidth="0" w:num="2">
            <w:col w:w="5280" w:space="720"/>
            <w:col w:w="5140"/>
          </w:cols>
          <w:pgMar w:left="320" w:top="985" w:right="4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3820" w:type="dxa"/>
            <w:vAlign w:val="bottom"/>
            <w:tcBorders>
              <w:bottom w:val="single" w:sz="8" w:color="auto"/>
            </w:tcBorders>
            <w:gridSpan w:val="3"/>
          </w:tcPr>
          <w:p>
            <w:pPr>
              <w:jc w:val="center"/>
              <w:ind w:right="1450"/>
              <w:spacing w:after="0"/>
              <w:rPr>
                <w:sz w:val="20"/>
                <w:szCs w:val="20"/>
                <w:color w:val="auto"/>
              </w:rPr>
            </w:pPr>
            <w:r>
              <w:rPr>
                <w:rFonts w:ascii="Arial" w:cs="Arial" w:eastAsia="Arial" w:hAnsi="Arial"/>
                <w:sz w:val="18"/>
                <w:szCs w:val="18"/>
                <w:color w:val="auto"/>
                <w:w w:val="99"/>
              </w:rPr>
              <w:t>Katherine Baicker,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5760" w:type="dxa"/>
            <w:vAlign w:val="bottom"/>
            <w:gridSpan w:val="4"/>
          </w:tcPr>
          <w:p>
            <w:pPr>
              <w:jc w:val="center"/>
              <w:spacing w:after="0"/>
              <w:rPr>
                <w:sz w:val="20"/>
                <w:szCs w:val="20"/>
                <w:color w:val="auto"/>
              </w:rPr>
            </w:pPr>
            <w:r>
              <w:rPr>
                <w:rFonts w:ascii="Arial" w:cs="Arial" w:eastAsia="Arial" w:hAnsi="Arial"/>
                <w:sz w:val="18"/>
                <w:szCs w:val="18"/>
                <w:color w:val="auto"/>
                <w:w w:val="99"/>
              </w:rPr>
              <w:t>KATHERINE BAICKER, Ph.D.</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rPr>
              <w:t>Erik Fyrwald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center"/>
              <w:ind w:right="2070"/>
              <w:spacing w:after="0"/>
              <w:rPr>
                <w:sz w:val="20"/>
                <w:szCs w:val="20"/>
                <w:color w:val="auto"/>
              </w:rPr>
            </w:pPr>
            <w:r>
              <w:rPr>
                <w:rFonts w:ascii="Arial" w:cs="Arial" w:eastAsia="Arial" w:hAnsi="Arial"/>
                <w:sz w:val="18"/>
                <w:szCs w:val="18"/>
                <w:color w:val="auto"/>
                <w:w w:val="99"/>
              </w:rPr>
              <w:t>ERIK FYRWALD</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820" w:type="dxa"/>
            <w:vAlign w:val="bottom"/>
            <w:tcBorders>
              <w:bottom w:val="single" w:sz="8" w:color="auto"/>
            </w:tcBorders>
            <w:gridSpan w:val="3"/>
          </w:tcPr>
          <w:p>
            <w:pPr>
              <w:jc w:val="center"/>
              <w:ind w:right="1450"/>
              <w:spacing w:after="0"/>
              <w:rPr>
                <w:sz w:val="20"/>
                <w:szCs w:val="20"/>
                <w:color w:val="auto"/>
              </w:rPr>
            </w:pPr>
            <w:r>
              <w:rPr>
                <w:rFonts w:ascii="Arial" w:cs="Arial" w:eastAsia="Arial" w:hAnsi="Arial"/>
                <w:sz w:val="18"/>
                <w:szCs w:val="18"/>
                <w:color w:val="auto"/>
                <w:w w:val="98"/>
              </w:rPr>
              <w:t>Mary Lynne Hedley,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5760" w:type="dxa"/>
            <w:vAlign w:val="bottom"/>
            <w:gridSpan w:val="4"/>
          </w:tcPr>
          <w:p>
            <w:pPr>
              <w:jc w:val="center"/>
              <w:spacing w:after="0"/>
              <w:rPr>
                <w:sz w:val="20"/>
                <w:szCs w:val="20"/>
                <w:color w:val="auto"/>
              </w:rPr>
            </w:pPr>
            <w:r>
              <w:rPr>
                <w:rFonts w:ascii="Arial" w:cs="Arial" w:eastAsia="Arial" w:hAnsi="Arial"/>
                <w:sz w:val="18"/>
                <w:szCs w:val="18"/>
                <w:color w:val="auto"/>
                <w:w w:val="98"/>
              </w:rPr>
              <w:t>MARY LYNNE HEDLEY, Ph. D.</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rPr>
              <w:t>Jamere Jackson</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1940" w:type="dxa"/>
            <w:vAlign w:val="bottom"/>
          </w:tcPr>
          <w:p>
            <w:pPr>
              <w:spacing w:after="0"/>
              <w:rPr>
                <w:sz w:val="20"/>
                <w:szCs w:val="20"/>
                <w:color w:val="auto"/>
              </w:rPr>
            </w:pPr>
          </w:p>
        </w:tc>
        <w:tc>
          <w:tcPr>
            <w:tcW w:w="3820" w:type="dxa"/>
            <w:vAlign w:val="bottom"/>
            <w:gridSpan w:val="3"/>
          </w:tcPr>
          <w:p>
            <w:pPr>
              <w:jc w:val="center"/>
              <w:ind w:right="1850"/>
              <w:spacing w:after="0"/>
              <w:rPr>
                <w:sz w:val="20"/>
                <w:szCs w:val="20"/>
                <w:color w:val="auto"/>
              </w:rPr>
            </w:pPr>
            <w:r>
              <w:rPr>
                <w:rFonts w:ascii="Arial" w:cs="Arial" w:eastAsia="Arial" w:hAnsi="Arial"/>
                <w:sz w:val="18"/>
                <w:szCs w:val="18"/>
                <w:color w:val="auto"/>
              </w:rPr>
              <w:t>JAMERE JACKSON</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3580" w:type="dxa"/>
            <w:vAlign w:val="bottom"/>
            <w:tcBorders>
              <w:bottom w:val="single" w:sz="8" w:color="auto"/>
            </w:tcBorders>
            <w:gridSpan w:val="2"/>
          </w:tcPr>
          <w:p>
            <w:pPr>
              <w:jc w:val="center"/>
              <w:ind w:right="1690"/>
              <w:spacing w:after="0"/>
              <w:rPr>
                <w:sz w:val="20"/>
                <w:szCs w:val="20"/>
                <w:color w:val="auto"/>
              </w:rPr>
            </w:pPr>
            <w:r>
              <w:rPr>
                <w:rFonts w:ascii="Arial" w:cs="Arial" w:eastAsia="Arial" w:hAnsi="Arial"/>
                <w:sz w:val="18"/>
                <w:szCs w:val="18"/>
                <w:color w:val="auto"/>
              </w:rPr>
              <w:t>Kimberly Johnson</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1940" w:type="dxa"/>
            <w:vAlign w:val="bottom"/>
          </w:tcPr>
          <w:p>
            <w:pPr>
              <w:spacing w:after="0"/>
              <w:rPr>
                <w:sz w:val="20"/>
                <w:szCs w:val="20"/>
                <w:color w:val="auto"/>
              </w:rPr>
            </w:pPr>
          </w:p>
        </w:tc>
        <w:tc>
          <w:tcPr>
            <w:tcW w:w="3820" w:type="dxa"/>
            <w:vAlign w:val="bottom"/>
            <w:gridSpan w:val="3"/>
          </w:tcPr>
          <w:p>
            <w:pPr>
              <w:jc w:val="center"/>
              <w:ind w:right="1830"/>
              <w:spacing w:after="0"/>
              <w:rPr>
                <w:sz w:val="20"/>
                <w:szCs w:val="20"/>
                <w:color w:val="auto"/>
              </w:rPr>
            </w:pPr>
            <w:r>
              <w:rPr>
                <w:rFonts w:ascii="Arial" w:cs="Arial" w:eastAsia="Arial" w:hAnsi="Arial"/>
                <w:sz w:val="18"/>
                <w:szCs w:val="18"/>
                <w:color w:val="auto"/>
                <w:w w:val="98"/>
              </w:rPr>
              <w:t>KIMBERLY JOHNSON</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3820" w:type="dxa"/>
            <w:vAlign w:val="bottom"/>
            <w:tcBorders>
              <w:bottom w:val="single" w:sz="8" w:color="auto"/>
            </w:tcBorders>
            <w:gridSpan w:val="3"/>
          </w:tcPr>
          <w:p>
            <w:pPr>
              <w:jc w:val="center"/>
              <w:ind w:right="1470"/>
              <w:spacing w:after="0"/>
              <w:rPr>
                <w:sz w:val="20"/>
                <w:szCs w:val="20"/>
                <w:color w:val="auto"/>
              </w:rPr>
            </w:pPr>
            <w:r>
              <w:rPr>
                <w:rFonts w:ascii="Arial" w:cs="Arial" w:eastAsia="Arial" w:hAnsi="Arial"/>
                <w:sz w:val="18"/>
                <w:szCs w:val="18"/>
                <w:color w:val="auto"/>
                <w:w w:val="99"/>
              </w:rPr>
              <w:t>William Kaelin, Jr., M.D.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5760" w:type="dxa"/>
            <w:vAlign w:val="bottom"/>
            <w:gridSpan w:val="4"/>
          </w:tcPr>
          <w:p>
            <w:pPr>
              <w:jc w:val="center"/>
              <w:spacing w:after="0"/>
              <w:rPr>
                <w:sz w:val="20"/>
                <w:szCs w:val="20"/>
                <w:color w:val="auto"/>
              </w:rPr>
            </w:pPr>
            <w:r>
              <w:rPr>
                <w:rFonts w:ascii="Arial" w:cs="Arial" w:eastAsia="Arial" w:hAnsi="Arial"/>
                <w:sz w:val="18"/>
                <w:szCs w:val="18"/>
                <w:color w:val="auto"/>
                <w:w w:val="99"/>
              </w:rPr>
              <w:t>WILLIAM KAELIN, JR., M.D.</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rPr>
              <w:t>Juan Luciano</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center"/>
              <w:ind w:right="2090"/>
              <w:spacing w:after="0"/>
              <w:rPr>
                <w:sz w:val="20"/>
                <w:szCs w:val="20"/>
                <w:color w:val="auto"/>
              </w:rPr>
            </w:pPr>
            <w:r>
              <w:rPr>
                <w:rFonts w:ascii="Arial" w:cs="Arial" w:eastAsia="Arial" w:hAnsi="Arial"/>
                <w:sz w:val="18"/>
                <w:szCs w:val="18"/>
                <w:color w:val="auto"/>
                <w:w w:val="99"/>
              </w:rPr>
              <w:t>JUAN LUCIANO</w:t>
            </w:r>
          </w:p>
        </w:tc>
        <w:tc>
          <w:tcPr>
            <w:tcW w:w="860" w:type="dxa"/>
            <w:vAlign w:val="bottom"/>
          </w:tcPr>
          <w:p>
            <w:pPr>
              <w:spacing w:after="0"/>
              <w:rPr>
                <w:sz w:val="20"/>
                <w:szCs w:val="20"/>
                <w:color w:val="auto"/>
              </w:rPr>
            </w:pPr>
          </w:p>
        </w:tc>
      </w:tr>
      <w:tr>
        <w:trPr>
          <w:trHeight w:val="274"/>
        </w:trPr>
        <w:tc>
          <w:tcPr>
            <w:tcW w:w="19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334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98"/>
              </w:rPr>
              <w:t>Jon Moeller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center"/>
              <w:ind w:right="2090"/>
              <w:spacing w:after="0"/>
              <w:rPr>
                <w:sz w:val="20"/>
                <w:szCs w:val="20"/>
                <w:color w:val="auto"/>
              </w:rPr>
            </w:pPr>
            <w:r>
              <w:rPr>
                <w:rFonts w:ascii="Arial" w:cs="Arial" w:eastAsia="Arial" w:hAnsi="Arial"/>
                <w:sz w:val="18"/>
                <w:szCs w:val="18"/>
                <w:color w:val="auto"/>
              </w:rPr>
              <w:t>JON MOELLER</w:t>
            </w:r>
          </w:p>
        </w:tc>
        <w:tc>
          <w:tcPr>
            <w:tcW w:w="860" w:type="dxa"/>
            <w:vAlign w:val="bottom"/>
          </w:tcPr>
          <w:p>
            <w:pPr>
              <w:spacing w:after="0"/>
              <w:rPr>
                <w:sz w:val="20"/>
                <w:szCs w:val="20"/>
                <w:color w:val="auto"/>
              </w:rPr>
            </w:pPr>
          </w:p>
        </w:tc>
      </w:tr>
      <w:tr>
        <w:trPr>
          <w:trHeight w:val="274"/>
        </w:trPr>
        <w:tc>
          <w:tcPr>
            <w:tcW w:w="218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w:t>
            </w:r>
          </w:p>
        </w:tc>
        <w:tc>
          <w:tcPr>
            <w:tcW w:w="3580" w:type="dxa"/>
            <w:vAlign w:val="bottom"/>
            <w:tcBorders>
              <w:bottom w:val="single" w:sz="8" w:color="auto"/>
            </w:tcBorders>
            <w:gridSpan w:val="2"/>
          </w:tcPr>
          <w:p>
            <w:pPr>
              <w:jc w:val="center"/>
              <w:ind w:right="1690"/>
              <w:spacing w:after="0"/>
              <w:rPr>
                <w:sz w:val="20"/>
                <w:szCs w:val="20"/>
                <w:color w:val="auto"/>
              </w:rPr>
            </w:pPr>
            <w:r>
              <w:rPr>
                <w:rFonts w:ascii="Arial" w:cs="Arial" w:eastAsia="Arial" w:hAnsi="Arial"/>
                <w:sz w:val="18"/>
                <w:szCs w:val="18"/>
                <w:color w:val="auto"/>
                <w:w w:val="99"/>
              </w:rPr>
              <w:t>Gabrielle Sulzberger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32"/>
        </w:trPr>
        <w:tc>
          <w:tcPr>
            <w:tcW w:w="5760" w:type="dxa"/>
            <w:vAlign w:val="bottom"/>
            <w:gridSpan w:val="4"/>
          </w:tcPr>
          <w:p>
            <w:pPr>
              <w:jc w:val="center"/>
              <w:spacing w:after="0"/>
              <w:rPr>
                <w:sz w:val="20"/>
                <w:szCs w:val="20"/>
                <w:color w:val="auto"/>
              </w:rPr>
            </w:pPr>
            <w:r>
              <w:rPr>
                <w:rFonts w:ascii="Arial" w:cs="Arial" w:eastAsia="Arial" w:hAnsi="Arial"/>
                <w:sz w:val="18"/>
                <w:szCs w:val="18"/>
                <w:color w:val="auto"/>
              </w:rPr>
              <w:t>GABRIELLE SULZBERGER</w:t>
            </w: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985" w:right="439" w:bottom="144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Exhibit 10.3 Form of Shareholder Value Award under the 2002 Lilly Stock Plan</w:t>
      </w:r>
    </w:p>
    <w:p>
      <w:pPr>
        <w:spacing w:after="0" w:line="200" w:lineRule="exact"/>
        <w:rPr>
          <w:sz w:val="20"/>
          <w:szCs w:val="20"/>
          <w:color w:val="auto"/>
        </w:rPr>
      </w:pPr>
    </w:p>
    <w:p>
      <w:pPr>
        <w:spacing w:after="0" w:line="288" w:lineRule="exact"/>
        <w:rPr>
          <w:sz w:val="20"/>
          <w:szCs w:val="20"/>
          <w:color w:val="auto"/>
        </w:rPr>
      </w:pPr>
    </w:p>
    <w:p>
      <w:pPr>
        <w:jc w:val="center"/>
        <w:ind w:left="480" w:right="1900"/>
        <w:spacing w:after="0" w:line="267" w:lineRule="auto"/>
        <w:rPr>
          <w:sz w:val="20"/>
          <w:szCs w:val="20"/>
          <w:color w:val="auto"/>
        </w:rPr>
      </w:pPr>
      <w:r>
        <w:rPr>
          <w:rFonts w:ascii="Arial" w:cs="Arial" w:eastAsia="Arial" w:hAnsi="Arial"/>
          <w:sz w:val="43"/>
          <w:szCs w:val="43"/>
          <w:color w:val="auto"/>
        </w:rPr>
        <w:t>Eli Lilly and Company Shareholder Value Award Agreement (for Executive Officers)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ectPr>
          <w:pgSz w:w="11900" w:h="16838" w:orient="portrait"/>
          <w:cols w:equalWidth="0" w:num="1">
            <w:col w:w="11080"/>
          </w:cols>
          <w:pgMar w:left="320" w:top="1440" w:right="499" w:bottom="144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3" w:lineRule="exact"/>
        <w:rPr>
          <w:sz w:val="20"/>
          <w:szCs w:val="20"/>
          <w:color w:val="auto"/>
        </w:rPr>
      </w:pPr>
    </w:p>
    <w:p>
      <w:pPr>
        <w:sectPr>
          <w:pgSz w:w="11900" w:h="16838" w:orient="portrait"/>
          <w:cols w:equalWidth="0" w:num="2">
            <w:col w:w="2540" w:space="720"/>
            <w:col w:w="782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540" w:space="720"/>
            <w:col w:w="782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ectPr>
          <w:pgSz w:w="11900" w:h="16838" w:orient="portrait"/>
          <w:cols w:equalWidth="0" w:num="2">
            <w:col w:w="2540" w:space="720"/>
            <w:col w:w="7820"/>
          </w:cols>
          <w:pgMar w:left="320" w:top="1440" w:right="4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ectPr>
          <w:pgSz w:w="11900" w:h="16838" w:orient="portrait"/>
          <w:cols w:equalWidth="0" w:num="2">
            <w:col w:w="2780" w:space="480"/>
            <w:col w:w="7820"/>
          </w:cols>
          <w:pgMar w:left="320" w:top="1440" w:right="49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auto"/>
        </w:rPr>
        <w:t>Lilly Stock Price Performance Levels: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080"/>
          </w:cols>
          <w:pgMar w:left="320" w:top="1440" w:right="49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28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  Grant of Shareholder Value Award</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60" w:type="dxa"/>
            <w:vAlign w:val="bottom"/>
          </w:tcPr>
          <w:p>
            <w:pPr>
              <w:spacing w:after="0"/>
              <w:rPr>
                <w:sz w:val="24"/>
                <w:szCs w:val="24"/>
                <w:color w:val="auto"/>
              </w:rPr>
            </w:pPr>
          </w:p>
        </w:tc>
        <w:tc>
          <w:tcPr>
            <w:tcW w:w="7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  Impact of Certain Employment Status Changes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  Change in Control</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60" w:type="dxa"/>
            <w:vAlign w:val="bottom"/>
          </w:tcPr>
          <w:p>
            <w:pPr>
              <w:spacing w:after="0"/>
              <w:rPr>
                <w:sz w:val="24"/>
                <w:szCs w:val="24"/>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6.  Rights of the Grantee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  Prohibition Against Transfer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Responsibility for Taxes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409A Compliance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Grantee’s Acknowledgment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11.</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Data Privacy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12.  Restrictive Covenants, Remedies, and Additional Terms and Conditions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13.  Governing Law and Choice of Venue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14.</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Miscellaneous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Compensation Recovery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16.</w:t>
            </w:r>
          </w:p>
        </w:tc>
        <w:tc>
          <w:tcPr>
            <w:tcW w:w="7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Award Subject to Acknowledgement of Acceptance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ectPr>
          <w:pgSz w:w="11900" w:h="16838" w:orient="portrait"/>
          <w:cols w:equalWidth="0" w:num="1">
            <w:col w:w="11220"/>
          </w:cols>
          <w:pgMar w:left="320" w:top="126" w:right="359" w:bottom="3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20"/>
          </w:cols>
          <w:pgMar w:left="320" w:top="126" w:right="359" w:bottom="380" w:gutter="0" w:footer="0" w:header="0"/>
          <w:type w:val="continuous"/>
        </w:sectPr>
      </w:pPr>
    </w:p>
    <w:bookmarkStart w:id="122" w:name="page123"/>
    <w:bookmarkEnd w:id="122"/>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1.</w:t>
        <w:tab/>
        <w:t>Grant of Shareholder Value Award</w:t>
      </w:r>
    </w:p>
    <w:p>
      <w:pPr>
        <w:spacing w:after="0" w:line="132"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Company’s stock plan administrator’s website at http://mystock.lilly.com (the "Target Number of Shares").</w:t>
      </w:r>
    </w:p>
    <w:p>
      <w:pPr>
        <w:spacing w:after="0" w:line="71" w:lineRule="exact"/>
        <w:rPr>
          <w:sz w:val="20"/>
          <w:szCs w:val="20"/>
          <w:color w:val="auto"/>
        </w:rPr>
      </w:pPr>
    </w:p>
    <w:p>
      <w:pPr>
        <w:jc w:val="both"/>
        <w:ind w:left="40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8" w:lineRule="exact"/>
        <w:rPr>
          <w:sz w:val="20"/>
          <w:szCs w:val="20"/>
          <w:color w:val="auto"/>
        </w:rPr>
      </w:pPr>
    </w:p>
    <w:p>
      <w:pPr>
        <w:jc w:val="both"/>
        <w:ind w:left="420"/>
        <w:spacing w:after="0" w:line="272"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64" w:lineRule="exact"/>
        <w:rPr>
          <w:sz w:val="20"/>
          <w:szCs w:val="20"/>
          <w:color w:val="auto"/>
        </w:rPr>
      </w:pPr>
    </w:p>
    <w:p>
      <w:pPr>
        <w:jc w:val="both"/>
        <w:ind w:left="420"/>
        <w:spacing w:after="0" w:line="264"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56" w:lineRule="exact"/>
        <w:rPr>
          <w:sz w:val="20"/>
          <w:szCs w:val="20"/>
          <w:color w:val="auto"/>
        </w:rPr>
      </w:pPr>
    </w:p>
    <w:p>
      <w:pPr>
        <w:ind w:left="1300" w:hanging="644"/>
        <w:spacing w:after="0" w:line="257" w:lineRule="auto"/>
        <w:tabs>
          <w:tab w:leader="none" w:pos="111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78" w:lineRule="exact"/>
        <w:rPr>
          <w:rFonts w:ascii="Arial" w:cs="Arial" w:eastAsia="Arial" w:hAnsi="Arial"/>
          <w:sz w:val="22"/>
          <w:szCs w:val="22"/>
          <w:color w:val="auto"/>
        </w:rPr>
      </w:pPr>
    </w:p>
    <w:p>
      <w:pPr>
        <w:ind w:left="1300" w:hanging="644"/>
        <w:spacing w:after="0" w:line="257" w:lineRule="auto"/>
        <w:tabs>
          <w:tab w:leader="none" w:pos="111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5" w:lineRule="exact"/>
        <w:rPr>
          <w:sz w:val="20"/>
          <w:szCs w:val="20"/>
          <w:color w:val="auto"/>
        </w:rPr>
      </w:pPr>
    </w:p>
    <w:p>
      <w:pPr>
        <w:jc w:val="both"/>
        <w:ind w:left="420" w:right="20"/>
        <w:spacing w:after="0" w:line="272"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Sections 3 or 4 below, the Award shall be forfeited.</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132" w:lineRule="exact"/>
        <w:rPr>
          <w:sz w:val="20"/>
          <w:szCs w:val="20"/>
          <w:color w:val="auto"/>
        </w:rPr>
      </w:pPr>
    </w:p>
    <w:p>
      <w:pPr>
        <w:jc w:val="both"/>
        <w:ind w:left="420" w:right="20"/>
        <w:spacing w:after="0" w:line="264"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56" w:lineRule="exact"/>
        <w:rPr>
          <w:sz w:val="20"/>
          <w:szCs w:val="20"/>
          <w:color w:val="auto"/>
        </w:rPr>
      </w:pPr>
    </w:p>
    <w:p>
      <w:pPr>
        <w:ind w:left="1300" w:right="20" w:hanging="644"/>
        <w:spacing w:after="0" w:line="257" w:lineRule="auto"/>
        <w:tabs>
          <w:tab w:leader="none" w:pos="108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26"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71"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1" w:lineRule="exact"/>
        <w:rPr>
          <w:sz w:val="20"/>
          <w:szCs w:val="20"/>
          <w:color w:val="auto"/>
        </w:rPr>
      </w:pPr>
    </w:p>
    <w:p>
      <w:pPr>
        <w:jc w:val="both"/>
        <w:ind w:left="1300" w:firstLine="4"/>
        <w:spacing w:after="0" w:line="247" w:lineRule="auto"/>
        <w:tabs>
          <w:tab w:leader="none" w:pos="1674" w:val="left"/>
        </w:tabs>
        <w:numPr>
          <w:ilvl w:val="0"/>
          <w:numId w:val="50"/>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 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75"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34" w:lineRule="exact"/>
        <w:rPr>
          <w:sz w:val="20"/>
          <w:szCs w:val="20"/>
          <w:color w:val="auto"/>
        </w:rPr>
      </w:pPr>
    </w:p>
    <w:p>
      <w:pPr>
        <w:jc w:val="both"/>
        <w:ind w:left="1300" w:hanging="644"/>
        <w:spacing w:after="0" w:line="268" w:lineRule="auto"/>
        <w:tabs>
          <w:tab w:leader="none" w:pos="131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8" w:lineRule="exact"/>
        <w:rPr>
          <w:rFonts w:ascii="Arial" w:cs="Arial" w:eastAsia="Arial" w:hAnsi="Arial"/>
          <w:sz w:val="21"/>
          <w:szCs w:val="21"/>
          <w:color w:val="auto"/>
        </w:rPr>
      </w:pPr>
    </w:p>
    <w:p>
      <w:pPr>
        <w:ind w:left="1300" w:right="20"/>
        <w:spacing w:after="0" w:line="272"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7" w:lineRule="exact"/>
        <w:rPr>
          <w:rFonts w:ascii="Arial" w:cs="Arial" w:eastAsia="Arial" w:hAnsi="Arial"/>
          <w:sz w:val="21"/>
          <w:szCs w:val="21"/>
          <w:color w:val="auto"/>
        </w:rPr>
      </w:pPr>
    </w:p>
    <w:p>
      <w:pPr>
        <w:ind w:left="1980" w:hanging="352"/>
        <w:spacing w:after="0"/>
        <w:tabs>
          <w:tab w:leader="none" w:pos="19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111" w:lineRule="exact"/>
        <w:rPr>
          <w:rFonts w:ascii="Arial" w:cs="Arial" w:eastAsia="Arial" w:hAnsi="Arial"/>
          <w:sz w:val="22"/>
          <w:szCs w:val="22"/>
          <w:color w:val="auto"/>
        </w:rPr>
      </w:pPr>
    </w:p>
    <w:p>
      <w:pPr>
        <w:jc w:val="both"/>
        <w:ind w:left="1960" w:hanging="332"/>
        <w:spacing w:after="0" w:line="257" w:lineRule="auto"/>
        <w:tabs>
          <w:tab w:leader="none" w:pos="2199" w:val="left"/>
        </w:tabs>
        <w:numPr>
          <w:ilvl w:val="1"/>
          <w:numId w:val="51"/>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64" w:lineRule="exact"/>
        <w:rPr>
          <w:sz w:val="20"/>
          <w:szCs w:val="20"/>
          <w:color w:val="auto"/>
        </w:rPr>
      </w:pPr>
    </w:p>
    <w:p>
      <w:pPr>
        <w:ind w:left="1300" w:right="760"/>
        <w:spacing w:after="0" w:line="272"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48" w:lineRule="exact"/>
        <w:rPr>
          <w:sz w:val="20"/>
          <w:szCs w:val="20"/>
          <w:color w:val="auto"/>
        </w:rPr>
      </w:pPr>
    </w:p>
    <w:p>
      <w:pPr>
        <w:ind w:left="1300"/>
        <w:spacing w:after="0" w:line="29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39" w:lineRule="exact"/>
        <w:rPr>
          <w:sz w:val="20"/>
          <w:szCs w:val="20"/>
          <w:color w:val="auto"/>
        </w:rPr>
      </w:pPr>
    </w:p>
    <w:p>
      <w:pPr>
        <w:ind w:left="1300" w:hanging="644"/>
        <w:spacing w:after="0" w:line="272" w:lineRule="auto"/>
        <w:tabs>
          <w:tab w:leader="none" w:pos="10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Shareholder Value Award or reduce the number of Shares eligible to vest, prorated according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26"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64" w:lineRule="exact"/>
        <w:rPr>
          <w:sz w:val="20"/>
          <w:szCs w:val="20"/>
          <w:color w:val="auto"/>
        </w:rPr>
      </w:pPr>
    </w:p>
    <w:p>
      <w:pPr>
        <w:jc w:val="both"/>
        <w:ind w:left="420"/>
        <w:spacing w:after="0" w:line="251"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 to locate a position within the Company or an Affiliate following reallocation or medical reassignment shall be final and binding on the Grantee.</w:t>
      </w:r>
    </w:p>
    <w:p>
      <w:pPr>
        <w:spacing w:after="0" w:line="17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4.</w:t>
        <w:tab/>
        <w:t>Change in Control</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1300" w:hanging="644"/>
        <w:spacing w:after="0" w:line="264" w:lineRule="auto"/>
        <w:tabs>
          <w:tab w:leader="none" w:pos="12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56" w:lineRule="exact"/>
        <w:rPr>
          <w:rFonts w:ascii="Arial" w:cs="Arial" w:eastAsia="Arial" w:hAnsi="Arial"/>
          <w:sz w:val="22"/>
          <w:szCs w:val="22"/>
          <w:color w:val="auto"/>
        </w:rPr>
      </w:pPr>
    </w:p>
    <w:p>
      <w:pPr>
        <w:ind w:left="1300" w:hanging="644"/>
        <w:spacing w:after="0" w:line="257" w:lineRule="auto"/>
        <w:tabs>
          <w:tab w:leader="none" w:pos="121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63" w:lineRule="exact"/>
        <w:rPr>
          <w:rFonts w:ascii="Arial" w:cs="Arial" w:eastAsia="Arial" w:hAnsi="Arial"/>
          <w:sz w:val="22"/>
          <w:szCs w:val="22"/>
          <w:color w:val="auto"/>
        </w:rPr>
      </w:pPr>
    </w:p>
    <w:p>
      <w:pPr>
        <w:ind w:left="1300" w:hanging="644"/>
        <w:spacing w:after="0" w:line="250" w:lineRule="auto"/>
        <w:tabs>
          <w:tab w:leader="none" w:pos="1114"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72" w:lineRule="exact"/>
        <w:rPr>
          <w:rFonts w:ascii="Arial" w:cs="Arial" w:eastAsia="Arial" w:hAnsi="Arial"/>
          <w:sz w:val="22"/>
          <w:szCs w:val="22"/>
          <w:color w:val="auto"/>
        </w:rPr>
      </w:pPr>
    </w:p>
    <w:p>
      <w:pPr>
        <w:jc w:val="both"/>
        <w:ind w:left="1960" w:hanging="332"/>
        <w:spacing w:after="0" w:line="257" w:lineRule="auto"/>
        <w:tabs>
          <w:tab w:leader="none" w:pos="2137" w:val="left"/>
        </w:tabs>
        <w:numPr>
          <w:ilvl w:val="1"/>
          <w:numId w:val="53"/>
        </w:numPr>
        <w:rPr>
          <w:rFonts w:ascii="Arial" w:cs="Arial" w:eastAsia="Arial" w:hAnsi="Arial"/>
          <w:sz w:val="22"/>
          <w:szCs w:val="22"/>
          <w:color w:val="auto"/>
        </w:rPr>
      </w:pPr>
      <w:r>
        <w:rPr>
          <w:rFonts w:ascii="Arial" w:cs="Arial" w:eastAsia="Arial" w:hAnsi="Arial"/>
          <w:sz w:val="22"/>
          <w:szCs w:val="22"/>
          <w:color w:val="auto"/>
        </w:rPr>
        <w:t>In the event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3" w:lineRule="exact"/>
        <w:rPr>
          <w:rFonts w:ascii="Arial" w:cs="Arial" w:eastAsia="Arial" w:hAnsi="Arial"/>
          <w:sz w:val="22"/>
          <w:szCs w:val="22"/>
          <w:color w:val="auto"/>
        </w:rPr>
      </w:pPr>
    </w:p>
    <w:p>
      <w:pPr>
        <w:jc w:val="both"/>
        <w:ind w:left="1960" w:hanging="332"/>
        <w:spacing w:after="0" w:line="253" w:lineRule="auto"/>
        <w:tabs>
          <w:tab w:leader="none" w:pos="2051" w:val="left"/>
        </w:tabs>
        <w:numPr>
          <w:ilvl w:val="1"/>
          <w:numId w:val="53"/>
        </w:numPr>
        <w:rPr>
          <w:rFonts w:ascii="Arial" w:cs="Arial" w:eastAsia="Arial" w:hAnsi="Arial"/>
          <w:sz w:val="22"/>
          <w:szCs w:val="22"/>
          <w:color w:val="auto"/>
        </w:rPr>
      </w:pPr>
      <w:r>
        <w:rPr>
          <w:rFonts w:ascii="Arial" w:cs="Arial" w:eastAsia="Arial" w:hAnsi="Arial"/>
          <w:sz w:val="22"/>
          <w:szCs w:val="22"/>
          <w:color w:val="auto"/>
        </w:rPr>
        <w:t>In the event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126"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Grantee’s termination of Service without Cause or the Grantee’s resignation for Good Reason. “Cause” and “Good Reason” shall have the meanings ascribed to them in the Eli Lilly and Company 2007 Change in Control Severance Pay Plan for Select Employees as may be amended, restated, or superseded from time to time.</w:t>
      </w:r>
    </w:p>
    <w:p>
      <w:pPr>
        <w:spacing w:after="0" w:line="71" w:lineRule="exact"/>
        <w:rPr>
          <w:sz w:val="20"/>
          <w:szCs w:val="20"/>
          <w:color w:val="auto"/>
        </w:rPr>
      </w:pPr>
    </w:p>
    <w:p>
      <w:pPr>
        <w:ind w:left="1300" w:hanging="644"/>
        <w:spacing w:after="0" w:line="257" w:lineRule="auto"/>
        <w:tabs>
          <w:tab w:leader="none" w:pos="1077"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6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5.</w:t>
        <w:tab/>
        <w:t>Settlement</w:t>
      </w:r>
    </w:p>
    <w:p>
      <w:pPr>
        <w:spacing w:after="0" w:line="132" w:lineRule="exact"/>
        <w:rPr>
          <w:sz w:val="20"/>
          <w:szCs w:val="20"/>
          <w:color w:val="auto"/>
        </w:rPr>
      </w:pPr>
    </w:p>
    <w:p>
      <w:pPr>
        <w:ind w:left="1300" w:hanging="644"/>
        <w:spacing w:after="0" w:line="272" w:lineRule="auto"/>
        <w:tabs>
          <w:tab w:leader="none" w:pos="1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47" w:lineRule="exact"/>
        <w:rPr>
          <w:rFonts w:ascii="Arial" w:cs="Arial" w:eastAsia="Arial" w:hAnsi="Arial"/>
          <w:sz w:val="22"/>
          <w:szCs w:val="22"/>
          <w:color w:val="auto"/>
        </w:rPr>
      </w:pPr>
    </w:p>
    <w:p>
      <w:pPr>
        <w:ind w:left="1300" w:hanging="644"/>
        <w:spacing w:after="0" w:line="248" w:lineRule="auto"/>
        <w:tabs>
          <w:tab w:leader="none" w:pos="109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81" w:lineRule="exact"/>
        <w:rPr>
          <w:rFonts w:ascii="Arial" w:cs="Arial" w:eastAsia="Arial" w:hAnsi="Arial"/>
          <w:sz w:val="22"/>
          <w:szCs w:val="22"/>
          <w:color w:val="auto"/>
        </w:rPr>
      </w:pPr>
    </w:p>
    <w:p>
      <w:pPr>
        <w:jc w:val="both"/>
        <w:ind w:left="1300" w:hanging="644"/>
        <w:spacing w:after="0" w:line="251" w:lineRule="auto"/>
        <w:tabs>
          <w:tab w:leader="none" w:pos="1232"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70" w:lineRule="exact"/>
        <w:rPr>
          <w:rFonts w:ascii="Arial" w:cs="Arial" w:eastAsia="Arial" w:hAnsi="Arial"/>
          <w:sz w:val="22"/>
          <w:szCs w:val="22"/>
          <w:color w:val="auto"/>
        </w:rPr>
      </w:pPr>
    </w:p>
    <w:p>
      <w:pPr>
        <w:ind w:left="1300" w:hanging="644"/>
        <w:spacing w:after="0" w:line="257" w:lineRule="auto"/>
        <w:tabs>
          <w:tab w:leader="none" w:pos="106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At the time of settlement, Lilly shall issue or transfer Shares to the Grantee that became vested (including, in the interest of clarity, a Fractional Share). Notwithstanding the foregoing, a Fractional Share may be paid in cash or rounded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126"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the extent provided in any appendix attached hereto (the “Appendix”) for the Grantee’s country or to the extent otherwise determined by the Committee in its sole discretion. For purposes of this Award, references to “issue” or variations of such term shall instead mean “allocate” when used in the context of Fractional Shares.</w:t>
      </w:r>
    </w:p>
    <w:p>
      <w:pPr>
        <w:spacing w:after="0" w:line="64" w:lineRule="exact"/>
        <w:rPr>
          <w:sz w:val="20"/>
          <w:szCs w:val="20"/>
          <w:color w:val="auto"/>
        </w:rPr>
      </w:pPr>
    </w:p>
    <w:p>
      <w:pPr>
        <w:ind w:left="1300" w:right="20" w:hanging="644"/>
        <w:spacing w:after="0" w:line="272" w:lineRule="auto"/>
        <w:tabs>
          <w:tab w:leader="none" w:pos="1079"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6.</w:t>
        <w:tab/>
        <w:t>Rights of the Grantee</w:t>
      </w:r>
    </w:p>
    <w:p>
      <w:pPr>
        <w:spacing w:after="0" w:line="118" w:lineRule="exact"/>
        <w:rPr>
          <w:sz w:val="20"/>
          <w:szCs w:val="20"/>
          <w:color w:val="auto"/>
        </w:rPr>
      </w:pPr>
    </w:p>
    <w:p>
      <w:pPr>
        <w:ind w:left="1300" w:hanging="644"/>
        <w:spacing w:after="0" w:line="251" w:lineRule="auto"/>
        <w:tabs>
          <w:tab w:leader="none" w:pos="11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 In the event a Fractional Share is issued, the Grantee shall have the rights of a shareholder to receive dividends payable with respect to a Share that are proportionate to the interest the Fractional Share bears to a whole Share, but the Grantee shall have no right to vote with respect to the Fractional Share unless otherwise provided by the Committee.</w:t>
      </w:r>
    </w:p>
    <w:p>
      <w:pPr>
        <w:spacing w:after="0" w:line="73" w:lineRule="exact"/>
        <w:rPr>
          <w:rFonts w:ascii="Arial" w:cs="Arial" w:eastAsia="Arial" w:hAnsi="Arial"/>
          <w:sz w:val="22"/>
          <w:szCs w:val="22"/>
          <w:color w:val="auto"/>
        </w:rPr>
      </w:pPr>
    </w:p>
    <w:p>
      <w:pPr>
        <w:ind w:left="1300" w:hanging="644"/>
        <w:spacing w:after="0" w:line="257" w:lineRule="auto"/>
        <w:tabs>
          <w:tab w:leader="none" w:pos="112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16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7.</w:t>
        <w:tab/>
        <w:t>Prohibition Against Transfer</w:t>
      </w:r>
    </w:p>
    <w:p>
      <w:pPr>
        <w:spacing w:after="0" w:line="132" w:lineRule="exact"/>
        <w:rPr>
          <w:sz w:val="20"/>
          <w:szCs w:val="20"/>
          <w:color w:val="auto"/>
        </w:rPr>
      </w:pPr>
    </w:p>
    <w:p>
      <w:pPr>
        <w:ind w:left="1300" w:hanging="644"/>
        <w:spacing w:after="0" w:line="251" w:lineRule="auto"/>
        <w:tabs>
          <w:tab w:leader="none" w:pos="1099"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 hereunder prior to transfer or payment thereof to the Grantee, and any such attempted assignment, sale, pledge or transfer shall be void.</w:t>
      </w:r>
    </w:p>
    <w:p>
      <w:pPr>
        <w:spacing w:after="0" w:line="73" w:lineRule="exact"/>
        <w:rPr>
          <w:rFonts w:ascii="Arial" w:cs="Arial" w:eastAsia="Arial" w:hAnsi="Arial"/>
          <w:sz w:val="22"/>
          <w:szCs w:val="22"/>
          <w:color w:val="auto"/>
        </w:rPr>
      </w:pPr>
    </w:p>
    <w:p>
      <w:pPr>
        <w:ind w:left="1300" w:hanging="644"/>
        <w:spacing w:after="0" w:line="272" w:lineRule="auto"/>
        <w:tabs>
          <w:tab w:leader="none" w:pos="11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2"/>
          <w:szCs w:val="22"/>
          <w:color w:val="auto"/>
        </w:rPr>
        <w:t>Responsibility for Taxes</w:t>
      </w:r>
    </w:p>
    <w:p>
      <w:pPr>
        <w:spacing w:after="0" w:line="132" w:lineRule="exact"/>
        <w:rPr>
          <w:sz w:val="20"/>
          <w:szCs w:val="20"/>
          <w:color w:val="auto"/>
        </w:rPr>
      </w:pPr>
    </w:p>
    <w:p>
      <w:pPr>
        <w:jc w:val="right"/>
        <w:ind w:left="1300" w:hanging="644"/>
        <w:spacing w:after="0" w:line="260" w:lineRule="auto"/>
        <w:tabs>
          <w:tab w:leader="none" w:pos="1126" w:val="left"/>
        </w:tabs>
        <w:numPr>
          <w:ilvl w:val="0"/>
          <w:numId w:val="59"/>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2"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(i) make no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undertakings regarding the treatment of any Tax Related Items in connection with any aspect of the Award, including the grant of the Shareholder Value Award, the vesting of the Shareholder Value Award, the transfer and issuance of any Shares and/or Fractional Shares, the receipt of any cash payment pursuant to the Award, the receipt of any dividends (including any dividends that are reinvested in additional Shares) and the sale or other disposition of any Shares and/or Fractional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81" w:lineRule="exact"/>
        <w:rPr>
          <w:sz w:val="20"/>
          <w:szCs w:val="20"/>
          <w:color w:val="auto"/>
        </w:rPr>
      </w:pPr>
    </w:p>
    <w:p>
      <w:pPr>
        <w:jc w:val="center"/>
        <w:ind w:left="1300" w:hanging="644"/>
        <w:spacing w:after="0" w:line="310" w:lineRule="auto"/>
        <w:tabs>
          <w:tab w:leader="none" w:pos="1102"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10" w:lineRule="exact"/>
        <w:rPr>
          <w:rFonts w:ascii="Arial" w:cs="Arial" w:eastAsia="Arial" w:hAnsi="Arial"/>
          <w:sz w:val="21"/>
          <w:szCs w:val="21"/>
          <w:color w:val="auto"/>
        </w:rPr>
      </w:pPr>
    </w:p>
    <w:p>
      <w:pPr>
        <w:jc w:val="both"/>
        <w:ind w:left="1960" w:hanging="332"/>
        <w:spacing w:after="0" w:line="268" w:lineRule="auto"/>
        <w:tabs>
          <w:tab w:leader="none" w:pos="2007" w:val="left"/>
        </w:tabs>
        <w:numPr>
          <w:ilvl w:val="1"/>
          <w:numId w:val="60"/>
        </w:numPr>
        <w:rPr>
          <w:rFonts w:ascii="Arial" w:cs="Arial" w:eastAsia="Arial" w:hAnsi="Arial"/>
          <w:sz w:val="21"/>
          <w:szCs w:val="21"/>
          <w:color w:val="auto"/>
        </w:rPr>
      </w:pPr>
      <w:r>
        <w:rPr>
          <w:rFonts w:ascii="Arial" w:cs="Arial" w:eastAsia="Arial" w:hAnsi="Arial"/>
          <w:sz w:val="21"/>
          <w:szCs w:val="21"/>
          <w:color w:val="auto"/>
        </w:rPr>
        <w:t>If the Shareholder Value Award is paid to the Grantee in cash in lieu of Shares and/or Fractional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55" w:lineRule="exact"/>
        <w:rPr>
          <w:rFonts w:ascii="Arial" w:cs="Arial" w:eastAsia="Arial" w:hAnsi="Arial"/>
          <w:sz w:val="21"/>
          <w:szCs w:val="21"/>
          <w:color w:val="auto"/>
        </w:rPr>
      </w:pPr>
    </w:p>
    <w:p>
      <w:pPr>
        <w:jc w:val="both"/>
        <w:ind w:left="1960" w:hanging="332"/>
        <w:spacing w:after="0" w:line="261" w:lineRule="auto"/>
        <w:tabs>
          <w:tab w:leader="none" w:pos="2092" w:val="left"/>
        </w:tabs>
        <w:numPr>
          <w:ilvl w:val="1"/>
          <w:numId w:val="60"/>
        </w:numPr>
        <w:rPr>
          <w:rFonts w:ascii="Arial" w:cs="Arial" w:eastAsia="Arial" w:hAnsi="Arial"/>
          <w:sz w:val="21"/>
          <w:szCs w:val="21"/>
          <w:color w:val="auto"/>
        </w:rPr>
      </w:pPr>
      <w:r>
        <w:rPr>
          <w:rFonts w:ascii="Arial" w:cs="Arial" w:eastAsia="Arial" w:hAnsi="Arial"/>
          <w:sz w:val="21"/>
          <w:szCs w:val="21"/>
          <w:color w:val="auto"/>
        </w:rPr>
        <w:t>If the Shareholder Value Award is paid to the Grantee in Shares and/or Fractional Shares and the Grantee is not subject to the short-swing profit rules of Section 16(b) of the Exchange Act, the Grantee authorizes Lilly and/or the Employer, or their respective agents, at their discretion, to</w:t>
      </w:r>
    </w:p>
    <w:p>
      <w:pPr>
        <w:spacing w:after="0" w:line="1" w:lineRule="exact"/>
        <w:rPr>
          <w:rFonts w:ascii="Arial" w:cs="Arial" w:eastAsia="Arial" w:hAnsi="Arial"/>
          <w:sz w:val="21"/>
          <w:szCs w:val="21"/>
          <w:color w:val="auto"/>
        </w:rPr>
      </w:pPr>
    </w:p>
    <w:p>
      <w:pPr>
        <w:jc w:val="both"/>
        <w:ind w:left="1960" w:hanging="8"/>
        <w:spacing w:after="0" w:line="247" w:lineRule="auto"/>
        <w:tabs>
          <w:tab w:leader="none" w:pos="2330" w:val="left"/>
        </w:tabs>
        <w:numPr>
          <w:ilvl w:val="2"/>
          <w:numId w:val="60"/>
        </w:numPr>
        <w:rPr>
          <w:rFonts w:ascii="Arial" w:cs="Arial" w:eastAsia="Arial" w:hAnsi="Arial"/>
          <w:sz w:val="22"/>
          <w:szCs w:val="22"/>
          <w:color w:val="auto"/>
        </w:rPr>
      </w:pPr>
      <w:r>
        <w:rPr>
          <w:rFonts w:ascii="Arial" w:cs="Arial" w:eastAsia="Arial" w:hAnsi="Arial"/>
          <w:sz w:val="22"/>
          <w:szCs w:val="22"/>
          <w:color w:val="auto"/>
        </w:rPr>
        <w:t>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 Shares otherwise issuable to the Grantee pursuant to this Award, and/or (D) apply any other method of withholding determined by the Company and, to the extent required by Applicable Laws or the Plan, approved by the Committee.</w:t>
      </w:r>
    </w:p>
    <w:p>
      <w:pPr>
        <w:spacing w:after="0" w:line="80" w:lineRule="exact"/>
        <w:rPr>
          <w:rFonts w:ascii="Arial" w:cs="Arial" w:eastAsia="Arial" w:hAnsi="Arial"/>
          <w:sz w:val="22"/>
          <w:szCs w:val="22"/>
          <w:color w:val="auto"/>
        </w:rPr>
      </w:pPr>
    </w:p>
    <w:p>
      <w:pPr>
        <w:jc w:val="both"/>
        <w:ind w:left="1960" w:hanging="332"/>
        <w:spacing w:after="0" w:line="253" w:lineRule="auto"/>
        <w:tabs>
          <w:tab w:leader="none" w:pos="2128"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126"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960"/>
        <w:spacing w:after="0" w:line="285" w:lineRule="auto"/>
        <w:rPr>
          <w:sz w:val="20"/>
          <w:szCs w:val="20"/>
          <w:color w:val="auto"/>
        </w:rPr>
      </w:pPr>
      <w:r>
        <w:rPr>
          <w:rFonts w:ascii="Arial" w:cs="Arial" w:eastAsia="Arial" w:hAnsi="Arial"/>
          <w:sz w:val="22"/>
          <w:szCs w:val="22"/>
          <w:color w:val="auto"/>
        </w:rPr>
        <w:t>withholding obligation for Tax Related Items may be satisfied by one or a combination of the methods set forth in Section 8(b)(ii)(A) and (B) above.</w:t>
      </w:r>
    </w:p>
    <w:p>
      <w:pPr>
        <w:spacing w:after="0" w:line="34" w:lineRule="exact"/>
        <w:rPr>
          <w:sz w:val="20"/>
          <w:szCs w:val="20"/>
          <w:color w:val="auto"/>
        </w:rPr>
      </w:pPr>
    </w:p>
    <w:p>
      <w:pPr>
        <w:ind w:left="1300" w:hanging="644"/>
        <w:spacing w:after="0" w:line="262" w:lineRule="auto"/>
        <w:tabs>
          <w:tab w:leader="none" w:pos="1091" w:val="left"/>
        </w:tabs>
        <w:numPr>
          <w:ilvl w:val="0"/>
          <w:numId w:val="61"/>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64" w:lineRule="exact"/>
        <w:rPr>
          <w:rFonts w:ascii="Arial" w:cs="Arial" w:eastAsia="Arial" w:hAnsi="Arial"/>
          <w:sz w:val="21"/>
          <w:szCs w:val="21"/>
          <w:color w:val="auto"/>
        </w:rPr>
      </w:pPr>
    </w:p>
    <w:p>
      <w:pPr>
        <w:ind w:left="1300" w:hanging="644"/>
        <w:spacing w:after="0" w:line="264" w:lineRule="auto"/>
        <w:tabs>
          <w:tab w:leader="none" w:pos="11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 obligation in connection with the Tax Related Items as described in this Section 8.</w:t>
      </w:r>
    </w:p>
    <w:p>
      <w:pPr>
        <w:spacing w:after="0" w:line="56" w:lineRule="exact"/>
        <w:rPr>
          <w:rFonts w:ascii="Arial" w:cs="Arial" w:eastAsia="Arial" w:hAnsi="Arial"/>
          <w:sz w:val="22"/>
          <w:szCs w:val="22"/>
          <w:color w:val="auto"/>
        </w:rPr>
      </w:pPr>
    </w:p>
    <w:p>
      <w:pPr>
        <w:ind w:left="1300" w:right="20" w:hanging="644"/>
        <w:spacing w:after="0" w:line="272" w:lineRule="auto"/>
        <w:tabs>
          <w:tab w:leader="none" w:pos="1202"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For purposes of this Section 8, references to the withholding or sale of a Share shall also mean the withholding or sale of any portion that is less than a whole Share, to the extent applicable.</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9.</w:t>
        <w:tab/>
        <w:t>Section 409A Compliance</w:t>
      </w:r>
    </w:p>
    <w:p>
      <w:pPr>
        <w:spacing w:after="0" w:line="78"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10.</w:t>
        <w:tab/>
        <w:t>Grantee’s Acknowledgment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55" w:lineRule="exact"/>
        <w:rPr>
          <w:sz w:val="20"/>
          <w:szCs w:val="20"/>
          <w:color w:val="auto"/>
        </w:rPr>
      </w:pPr>
    </w:p>
    <w:p>
      <w:pPr>
        <w:ind w:left="1300" w:right="20" w:hanging="644"/>
        <w:spacing w:after="0" w:line="272" w:lineRule="auto"/>
        <w:tabs>
          <w:tab w:leader="none" w:pos="1131"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7" w:lineRule="exact"/>
        <w:rPr>
          <w:rFonts w:ascii="Arial" w:cs="Arial" w:eastAsia="Arial" w:hAnsi="Arial"/>
          <w:sz w:val="22"/>
          <w:szCs w:val="22"/>
          <w:color w:val="auto"/>
        </w:rPr>
      </w:pPr>
    </w:p>
    <w:p>
      <w:pPr>
        <w:ind w:left="1300" w:hanging="644"/>
        <w:spacing w:after="0" w:line="257" w:lineRule="auto"/>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78" w:lineRule="exact"/>
        <w:rPr>
          <w:rFonts w:ascii="Arial" w:cs="Arial" w:eastAsia="Arial" w:hAnsi="Arial"/>
          <w:sz w:val="22"/>
          <w:szCs w:val="22"/>
          <w:color w:val="auto"/>
        </w:rPr>
      </w:pPr>
    </w:p>
    <w:p>
      <w:pPr>
        <w:ind w:left="1300" w:hanging="644"/>
        <w:spacing w:after="0" w:line="272" w:lineRule="auto"/>
        <w:tabs>
          <w:tab w:leader="none" w:pos="1101"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7" w:lineRule="exact"/>
        <w:rPr>
          <w:rFonts w:ascii="Arial" w:cs="Arial" w:eastAsia="Arial" w:hAnsi="Arial"/>
          <w:sz w:val="22"/>
          <w:szCs w:val="22"/>
          <w:color w:val="auto"/>
        </w:rPr>
      </w:pPr>
    </w:p>
    <w:p>
      <w:pPr>
        <w:ind w:left="1080" w:hanging="424"/>
        <w:spacing w:after="0"/>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11" w:lineRule="exact"/>
        <w:rPr>
          <w:rFonts w:ascii="Arial" w:cs="Arial" w:eastAsia="Arial" w:hAnsi="Arial"/>
          <w:sz w:val="22"/>
          <w:szCs w:val="22"/>
          <w:color w:val="auto"/>
        </w:rPr>
      </w:pPr>
    </w:p>
    <w:p>
      <w:pPr>
        <w:ind w:left="1080" w:hanging="424"/>
        <w:spacing w:after="0"/>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hanging="644"/>
        <w:spacing w:after="0" w:line="257" w:lineRule="auto"/>
        <w:tabs>
          <w:tab w:leader="none" w:pos="10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3" w:lineRule="exact"/>
        <w:rPr>
          <w:rFonts w:ascii="Arial" w:cs="Arial" w:eastAsia="Arial" w:hAnsi="Arial"/>
          <w:sz w:val="22"/>
          <w:szCs w:val="22"/>
          <w:color w:val="auto"/>
        </w:rPr>
      </w:pPr>
    </w:p>
    <w:p>
      <w:pPr>
        <w:ind w:left="1300" w:hanging="644"/>
        <w:spacing w:after="0" w:line="272" w:lineRule="auto"/>
        <w:tabs>
          <w:tab w:leader="none" w:pos="1082" w:val="left"/>
        </w:tabs>
        <w:numPr>
          <w:ilvl w:val="0"/>
          <w:numId w:val="63"/>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pacing w:after="0" w:line="61" w:lineRule="exact"/>
        <w:rPr>
          <w:rFonts w:ascii="Arial" w:cs="Arial" w:eastAsia="Arial" w:hAnsi="Arial"/>
          <w:sz w:val="22"/>
          <w:szCs w:val="22"/>
          <w:color w:val="auto"/>
        </w:rPr>
      </w:pPr>
    </w:p>
    <w:p>
      <w:pPr>
        <w:ind w:left="1300" w:hanging="644"/>
        <w:spacing w:after="0" w:line="268" w:lineRule="auto"/>
        <w:tabs>
          <w:tab w:leader="none" w:pos="1082" w:val="left"/>
        </w:tabs>
        <w:numPr>
          <w:ilvl w:val="0"/>
          <w:numId w:val="63"/>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55" w:lineRule="exact"/>
        <w:rPr>
          <w:rFonts w:ascii="Arial" w:cs="Arial" w:eastAsia="Arial" w:hAnsi="Arial"/>
          <w:sz w:val="21"/>
          <w:szCs w:val="21"/>
          <w:color w:val="auto"/>
        </w:rPr>
      </w:pPr>
    </w:p>
    <w:p>
      <w:pPr>
        <w:ind w:left="1300" w:right="20" w:hanging="644"/>
        <w:spacing w:after="0" w:line="272" w:lineRule="auto"/>
        <w:tabs>
          <w:tab w:leader="none" w:pos="1036"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61" w:lineRule="exact"/>
        <w:rPr>
          <w:rFonts w:ascii="Arial" w:cs="Arial" w:eastAsia="Arial" w:hAnsi="Arial"/>
          <w:sz w:val="22"/>
          <w:szCs w:val="22"/>
          <w:color w:val="auto"/>
        </w:rPr>
      </w:pPr>
    </w:p>
    <w:p>
      <w:pPr>
        <w:ind w:left="1300" w:hanging="644"/>
        <w:spacing w:after="0" w:line="249" w:lineRule="auto"/>
        <w:tabs>
          <w:tab w:leader="none" w:pos="1011"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15 of this Agreement or required by law, (ii) the application of any of the remedies described in Section 12(b) of this Agreement, or (iii)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73" w:lineRule="exact"/>
        <w:rPr>
          <w:rFonts w:ascii="Arial" w:cs="Arial" w:eastAsia="Arial" w:hAnsi="Arial"/>
          <w:sz w:val="22"/>
          <w:szCs w:val="22"/>
          <w:color w:val="auto"/>
        </w:rPr>
      </w:pPr>
    </w:p>
    <w:p>
      <w:pPr>
        <w:ind w:left="1300" w:hanging="644"/>
        <w:spacing w:after="0" w:line="247" w:lineRule="auto"/>
        <w:tabs>
          <w:tab w:leader="none" w:pos="1111" w:val="left"/>
        </w:tabs>
        <w:numPr>
          <w:ilvl w:val="0"/>
          <w:numId w:val="63"/>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98" w:lineRule="exact"/>
        <w:rPr>
          <w:rFonts w:ascii="Arial" w:cs="Arial" w:eastAsia="Arial" w:hAnsi="Arial"/>
          <w:sz w:val="22"/>
          <w:szCs w:val="22"/>
          <w:color w:val="auto"/>
        </w:rPr>
      </w:pPr>
    </w:p>
    <w:p>
      <w:pPr>
        <w:ind w:left="1300" w:hanging="644"/>
        <w:spacing w:after="0" w:line="257" w:lineRule="auto"/>
        <w:tabs>
          <w:tab w:leader="none" w:pos="1090" w:val="left"/>
        </w:tabs>
        <w:numPr>
          <w:ilvl w:val="0"/>
          <w:numId w:val="63"/>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126"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right="20"/>
        <w:spacing w:after="0" w:line="310" w:lineRule="auto"/>
        <w:rPr>
          <w:sz w:val="20"/>
          <w:szCs w:val="20"/>
          <w:color w:val="auto"/>
        </w:rPr>
      </w:pPr>
      <w:r>
        <w:rPr>
          <w:rFonts w:ascii="Arial" w:cs="Arial" w:eastAsia="Arial" w:hAnsi="Arial"/>
          <w:sz w:val="21"/>
          <w:szCs w:val="21"/>
          <w:color w:val="auto"/>
        </w:rPr>
        <w:t>another company nor to be exchanged, cashed out or substituted for, in connection with any corporate transaction affecting the Shares and other amounts that may be acquired pursuant to this Award;</w:t>
      </w:r>
    </w:p>
    <w:p>
      <w:pPr>
        <w:spacing w:after="0" w:line="11" w:lineRule="exact"/>
        <w:rPr>
          <w:sz w:val="20"/>
          <w:szCs w:val="20"/>
          <w:color w:val="auto"/>
        </w:rPr>
      </w:pPr>
    </w:p>
    <w:p>
      <w:pPr>
        <w:ind w:left="1300" w:right="20" w:hanging="644"/>
        <w:spacing w:after="0" w:line="272" w:lineRule="auto"/>
        <w:tabs>
          <w:tab w:leader="none" w:pos="114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47" w:lineRule="exact"/>
        <w:rPr>
          <w:rFonts w:ascii="Arial" w:cs="Arial" w:eastAsia="Arial" w:hAnsi="Arial"/>
          <w:sz w:val="22"/>
          <w:szCs w:val="22"/>
          <w:color w:val="auto"/>
        </w:rPr>
      </w:pPr>
    </w:p>
    <w:p>
      <w:pPr>
        <w:ind w:left="1300" w:hanging="644"/>
        <w:spacing w:after="0" w:line="264" w:lineRule="auto"/>
        <w:tabs>
          <w:tab w:leader="none" w:pos="1117"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 and</w:t>
      </w:r>
    </w:p>
    <w:p>
      <w:pPr>
        <w:spacing w:after="0" w:line="56" w:lineRule="exact"/>
        <w:rPr>
          <w:rFonts w:ascii="Arial" w:cs="Arial" w:eastAsia="Arial" w:hAnsi="Arial"/>
          <w:sz w:val="22"/>
          <w:szCs w:val="22"/>
          <w:color w:val="auto"/>
        </w:rPr>
      </w:pPr>
    </w:p>
    <w:p>
      <w:pPr>
        <w:jc w:val="both"/>
        <w:ind w:left="1300" w:hanging="644"/>
        <w:spacing w:after="0" w:line="250" w:lineRule="auto"/>
        <w:tabs>
          <w:tab w:leader="none" w:pos="1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190"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11.</w:t>
        <w:tab/>
        <w:t>Data Privacy</w:t>
      </w:r>
    </w:p>
    <w:p>
      <w:pPr>
        <w:spacing w:after="0" w:line="118" w:lineRule="exact"/>
        <w:rPr>
          <w:sz w:val="20"/>
          <w:szCs w:val="20"/>
          <w:color w:val="auto"/>
        </w:rPr>
      </w:pPr>
    </w:p>
    <w:p>
      <w:pPr>
        <w:jc w:val="both"/>
        <w:ind w:left="1300" w:hanging="644"/>
        <w:spacing w:after="0" w:line="249" w:lineRule="auto"/>
        <w:tabs>
          <w:tab w:leader="none" w:pos="1248" w:val="left"/>
        </w:tabs>
        <w:numPr>
          <w:ilvl w:val="0"/>
          <w:numId w:val="6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7" w:lineRule="exact"/>
        <w:rPr>
          <w:rFonts w:ascii="Arial" w:cs="Arial" w:eastAsia="Arial" w:hAnsi="Arial"/>
          <w:sz w:val="22"/>
          <w:szCs w:val="22"/>
          <w:i w:val="1"/>
          <w:iCs w:val="1"/>
          <w:color w:val="auto"/>
        </w:rPr>
      </w:pPr>
    </w:p>
    <w:p>
      <w:pPr>
        <w:ind w:left="1300" w:hanging="644"/>
        <w:spacing w:after="0" w:line="261" w:lineRule="auto"/>
        <w:tabs>
          <w:tab w:leader="none" w:pos="1086" w:val="left"/>
        </w:tabs>
        <w:numPr>
          <w:ilvl w:val="0"/>
          <w:numId w:val="65"/>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126"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a different service provider and share Data with such other provider serving in a similar manner.</w:t>
      </w:r>
    </w:p>
    <w:p>
      <w:pPr>
        <w:spacing w:after="0" w:line="125" w:lineRule="exact"/>
        <w:rPr>
          <w:sz w:val="20"/>
          <w:szCs w:val="20"/>
          <w:color w:val="auto"/>
        </w:rPr>
      </w:pPr>
    </w:p>
    <w:p>
      <w:pPr>
        <w:ind w:left="1300" w:hanging="644"/>
        <w:spacing w:after="0" w:line="275" w:lineRule="auto"/>
        <w:tabs>
          <w:tab w:leader="none" w:pos="1087" w:val="left"/>
        </w:tabs>
        <w:numPr>
          <w:ilvl w:val="0"/>
          <w:numId w:val="66"/>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7" w:lineRule="exact"/>
        <w:rPr>
          <w:rFonts w:ascii="Arial" w:cs="Arial" w:eastAsia="Arial" w:hAnsi="Arial"/>
          <w:sz w:val="21"/>
          <w:szCs w:val="21"/>
          <w:i w:val="1"/>
          <w:iCs w:val="1"/>
          <w:color w:val="auto"/>
        </w:rPr>
      </w:pPr>
    </w:p>
    <w:p>
      <w:pPr>
        <w:ind w:left="1300" w:hanging="644"/>
        <w:spacing w:after="0" w:line="264" w:lineRule="auto"/>
        <w:tabs>
          <w:tab w:leader="none" w:pos="1180" w:val="left"/>
        </w:tabs>
        <w:numPr>
          <w:ilvl w:val="0"/>
          <w:numId w:val="6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56" w:lineRule="exact"/>
        <w:rPr>
          <w:rFonts w:ascii="Arial" w:cs="Arial" w:eastAsia="Arial" w:hAnsi="Arial"/>
          <w:sz w:val="22"/>
          <w:szCs w:val="22"/>
          <w:i w:val="1"/>
          <w:iCs w:val="1"/>
          <w:color w:val="auto"/>
        </w:rPr>
      </w:pPr>
    </w:p>
    <w:p>
      <w:pPr>
        <w:ind w:left="1300" w:hanging="644"/>
        <w:spacing w:after="0" w:line="251" w:lineRule="auto"/>
        <w:tabs>
          <w:tab w:leader="none" w:pos="1126" w:val="left"/>
        </w:tabs>
        <w:numPr>
          <w:ilvl w:val="0"/>
          <w:numId w:val="6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73" w:lineRule="exact"/>
        <w:rPr>
          <w:rFonts w:ascii="Arial" w:cs="Arial" w:eastAsia="Arial" w:hAnsi="Arial"/>
          <w:sz w:val="22"/>
          <w:szCs w:val="22"/>
          <w:i w:val="1"/>
          <w:iCs w:val="1"/>
          <w:color w:val="auto"/>
        </w:rPr>
      </w:pPr>
    </w:p>
    <w:p>
      <w:pPr>
        <w:ind w:left="1300" w:hanging="644"/>
        <w:spacing w:after="0" w:line="247" w:lineRule="auto"/>
        <w:tabs>
          <w:tab w:leader="none" w:pos="1080" w:val="left"/>
        </w:tabs>
        <w:numPr>
          <w:ilvl w:val="0"/>
          <w:numId w:val="6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83" w:lineRule="exact"/>
        <w:rPr>
          <w:rFonts w:ascii="Arial" w:cs="Arial" w:eastAsia="Arial" w:hAnsi="Arial"/>
          <w:sz w:val="22"/>
          <w:szCs w:val="22"/>
          <w:i w:val="1"/>
          <w:iCs w:val="1"/>
          <w:color w:val="auto"/>
        </w:rPr>
      </w:pPr>
    </w:p>
    <w:p>
      <w:pPr>
        <w:jc w:val="both"/>
        <w:ind w:left="1300" w:hanging="644"/>
        <w:spacing w:after="0" w:line="253" w:lineRule="auto"/>
        <w:tabs>
          <w:tab w:leader="none" w:pos="1275" w:val="left"/>
        </w:tabs>
        <w:numPr>
          <w:ilvl w:val="0"/>
          <w:numId w:val="6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126"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i w:val="1"/>
          <w:iCs w:val="1"/>
          <w:color w:val="auto"/>
        </w:rPr>
        <w:t>not adduce an adequate level of protection from a European (or other non-U.S.) data protection law perspective, for the purposes described above.</w:t>
      </w:r>
    </w:p>
    <w:p>
      <w:pPr>
        <w:spacing w:after="0" w:line="13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12.</w:t>
        <w:tab/>
        <w:t>Restrictive Covenants, Remedies, and Additional Terms and Conditions</w:t>
      </w:r>
    </w:p>
    <w:p>
      <w:pPr>
        <w:spacing w:after="0" w:line="132" w:lineRule="exact"/>
        <w:rPr>
          <w:sz w:val="20"/>
          <w:szCs w:val="20"/>
          <w:color w:val="auto"/>
        </w:rPr>
      </w:pPr>
    </w:p>
    <w:p>
      <w:pPr>
        <w:ind w:left="1300" w:hanging="644"/>
        <w:spacing w:after="0" w:line="251" w:lineRule="auto"/>
        <w:tabs>
          <w:tab w:leader="none" w:pos="122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“Restricted Period”), the Grantee will not directly or indirectly, on a worldwide basis, engage in any of the following activities:</w:t>
      </w:r>
    </w:p>
    <w:p>
      <w:pPr>
        <w:spacing w:after="0" w:line="73" w:lineRule="exact"/>
        <w:rPr>
          <w:rFonts w:ascii="Arial" w:cs="Arial" w:eastAsia="Arial" w:hAnsi="Arial"/>
          <w:sz w:val="22"/>
          <w:szCs w:val="22"/>
          <w:color w:val="auto"/>
        </w:rPr>
      </w:pPr>
    </w:p>
    <w:p>
      <w:pPr>
        <w:jc w:val="both"/>
        <w:ind w:left="1960" w:hanging="332"/>
        <w:spacing w:after="0" w:line="265" w:lineRule="auto"/>
        <w:tabs>
          <w:tab w:leader="none" w:pos="2004" w:val="left"/>
        </w:tabs>
        <w:numPr>
          <w:ilvl w:val="1"/>
          <w:numId w:val="67"/>
        </w:numPr>
        <w:rPr>
          <w:rFonts w:ascii="Arial" w:cs="Arial" w:eastAsia="Arial" w:hAnsi="Arial"/>
          <w:sz w:val="21"/>
          <w:szCs w:val="21"/>
          <w:color w:val="auto"/>
        </w:rPr>
      </w:pPr>
      <w:r>
        <w:rPr>
          <w:rFonts w:ascii="Arial" w:cs="Arial" w:eastAsia="Arial" w:hAnsi="Arial"/>
          <w:sz w:val="21"/>
          <w:szCs w:val="21"/>
          <w:color w:val="auto"/>
        </w:rPr>
        <w:t>Work for, advise, manage, act as an agent, employee or consultant for, or otherwise provide any services, in each case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plans or proposes to compete with Lilly or a Covered Affiliate.</w:t>
      </w:r>
    </w:p>
    <w:p>
      <w:pPr>
        <w:spacing w:after="0" w:line="60" w:lineRule="exact"/>
        <w:rPr>
          <w:rFonts w:ascii="Arial" w:cs="Arial" w:eastAsia="Arial" w:hAnsi="Arial"/>
          <w:sz w:val="21"/>
          <w:szCs w:val="21"/>
          <w:color w:val="auto"/>
        </w:rPr>
      </w:pPr>
    </w:p>
    <w:p>
      <w:pPr>
        <w:jc w:val="both"/>
        <w:ind w:left="1960" w:hanging="332"/>
        <w:spacing w:after="0" w:line="249" w:lineRule="auto"/>
        <w:tabs>
          <w:tab w:leader="none" w:pos="2151" w:val="left"/>
        </w:tabs>
        <w:numPr>
          <w:ilvl w:val="1"/>
          <w:numId w:val="67"/>
        </w:numPr>
        <w:rPr>
          <w:rFonts w:ascii="Arial" w:cs="Arial" w:eastAsia="Arial" w:hAnsi="Arial"/>
          <w:sz w:val="22"/>
          <w:szCs w:val="22"/>
          <w:color w:val="auto"/>
        </w:rPr>
      </w:pPr>
      <w:r>
        <w:rPr>
          <w:rFonts w:ascii="Arial" w:cs="Arial" w:eastAsia="Arial" w:hAnsi="Arial"/>
          <w:sz w:val="22"/>
          <w:szCs w:val="22"/>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to adversely modify any such person's business with, or representation of, Lilly or a Covered Affiliate.</w:t>
      </w:r>
    </w:p>
    <w:p>
      <w:pPr>
        <w:spacing w:after="0" w:line="74" w:lineRule="exact"/>
        <w:rPr>
          <w:sz w:val="20"/>
          <w:szCs w:val="20"/>
          <w:color w:val="auto"/>
        </w:rPr>
      </w:pPr>
    </w:p>
    <w:p>
      <w:pPr>
        <w:jc w:val="both"/>
        <w:ind w:left="1300"/>
        <w:spacing w:after="0" w:line="285"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34"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or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would inevitably use or disclose trade secrets and/or confidential information Lilly or a Covered Affiliate. For purposes of clarity, if a competing business has multiple divisions, lines or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126"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300"/>
        <w:spacing w:after="0" w:line="252" w:lineRule="auto"/>
        <w:rPr>
          <w:sz w:val="20"/>
          <w:szCs w:val="20"/>
          <w:color w:val="auto"/>
        </w:rPr>
      </w:pPr>
      <w:r>
        <w:rPr>
          <w:rFonts w:ascii="Arial" w:cs="Arial" w:eastAsia="Arial" w:hAnsi="Arial"/>
          <w:sz w:val="22"/>
          <w:szCs w:val="22"/>
          <w:color w:val="auto"/>
        </w:rPr>
        <w:t>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production, sale, or distribution of any product or service competitive with or substantially similar to any product or service in research, development or design, or manufactured, produced, sold, or distributed by Lilly or a Covered Affiliate.</w:t>
      </w:r>
    </w:p>
    <w:p>
      <w:pPr>
        <w:spacing w:after="0" w:line="71"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The Grantee and Lilly acknowledge and agree that Lilly and the Covered Affiliates conduct business throughout the world and the worldwide geographic scope of the foregoing covenants is reasonable and necessary given, among other things, that: (a) absent such restrictions, the Grantee could utilize Lilly’s (or its Covered Affiliates’) trade secrets and/or confidential information and compete with Lilly or its Covered Affiliates from virtually anywhere; and (b) such scope is the only way for Lilly and its Affiliates to adequately protect their trade secrets and confidential information. In the event the Grantee violates any of the restrictive covenants contained herein, the Restricted Period for the violated restrictive covenants will automatically be extended by the length of time during which the Grantee was in violation of such restrictive covenants.</w:t>
      </w:r>
    </w:p>
    <w:p>
      <w:pPr>
        <w:spacing w:after="0" w:line="77"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 provided access to and will become intimately familiar with trade secrets and confidential information key to Lilly’s (and Covered Affiliate’s) unique competitive advantage. The Grantee also acknowledges and agrees that Lilly’s (and Covered Affiliate’s) trade secrets and confidential information will retain continuing vitality throughout and beyond the Restricted Period. And the Grantee acknowledges and agrees that, should the Grantee’s employment with Lilly or Covered Affiliate end for any reason and, during the Restricted Period, the Grantee works in a Competitively-Sensitive Capacity with another person or entity that engages in business activities competitive with or substantially similar to those of Lilly and/or Covered Affiliate, it would be highly likely, if not inevitable, that the Grantee would rely on trade secrets and/or confidential information of Lilly and/or Covered Affiliate in the course of the Grantee’s work, either consciously or subconsciously, thereby irreparably harming Lilly and any Covered Affiliates. For these and other reasons, the Grantee agrees that the restrictions above are necessary to protect Lilly’s and its Covered Affiliate’s legitimate business interests, and do so by creating a specific amount of time after the Grantee’s employment ends during which the Grantee will not be able to engage or prepare to engage in the activities restricted in this Award Agreement.</w:t>
      </w:r>
    </w:p>
    <w:p>
      <w:pPr>
        <w:spacing w:after="0" w:line="87"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by a court to be unreasonable or unenforceable in any respect, including, without limitation, the time period, geographic area, and/or scope of activity covered by any restrictive covenant, such covenant or provision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126"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reformed or modified so that such covenant or provision will have the closest effect permitted by applicable law to the original form and will be given effect and enforced as so reformed or modified, or, if such reformation or modification is not possible, such covenant or provision will be removed from this Agreement. In either case, this Agreement shall be interpreted, even if reformed or modified, to achieve the full intent expressed, and the other provisions of this Agreement will remain in force and unmodified and will be enforced as written. Any court interpreting any restrictive covenant provision of this Award Agreement will, if necessary, reform or modify any such provision to make it enforceable under applicable law.</w:t>
      </w:r>
    </w:p>
    <w:p>
      <w:pPr>
        <w:spacing w:after="0" w:line="71"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Non-Compete Payment Agreement entered into between Grantee and Lilly, each of which remains in full force and effect, or that the Grantee agrees to in the future.</w:t>
      </w:r>
    </w:p>
    <w:p>
      <w:pPr>
        <w:spacing w:after="0" w:line="72"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73" w:lineRule="exact"/>
        <w:rPr>
          <w:sz w:val="20"/>
          <w:szCs w:val="20"/>
          <w:color w:val="auto"/>
        </w:rPr>
      </w:pPr>
    </w:p>
    <w:p>
      <w:pPr>
        <w:ind w:left="1300" w:hanging="644"/>
        <w:spacing w:after="0" w:line="250" w:lineRule="auto"/>
        <w:tabs>
          <w:tab w:leader="none" w:pos="11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any right to continue to be eligible to vest or receive a payment under the Award; and (iii) the foregoing remedies set forth in this Section 12 shall not be Lilly’s exclusive remedies. Lilly and its Covered Affiliates reserve all other rights and remedies available at law or in equity.</w:t>
      </w:r>
    </w:p>
    <w:p>
      <w:pPr>
        <w:spacing w:after="0" w:line="193" w:lineRule="exact"/>
        <w:rPr>
          <w:rFonts w:ascii="Arial" w:cs="Arial" w:eastAsia="Arial" w:hAnsi="Arial"/>
          <w:sz w:val="22"/>
          <w:szCs w:val="22"/>
          <w:color w:val="auto"/>
        </w:rPr>
      </w:pPr>
    </w:p>
    <w:p>
      <w:pPr>
        <w:ind w:left="1300" w:hanging="644"/>
        <w:spacing w:after="0" w:line="251" w:lineRule="auto"/>
        <w:tabs>
          <w:tab w:leader="none" w:pos="111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15</w:t>
      </w:r>
    </w:p>
    <w:p>
      <w:pPr>
        <w:sectPr>
          <w:pgSz w:w="11900" w:h="16838" w:orient="portrait"/>
          <w:cols w:equalWidth="0" w:num="1">
            <w:col w:w="11240"/>
          </w:cols>
          <w:pgMar w:left="320" w:top="126"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00" w:hanging="644"/>
        <w:spacing w:after="0" w:line="248" w:lineRule="auto"/>
        <w:tabs>
          <w:tab w:leader="none" w:pos="11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the Shareholder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189" w:lineRule="exact"/>
        <w:rPr>
          <w:rFonts w:ascii="Arial" w:cs="Arial" w:eastAsia="Arial" w:hAnsi="Arial"/>
          <w:sz w:val="22"/>
          <w:szCs w:val="22"/>
          <w:color w:val="auto"/>
        </w:rPr>
      </w:pPr>
    </w:p>
    <w:p>
      <w:pPr>
        <w:ind w:left="1300" w:hanging="644"/>
        <w:spacing w:after="0" w:line="250" w:lineRule="auto"/>
        <w:tabs>
          <w:tab w:leader="none" w:pos="111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5"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13.</w:t>
        <w:tab/>
        <w:t>Governing Law and Choice of Venue</w:t>
      </w:r>
    </w:p>
    <w:p>
      <w:pPr>
        <w:spacing w:after="0" w:line="132" w:lineRule="exact"/>
        <w:rPr>
          <w:sz w:val="20"/>
          <w:szCs w:val="20"/>
          <w:color w:val="auto"/>
        </w:rPr>
      </w:pPr>
    </w:p>
    <w:p>
      <w:pPr>
        <w:jc w:val="both"/>
        <w:ind w:left="400"/>
        <w:spacing w:after="0" w:line="249"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14.</w:t>
        <w:tab/>
        <w:t>Miscellaneous Provisions</w:t>
      </w:r>
    </w:p>
    <w:p>
      <w:pPr>
        <w:spacing w:after="0" w:line="132" w:lineRule="exact"/>
        <w:rPr>
          <w:sz w:val="20"/>
          <w:szCs w:val="20"/>
          <w:color w:val="auto"/>
        </w:rPr>
      </w:pPr>
    </w:p>
    <w:p>
      <w:pPr>
        <w:ind w:left="1300" w:hanging="644"/>
        <w:spacing w:after="0" w:line="253" w:lineRule="auto"/>
        <w:tabs>
          <w:tab w:leader="none" w:pos="116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Notices and Electronic Delivery and Participation</w:t>
      </w:r>
      <w:r>
        <w:rPr>
          <w:rFonts w:ascii="Arial" w:cs="Arial" w:eastAsia="Arial" w:hAnsi="Arial"/>
          <w:sz w:val="22"/>
          <w:szCs w:val="22"/>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16</w:t>
      </w:r>
    </w:p>
    <w:p>
      <w:pPr>
        <w:sectPr>
          <w:pgSz w:w="11900" w:h="16838" w:orient="portrait"/>
          <w:cols w:equalWidth="0" w:num="1">
            <w:col w:w="11240"/>
          </w:cols>
          <w:pgMar w:left="320" w:top="126"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2" w:lineRule="auto"/>
        <w:rPr>
          <w:sz w:val="20"/>
          <w:szCs w:val="20"/>
          <w:color w:val="auto"/>
        </w:rPr>
      </w:pPr>
      <w:r>
        <w:rPr>
          <w:rFonts w:ascii="Arial" w:cs="Arial" w:eastAsia="Arial" w:hAnsi="Arial"/>
          <w:sz w:val="22"/>
          <w:szCs w:val="22"/>
          <w:color w:val="auto"/>
        </w:rPr>
        <w:t>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sz w:val="20"/>
          <w:szCs w:val="20"/>
          <w:color w:val="auto"/>
        </w:rPr>
      </w:pPr>
    </w:p>
    <w:p>
      <w:pPr>
        <w:jc w:val="both"/>
        <w:ind w:left="1300" w:hanging="644"/>
        <w:spacing w:after="0" w:line="251" w:lineRule="auto"/>
        <w:tabs>
          <w:tab w:leader="none" w:pos="124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6" w:lineRule="exact"/>
        <w:rPr>
          <w:rFonts w:ascii="Arial" w:cs="Arial" w:eastAsia="Arial" w:hAnsi="Arial"/>
          <w:sz w:val="22"/>
          <w:szCs w:val="22"/>
          <w:color w:val="auto"/>
        </w:rPr>
      </w:pPr>
    </w:p>
    <w:p>
      <w:pPr>
        <w:ind w:left="1300" w:hanging="644"/>
        <w:spacing w:after="0" w:line="258" w:lineRule="auto"/>
        <w:tabs>
          <w:tab w:leader="none" w:pos="1121" w:val="left"/>
        </w:tabs>
        <w:numPr>
          <w:ilvl w:val="0"/>
          <w:numId w:val="71"/>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76" w:lineRule="exact"/>
        <w:rPr>
          <w:rFonts w:ascii="Arial" w:cs="Arial" w:eastAsia="Arial" w:hAnsi="Arial"/>
          <w:sz w:val="23"/>
          <w:szCs w:val="23"/>
          <w:color w:val="auto"/>
        </w:rPr>
      </w:pPr>
    </w:p>
    <w:p>
      <w:pPr>
        <w:ind w:left="1300" w:hanging="644"/>
        <w:spacing w:after="0" w:line="250" w:lineRule="auto"/>
        <w:tabs>
          <w:tab w:leader="none" w:pos="1107" w:val="left"/>
        </w:tabs>
        <w:numPr>
          <w:ilvl w:val="0"/>
          <w:numId w:val="71"/>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74"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61" w:lineRule="exact"/>
        <w:rPr>
          <w:sz w:val="20"/>
          <w:szCs w:val="20"/>
          <w:color w:val="auto"/>
        </w:rPr>
      </w:pPr>
    </w:p>
    <w:p>
      <w:pPr>
        <w:ind w:left="1300" w:hanging="644"/>
        <w:spacing w:after="0" w:line="254" w:lineRule="auto"/>
        <w:tabs>
          <w:tab w:leader="none" w:pos="1120" w:val="left"/>
        </w:tabs>
        <w:numPr>
          <w:ilvl w:val="0"/>
          <w:numId w:val="72"/>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pacing w:after="0" w:line="170"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15.</w:t>
        <w:tab/>
        <w:t>Compensation Recovery</w:t>
      </w:r>
    </w:p>
    <w:p>
      <w:pPr>
        <w:spacing w:after="0" w:line="132" w:lineRule="exact"/>
        <w:rPr>
          <w:sz w:val="20"/>
          <w:szCs w:val="20"/>
          <w:color w:val="auto"/>
        </w:rPr>
      </w:pPr>
    </w:p>
    <w:p>
      <w:pPr>
        <w:ind w:left="1300" w:hanging="644"/>
        <w:spacing w:after="0" w:line="253" w:lineRule="auto"/>
        <w:tabs>
          <w:tab w:leader="none" w:pos="1102"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17</w:t>
      </w:r>
    </w:p>
    <w:p>
      <w:pPr>
        <w:sectPr>
          <w:pgSz w:w="11900" w:h="16838" w:orient="portrait"/>
          <w:cols w:equalWidth="0" w:num="1">
            <w:col w:w="11240"/>
          </w:cols>
          <w:pgMar w:left="320" w:top="126"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64" w:lineRule="exact"/>
        <w:rPr>
          <w:sz w:val="20"/>
          <w:szCs w:val="20"/>
          <w:color w:val="auto"/>
        </w:rPr>
      </w:pPr>
    </w:p>
    <w:p>
      <w:pPr>
        <w:ind w:left="1300" w:hanging="644"/>
        <w:spacing w:after="0" w:line="257" w:lineRule="auto"/>
        <w:tabs>
          <w:tab w:leader="none" w:pos="1077" w:val="left"/>
        </w:tabs>
        <w:numPr>
          <w:ilvl w:val="0"/>
          <w:numId w:val="74"/>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3" w:lineRule="exact"/>
        <w:rPr>
          <w:rFonts w:ascii="Arial" w:cs="Arial" w:eastAsia="Arial" w:hAnsi="Arial"/>
          <w:sz w:val="22"/>
          <w:szCs w:val="22"/>
          <w:color w:val="auto"/>
        </w:rPr>
      </w:pPr>
    </w:p>
    <w:p>
      <w:pPr>
        <w:jc w:val="both"/>
        <w:ind w:left="1880" w:hanging="333"/>
        <w:spacing w:after="0" w:line="250" w:lineRule="auto"/>
        <w:tabs>
          <w:tab w:leader="none" w:pos="1972" w:val="left"/>
        </w:tabs>
        <w:numPr>
          <w:ilvl w:val="1"/>
          <w:numId w:val="74"/>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2" w:lineRule="exact"/>
        <w:rPr>
          <w:rFonts w:ascii="Arial" w:cs="Arial" w:eastAsia="Arial" w:hAnsi="Arial"/>
          <w:sz w:val="22"/>
          <w:szCs w:val="22"/>
          <w:color w:val="auto"/>
        </w:rPr>
      </w:pPr>
    </w:p>
    <w:p>
      <w:pPr>
        <w:jc w:val="both"/>
        <w:ind w:left="1880" w:hanging="333"/>
        <w:spacing w:after="0" w:line="257" w:lineRule="auto"/>
        <w:tabs>
          <w:tab w:leader="none" w:pos="2066"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4" w:lineRule="exact"/>
        <w:rPr>
          <w:sz w:val="20"/>
          <w:szCs w:val="20"/>
          <w:color w:val="auto"/>
        </w:rPr>
      </w:pPr>
    </w:p>
    <w:p>
      <w:pPr>
        <w:jc w:val="both"/>
        <w:ind w:left="1300"/>
        <w:spacing w:after="0" w:line="262"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5" w:lineRule="exact"/>
        <w:rPr>
          <w:sz w:val="20"/>
          <w:szCs w:val="20"/>
          <w:color w:val="auto"/>
        </w:rPr>
      </w:pPr>
    </w:p>
    <w:p>
      <w:pPr>
        <w:ind w:left="1300" w:hanging="644"/>
        <w:spacing w:after="0" w:line="253" w:lineRule="auto"/>
        <w:tabs>
          <w:tab w:leader="none" w:pos="1192"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15.</w:t>
      </w:r>
    </w:p>
    <w:p>
      <w:pPr>
        <w:spacing w:after="0" w:line="70" w:lineRule="exact"/>
        <w:rPr>
          <w:rFonts w:ascii="Arial" w:cs="Arial" w:eastAsia="Arial" w:hAnsi="Arial"/>
          <w:sz w:val="22"/>
          <w:szCs w:val="22"/>
          <w:color w:val="auto"/>
        </w:rPr>
      </w:pPr>
    </w:p>
    <w:p>
      <w:pPr>
        <w:ind w:left="1300" w:hanging="644"/>
        <w:spacing w:after="0" w:line="285" w:lineRule="auto"/>
        <w:tabs>
          <w:tab w:leader="none" w:pos="10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18</w:t>
      </w:r>
    </w:p>
    <w:p>
      <w:pPr>
        <w:sectPr>
          <w:pgSz w:w="11900" w:h="16838" w:orient="portrait"/>
          <w:cols w:equalWidth="0" w:num="1">
            <w:col w:w="11240"/>
          </w:cols>
          <w:pgMar w:left="320" w:top="126"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right="20"/>
        <w:spacing w:after="0" w:line="285" w:lineRule="auto"/>
        <w:rPr>
          <w:sz w:val="20"/>
          <w:szCs w:val="20"/>
          <w:color w:val="auto"/>
        </w:rPr>
      </w:pPr>
      <w:r>
        <w:rPr>
          <w:rFonts w:ascii="Arial" w:cs="Arial" w:eastAsia="Arial" w:hAnsi="Arial"/>
          <w:sz w:val="22"/>
          <w:szCs w:val="22"/>
          <w:color w:val="auto"/>
        </w:rPr>
        <w:t>appropriate, based on all relevant facts and circumstances, punish the wrongdoer in a manner it deems appropriate.</w:t>
      </w:r>
    </w:p>
    <w:p>
      <w:pPr>
        <w:spacing w:after="0" w:line="137"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16.</w:t>
        <w:tab/>
        <w:t>Award Subject to Acknowledgement of Acceptance</w:t>
      </w:r>
    </w:p>
    <w:p>
      <w:pPr>
        <w:spacing w:after="0" w:line="132"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 acceptance of the Award on or before [•], the Award will be cancelled, subject to the Committee’s discretion for unforeseen circumstances.</w:t>
      </w:r>
    </w:p>
    <w:p>
      <w:pPr>
        <w:spacing w:after="0" w:line="200" w:lineRule="exact"/>
        <w:rPr>
          <w:sz w:val="20"/>
          <w:szCs w:val="20"/>
          <w:color w:val="auto"/>
        </w:rPr>
      </w:pPr>
    </w:p>
    <w:p>
      <w:pPr>
        <w:spacing w:after="0" w:line="245" w:lineRule="exact"/>
        <w:rPr>
          <w:sz w:val="20"/>
          <w:szCs w:val="20"/>
          <w:color w:val="auto"/>
        </w:rPr>
      </w:pPr>
    </w:p>
    <w:p>
      <w:pPr>
        <w:ind w:left="340"/>
        <w:spacing w:after="0" w:line="28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19</w:t>
      </w:r>
    </w:p>
    <w:p>
      <w:pPr>
        <w:sectPr>
          <w:pgSz w:w="11900" w:h="16838" w:orient="portrait"/>
          <w:cols w:equalWidth="0" w:num="1">
            <w:col w:w="11240"/>
          </w:cols>
          <w:pgMar w:left="320" w:top="126"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32"/>
          <w:szCs w:val="32"/>
          <w:color w:val="auto"/>
        </w:rPr>
        <w:t>Appendix</w:t>
      </w:r>
    </w:p>
    <w:p>
      <w:pPr>
        <w:spacing w:after="0" w:line="267"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ind w:left="340" w:right="2360"/>
        <w:spacing w:after="0" w:line="264" w:lineRule="auto"/>
        <w:rPr>
          <w:sz w:val="20"/>
          <w:szCs w:val="20"/>
          <w:color w:val="auto"/>
        </w:rPr>
      </w:pPr>
      <w:r>
        <w:rPr>
          <w:rFonts w:ascii="Arial" w:cs="Arial" w:eastAsia="Arial" w:hAnsi="Arial"/>
          <w:sz w:val="32"/>
          <w:szCs w:val="32"/>
          <w:color w:val="auto"/>
        </w:rPr>
        <w:t>Amended and Restated 2002 Lilly Stock Plan Shareholder Value Award Agreement (for Executive Officer)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2"/>
          <w:szCs w:val="22"/>
          <w:i w:val="1"/>
          <w:iCs w:val="1"/>
          <w:color w:val="auto"/>
        </w:rPr>
        <w:t>For more information regarding such obligations, the Grantee should</w:t>
      </w:r>
      <w:r>
        <w:rPr>
          <w:rFonts w:ascii="Arial" w:cs="Arial" w:eastAsia="Arial" w:hAnsi="Arial"/>
          <w:sz w:val="22"/>
          <w:szCs w:val="22"/>
          <w:color w:val="auto"/>
        </w:rPr>
        <w:t xml:space="preserve"> </w:t>
      </w:r>
      <w:r>
        <w:rPr>
          <w:rFonts w:ascii="Arial" w:cs="Arial" w:eastAsia="Arial" w:hAnsi="Arial"/>
          <w:sz w:val="22"/>
          <w:szCs w:val="22"/>
          <w:i w:val="1"/>
          <w:iCs w:val="1"/>
          <w:color w:val="auto"/>
        </w:rPr>
        <w:t>refer to the Country-Specific Tax Supplement for the Grantee’s country, if any</w:t>
      </w:r>
      <w:r>
        <w:rPr>
          <w:rFonts w:ascii="Arial" w:cs="Arial" w:eastAsia="Arial" w:hAnsi="Arial"/>
          <w:sz w:val="22"/>
          <w:szCs w:val="22"/>
          <w:color w:val="auto"/>
        </w:rPr>
        <w:t>.</w:t>
      </w:r>
      <w:r>
        <w:rPr>
          <w:rFonts w:ascii="Arial" w:cs="Arial" w:eastAsia="Arial" w:hAnsi="Arial"/>
          <w:sz w:val="22"/>
          <w:szCs w:val="22"/>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20</w:t>
      </w:r>
    </w:p>
    <w:p>
      <w:pPr>
        <w:sectPr>
          <w:pgSz w:w="11900" w:h="16838" w:orient="portrait"/>
          <w:cols w:equalWidth="0" w:num="1">
            <w:col w:w="11240"/>
          </w:cols>
          <w:pgMar w:left="320" w:top="126"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Exhibit 10.4 Form of Relative Value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80" w:right="2300"/>
        <w:spacing w:after="0" w:line="270" w:lineRule="auto"/>
        <w:rPr>
          <w:sz w:val="20"/>
          <w:szCs w:val="20"/>
          <w:color w:val="auto"/>
        </w:rPr>
      </w:pPr>
      <w:r>
        <w:rPr>
          <w:rFonts w:ascii="Arial" w:cs="Arial" w:eastAsia="Arial" w:hAnsi="Arial"/>
          <w:sz w:val="43"/>
          <w:szCs w:val="43"/>
          <w:color w:val="auto"/>
        </w:rPr>
        <w:t>Eli Lilly and Company Relative Value Award Agreement (for Executive Officers)</w:t>
      </w:r>
    </w:p>
    <w:p>
      <w:pPr>
        <w:spacing w:after="0" w:line="142" w:lineRule="exact"/>
        <w:rPr>
          <w:sz w:val="20"/>
          <w:szCs w:val="20"/>
          <w:color w:val="auto"/>
        </w:rPr>
      </w:pPr>
    </w:p>
    <w:p>
      <w:pPr>
        <w:jc w:val="both"/>
        <w:ind w:left="340"/>
        <w:spacing w:after="0" w:line="264"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ectPr>
          <w:pgSz w:w="11900" w:h="16838" w:orient="portrait"/>
          <w:cols w:equalWidth="0" w:num="1">
            <w:col w:w="11080"/>
          </w:cols>
          <w:pgMar w:left="320" w:top="1440" w:right="499" w:bottom="1440" w:gutter="0" w:footer="0" w:header="0"/>
        </w:sect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Grantee:</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Units Granted:</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Grant Date: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Performance Period: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780" w:space="480"/>
            <w:col w:w="7820"/>
          </w:cols>
          <w:pgMar w:left="320" w:top="1440" w:right="49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25"/>
          <w:szCs w:val="25"/>
          <w:color w:val="auto"/>
        </w:rPr>
        <w:t>Lilly Relative Total Shareholder Return Performance Levels: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080"/>
          </w:cols>
          <w:pgMar w:left="320" w:top="1440" w:right="49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8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  Grant of Relative Value Award</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2.</w:t>
            </w:r>
          </w:p>
        </w:tc>
        <w:tc>
          <w:tcPr>
            <w:tcW w:w="60" w:type="dxa"/>
            <w:vAlign w:val="bottom"/>
          </w:tcPr>
          <w:p>
            <w:pPr>
              <w:spacing w:after="0"/>
              <w:rPr>
                <w:sz w:val="24"/>
                <w:szCs w:val="24"/>
                <w:color w:val="auto"/>
              </w:rPr>
            </w:pPr>
          </w:p>
        </w:tc>
        <w:tc>
          <w:tcPr>
            <w:tcW w:w="7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  Impact of Certain Employment Status Changes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  Change in Control</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5.</w:t>
            </w:r>
          </w:p>
        </w:tc>
        <w:tc>
          <w:tcPr>
            <w:tcW w:w="60" w:type="dxa"/>
            <w:vAlign w:val="bottom"/>
          </w:tcPr>
          <w:p>
            <w:pPr>
              <w:spacing w:after="0"/>
              <w:rPr>
                <w:sz w:val="24"/>
                <w:szCs w:val="24"/>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6.  Rights of the Grantee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  Prohibition Against Transfer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8.</w:t>
            </w: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Responsibility for Taxes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Section 9.</w:t>
            </w: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409A Compliance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Grantee’s Acknowledgment</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11.</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Data Privacy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12.  Restrictive Covenants, Remedies, and Additional Terms and Conditions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32"/>
        </w:trPr>
        <w:tc>
          <w:tcPr>
            <w:tcW w:w="8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13.  Governing Law and Choice of Venue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14.</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Miscellaneous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15.</w:t>
            </w:r>
          </w:p>
        </w:tc>
        <w:tc>
          <w:tcPr>
            <w:tcW w:w="79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Compensation Recovery</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16.</w:t>
            </w:r>
          </w:p>
        </w:tc>
        <w:tc>
          <w:tcPr>
            <w:tcW w:w="7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Award Subject to Acknowledgement of Acceptance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ectPr>
          <w:pgSz w:w="11900" w:h="16838" w:orient="portrait"/>
          <w:cols w:equalWidth="0" w:num="1">
            <w:col w:w="11220"/>
          </w:cols>
          <w:pgMar w:left="320" w:top="126" w:right="359"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20"/>
          </w:cols>
          <w:pgMar w:left="320" w:top="126" w:right="359" w:bottom="218" w:gutter="0" w:footer="0" w:header="0"/>
          <w:type w:val="continuous"/>
        </w:sectPr>
      </w:pPr>
    </w:p>
    <w:bookmarkStart w:id="142" w:name="page143"/>
    <w:bookmarkEnd w:id="142"/>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1.</w:t>
        <w:tab/>
        <w:t>Grant of Relative Value Award</w:t>
      </w:r>
    </w:p>
    <w:p>
      <w:pPr>
        <w:spacing w:after="0" w:line="118" w:lineRule="exact"/>
        <w:rPr>
          <w:sz w:val="20"/>
          <w:szCs w:val="20"/>
          <w:color w:val="auto"/>
        </w:rPr>
      </w:pPr>
    </w:p>
    <w:p>
      <w:pPr>
        <w:jc w:val="both"/>
        <w:ind w:left="400"/>
        <w:spacing w:after="0" w:line="253" w:lineRule="auto"/>
        <w:rPr>
          <w:sz w:val="20"/>
          <w:szCs w:val="20"/>
          <w:color w:val="auto"/>
        </w:rPr>
      </w:pPr>
      <w:r>
        <w:rPr>
          <w:rFonts w:ascii="Arial" w:cs="Arial" w:eastAsia="Arial" w:hAnsi="Arial"/>
          <w:sz w:val="22"/>
          <w:szCs w:val="22"/>
          <w:color w:val="auto"/>
        </w:rPr>
        <w:t>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Company’s stock plan administrator’s website at http://mystock.lilly.com (the “Target Number of Shares”).</w:t>
      </w:r>
    </w:p>
    <w:p>
      <w:pPr>
        <w:spacing w:after="0" w:line="179" w:lineRule="exact"/>
        <w:rPr>
          <w:sz w:val="20"/>
          <w:szCs w:val="20"/>
          <w:color w:val="auto"/>
        </w:rPr>
      </w:pPr>
    </w:p>
    <w:p>
      <w:pPr>
        <w:jc w:val="both"/>
        <w:ind w:left="40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195" w:lineRule="exact"/>
        <w:rPr>
          <w:sz w:val="20"/>
          <w:szCs w:val="20"/>
          <w:color w:val="auto"/>
        </w:rPr>
      </w:pPr>
    </w:p>
    <w:p>
      <w:pPr>
        <w:jc w:val="both"/>
        <w:ind w:left="420"/>
        <w:spacing w:after="0" w:line="272"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8"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65" w:lineRule="exact"/>
        <w:rPr>
          <w:sz w:val="20"/>
          <w:szCs w:val="20"/>
          <w:color w:val="auto"/>
        </w:rPr>
      </w:pPr>
    </w:p>
    <w:p>
      <w:pPr>
        <w:ind w:left="1300" w:hanging="644"/>
        <w:spacing w:after="0" w:line="264" w:lineRule="auto"/>
        <w:tabs>
          <w:tab w:leader="none" w:pos="11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56" w:lineRule="exact"/>
        <w:rPr>
          <w:rFonts w:ascii="Arial" w:cs="Arial" w:eastAsia="Arial" w:hAnsi="Arial"/>
          <w:sz w:val="22"/>
          <w:szCs w:val="22"/>
          <w:color w:val="auto"/>
        </w:rPr>
      </w:pPr>
    </w:p>
    <w:p>
      <w:pPr>
        <w:ind w:left="1300" w:hanging="644"/>
        <w:spacing w:after="0" w:line="257" w:lineRule="auto"/>
        <w:tabs>
          <w:tab w:leader="none" w:pos="1113"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4" w:lineRule="exact"/>
        <w:rPr>
          <w:rFonts w:ascii="Arial" w:cs="Arial" w:eastAsia="Arial" w:hAnsi="Arial"/>
          <w:sz w:val="22"/>
          <w:szCs w:val="22"/>
          <w:color w:val="auto"/>
        </w:rPr>
      </w:pPr>
    </w:p>
    <w:p>
      <w:pPr>
        <w:ind w:left="1300" w:hanging="644"/>
        <w:spacing w:after="0" w:line="257" w:lineRule="auto"/>
        <w:tabs>
          <w:tab w:leader="none" w:pos="1087"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4" w:lineRule="exact"/>
        <w:rPr>
          <w:sz w:val="20"/>
          <w:szCs w:val="20"/>
          <w:color w:val="auto"/>
        </w:rPr>
      </w:pPr>
    </w:p>
    <w:p>
      <w:pPr>
        <w:jc w:val="both"/>
        <w:ind w:left="1300"/>
        <w:spacing w:after="0" w:line="264" w:lineRule="auto"/>
        <w:rPr>
          <w:sz w:val="20"/>
          <w:szCs w:val="20"/>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56" w:lineRule="exact"/>
        <w:rPr>
          <w:sz w:val="20"/>
          <w:szCs w:val="20"/>
          <w:color w:val="auto"/>
        </w:rPr>
      </w:pPr>
    </w:p>
    <w:p>
      <w:pPr>
        <w:ind w:left="1300" w:right="20" w:hanging="644"/>
        <w:spacing w:after="0" w:line="272" w:lineRule="auto"/>
        <w:tabs>
          <w:tab w:leader="none" w:pos="1167"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26"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as the absolute percentage point difference in the performance of the Company’s TSR compared to the Peer Group’s median TSR.</w:t>
      </w:r>
    </w:p>
    <w:p>
      <w:pPr>
        <w:spacing w:after="0" w:line="48" w:lineRule="exact"/>
        <w:rPr>
          <w:sz w:val="20"/>
          <w:szCs w:val="20"/>
          <w:color w:val="auto"/>
        </w:rPr>
      </w:pPr>
    </w:p>
    <w:p>
      <w:pPr>
        <w:ind w:left="1300" w:hanging="644"/>
        <w:spacing w:after="0" w:line="257" w:lineRule="auto"/>
        <w:tabs>
          <w:tab w:leader="none" w:pos="1153"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two-month period immediately preceding the Performance Period, rounded to the nearest cent.</w:t>
      </w:r>
    </w:p>
    <w:p>
      <w:pPr>
        <w:spacing w:after="0" w:line="63" w:lineRule="exact"/>
        <w:rPr>
          <w:rFonts w:ascii="Arial" w:cs="Arial" w:eastAsia="Arial" w:hAnsi="Arial"/>
          <w:sz w:val="22"/>
          <w:szCs w:val="22"/>
          <w:color w:val="auto"/>
        </w:rPr>
      </w:pPr>
    </w:p>
    <w:p>
      <w:pPr>
        <w:ind w:left="1300" w:hanging="644"/>
        <w:spacing w:after="0" w:line="253" w:lineRule="auto"/>
        <w:tabs>
          <w:tab w:leader="none" w:pos="1147"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80" w:lineRule="exact"/>
        <w:rPr>
          <w:rFonts w:ascii="Arial" w:cs="Arial" w:eastAsia="Arial" w:hAnsi="Arial"/>
          <w:sz w:val="22"/>
          <w:szCs w:val="22"/>
          <w:color w:val="auto"/>
        </w:rPr>
      </w:pPr>
    </w:p>
    <w:p>
      <w:pPr>
        <w:ind w:left="1300" w:hanging="644"/>
        <w:spacing w:after="0" w:line="272" w:lineRule="auto"/>
        <w:tabs>
          <w:tab w:leader="none" w:pos="1099"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47" w:lineRule="exact"/>
        <w:rPr>
          <w:rFonts w:ascii="Arial" w:cs="Arial" w:eastAsia="Arial" w:hAnsi="Arial"/>
          <w:sz w:val="22"/>
          <w:szCs w:val="22"/>
          <w:color w:val="auto"/>
        </w:rPr>
      </w:pPr>
    </w:p>
    <w:p>
      <w:pPr>
        <w:ind w:left="1300" w:hanging="644"/>
        <w:spacing w:after="0" w:line="253" w:lineRule="auto"/>
        <w:tabs>
          <w:tab w:leader="none" w:pos="11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81" w:lineRule="exact"/>
        <w:rPr>
          <w:sz w:val="20"/>
          <w:szCs w:val="20"/>
          <w:color w:val="auto"/>
        </w:rPr>
      </w:pPr>
    </w:p>
    <w:p>
      <w:pPr>
        <w:jc w:val="both"/>
        <w:ind w:left="420" w:right="20"/>
        <w:spacing w:after="0" w:line="272"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Sections 3 or 4 below, the Award shall be forfeited.</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132" w:lineRule="exact"/>
        <w:rPr>
          <w:sz w:val="20"/>
          <w:szCs w:val="20"/>
          <w:color w:val="auto"/>
        </w:rPr>
      </w:pPr>
    </w:p>
    <w:p>
      <w:pPr>
        <w:jc w:val="both"/>
        <w:ind w:left="420" w:right="20"/>
        <w:spacing w:after="0" w:line="257"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5" w:lineRule="exact"/>
        <w:rPr>
          <w:sz w:val="20"/>
          <w:szCs w:val="20"/>
          <w:color w:val="auto"/>
        </w:rPr>
      </w:pPr>
    </w:p>
    <w:p>
      <w:pPr>
        <w:ind w:left="1300" w:hanging="644"/>
        <w:spacing w:after="0" w:line="252" w:lineRule="auto"/>
        <w:tabs>
          <w:tab w:leader="none" w:pos="108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Retirement; Death</w:t>
      </w:r>
      <w:r>
        <w:rPr>
          <w:rFonts w:ascii="Arial" w:cs="Arial" w:eastAsia="Arial" w:hAnsi="Arial"/>
          <w:sz w:val="22"/>
          <w:szCs w:val="22"/>
          <w:color w:val="auto"/>
        </w:rPr>
        <w:t>. Except as otherwise provided below (including Section 12), in the event the Grantee’s Service is terminated (i) on or following the Retirement Vesting Date (A) due to the Grantee’s Retirement or (B) due to the Grantee’s Qualifying Termination (as defined below) on a date that the Grantee is eligible for Retirement, or (ii) due to the Grantee’s death,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71"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4" w:lineRule="exact"/>
        <w:rPr>
          <w:sz w:val="20"/>
          <w:szCs w:val="20"/>
          <w:color w:val="auto"/>
        </w:rPr>
      </w:pPr>
    </w:p>
    <w:p>
      <w:pPr>
        <w:ind w:left="1660" w:hanging="356"/>
        <w:spacing w:after="0"/>
        <w:tabs>
          <w:tab w:leader="none" w:pos="1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otherwise determined to be a retired employee in the sole discretion of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280"/>
        <w:spacing w:after="0"/>
        <w:rPr>
          <w:rFonts w:ascii="Arial" w:cs="Arial" w:eastAsia="Arial" w:hAnsi="Arial"/>
          <w:sz w:val="22"/>
          <w:szCs w:val="22"/>
          <w:color w:val="auto"/>
        </w:rPr>
      </w:pPr>
      <w:r>
        <w:rPr>
          <w:rFonts w:ascii="Arial" w:cs="Arial" w:eastAsia="Arial" w:hAnsi="Arial"/>
          <w:sz w:val="22"/>
          <w:szCs w:val="22"/>
          <w:color w:val="auto"/>
        </w:rPr>
        <w:t>Page 4</w:t>
      </w:r>
    </w:p>
    <w:p>
      <w:pPr>
        <w:sectPr>
          <w:pgSz w:w="11900" w:h="16838" w:orient="portrait"/>
          <w:cols w:equalWidth="0" w:num="1">
            <w:col w:w="11240"/>
          </w:cols>
          <w:pgMar w:left="320" w:top="126" w:right="3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Company. 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73" w:lineRule="exact"/>
        <w:rPr>
          <w:sz w:val="20"/>
          <w:szCs w:val="20"/>
          <w:color w:val="auto"/>
        </w:rPr>
      </w:pPr>
    </w:p>
    <w:p>
      <w:pPr>
        <w:jc w:val="both"/>
        <w:ind w:left="1300"/>
        <w:spacing w:after="0" w:line="272"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48" w:lineRule="exact"/>
        <w:rPr>
          <w:sz w:val="20"/>
          <w:szCs w:val="20"/>
          <w:color w:val="auto"/>
        </w:rPr>
      </w:pPr>
    </w:p>
    <w:p>
      <w:pPr>
        <w:jc w:val="both"/>
        <w:ind w:left="1300" w:hanging="644"/>
        <w:spacing w:after="0" w:line="273" w:lineRule="auto"/>
        <w:tabs>
          <w:tab w:leader="none" w:pos="1315"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Qualifying Termination</w:t>
      </w:r>
      <w:r>
        <w:rPr>
          <w:rFonts w:ascii="Arial" w:cs="Arial" w:eastAsia="Arial" w:hAnsi="Arial"/>
          <w:sz w:val="21"/>
          <w:szCs w:val="21"/>
          <w:color w:val="auto"/>
        </w:rPr>
        <w:t>. Except as otherwise provided in section 3(a),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48" w:lineRule="exact"/>
        <w:rPr>
          <w:rFonts w:ascii="Arial" w:cs="Arial" w:eastAsia="Arial" w:hAnsi="Arial"/>
          <w:sz w:val="21"/>
          <w:szCs w:val="21"/>
          <w:color w:val="auto"/>
        </w:rPr>
      </w:pPr>
    </w:p>
    <w:p>
      <w:pPr>
        <w:ind w:left="1300" w:right="20"/>
        <w:spacing w:after="0" w:line="272" w:lineRule="auto"/>
        <w:rPr>
          <w:rFonts w:ascii="Arial" w:cs="Arial" w:eastAsia="Arial" w:hAnsi="Arial"/>
          <w:sz w:val="21"/>
          <w:szCs w:val="21"/>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47" w:lineRule="exact"/>
        <w:rPr>
          <w:rFonts w:ascii="Arial" w:cs="Arial" w:eastAsia="Arial" w:hAnsi="Arial"/>
          <w:sz w:val="21"/>
          <w:szCs w:val="21"/>
          <w:color w:val="auto"/>
        </w:rPr>
      </w:pPr>
    </w:p>
    <w:p>
      <w:pPr>
        <w:ind w:left="1980" w:hanging="352"/>
        <w:spacing w:after="0"/>
        <w:tabs>
          <w:tab w:leader="none" w:pos="1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111" w:lineRule="exact"/>
        <w:rPr>
          <w:rFonts w:ascii="Arial" w:cs="Arial" w:eastAsia="Arial" w:hAnsi="Arial"/>
          <w:sz w:val="22"/>
          <w:szCs w:val="22"/>
          <w:color w:val="auto"/>
        </w:rPr>
      </w:pPr>
    </w:p>
    <w:p>
      <w:pPr>
        <w:jc w:val="both"/>
        <w:ind w:left="1960" w:hanging="332"/>
        <w:spacing w:after="0" w:line="257" w:lineRule="auto"/>
        <w:tabs>
          <w:tab w:leader="none" w:pos="2199" w:val="left"/>
        </w:tabs>
        <w:numPr>
          <w:ilvl w:val="1"/>
          <w:numId w:val="81"/>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64" w:lineRule="exact"/>
        <w:rPr>
          <w:sz w:val="20"/>
          <w:szCs w:val="20"/>
          <w:color w:val="auto"/>
        </w:rPr>
      </w:pPr>
    </w:p>
    <w:p>
      <w:pPr>
        <w:ind w:left="1300" w:right="760"/>
        <w:spacing w:after="0" w:line="272"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1" w:lineRule="exact"/>
        <w:rPr>
          <w:sz w:val="20"/>
          <w:szCs w:val="20"/>
          <w:color w:val="auto"/>
        </w:rPr>
      </w:pPr>
    </w:p>
    <w:p>
      <w:pPr>
        <w:ind w:left="1300" w:right="100"/>
        <w:spacing w:after="0" w:line="29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25" w:lineRule="exact"/>
        <w:rPr>
          <w:sz w:val="20"/>
          <w:szCs w:val="20"/>
          <w:color w:val="auto"/>
        </w:rPr>
      </w:pPr>
    </w:p>
    <w:p>
      <w:pPr>
        <w:ind w:left="1300" w:hanging="644"/>
        <w:spacing w:after="0" w:line="251" w:lineRule="auto"/>
        <w:tabs>
          <w:tab w:leader="none" w:pos="115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73" w:lineRule="exact"/>
        <w:rPr>
          <w:sz w:val="20"/>
          <w:szCs w:val="20"/>
          <w:color w:val="auto"/>
        </w:rPr>
      </w:pPr>
    </w:p>
    <w:p>
      <w:pPr>
        <w:jc w:val="both"/>
        <w:ind w:left="420"/>
        <w:spacing w:after="0" w:line="253" w:lineRule="auto"/>
        <w:rPr>
          <w:sz w:val="20"/>
          <w:szCs w:val="20"/>
          <w:color w:val="auto"/>
        </w:rPr>
      </w:pPr>
      <w:r>
        <w:rPr>
          <w:rFonts w:ascii="Arial" w:cs="Arial" w:eastAsia="Arial" w:hAnsi="Arial"/>
          <w:sz w:val="22"/>
          <w:szCs w:val="22"/>
          <w:color w:val="auto"/>
        </w:rPr>
        <w:t>The Committee’s determination as to whether (1) a transfer of employment between Lilly and an Affiliate or between Affiliates constitutes a termination of Service, (2) the Grantee’s Service has been terminated by reason of Retirement, (3) the Grantee is eligible for Retirement, (4) the Grantee’s Service has been terminated as a direct result of either a plant closing or a reduction in force and (5) the Grantee’s Service has been terminated as a result of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126" w:right="3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right="20"/>
        <w:spacing w:after="0" w:line="272" w:lineRule="auto"/>
        <w:rPr>
          <w:sz w:val="20"/>
          <w:szCs w:val="20"/>
          <w:color w:val="auto"/>
        </w:rPr>
      </w:pPr>
      <w:r>
        <w:rPr>
          <w:rFonts w:ascii="Arial" w:cs="Arial" w:eastAsia="Arial" w:hAnsi="Arial"/>
          <w:sz w:val="22"/>
          <w:szCs w:val="22"/>
          <w:color w:val="auto"/>
        </w:rPr>
        <w:t>to locate a position within the Company or an Affiliate following reallocation or medical reassignment shall be final and binding on the Grantee.</w:t>
      </w:r>
    </w:p>
    <w:p>
      <w:pPr>
        <w:spacing w:after="0" w:line="15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4.</w:t>
        <w:tab/>
        <w:t>Change in Control</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1300" w:hanging="644"/>
        <w:spacing w:after="0" w:line="264" w:lineRule="auto"/>
        <w:tabs>
          <w:tab w:leader="none" w:pos="128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56" w:lineRule="exact"/>
        <w:rPr>
          <w:rFonts w:ascii="Arial" w:cs="Arial" w:eastAsia="Arial" w:hAnsi="Arial"/>
          <w:sz w:val="22"/>
          <w:szCs w:val="22"/>
          <w:color w:val="auto"/>
        </w:rPr>
      </w:pPr>
    </w:p>
    <w:p>
      <w:pPr>
        <w:ind w:left="1300" w:hanging="644"/>
        <w:spacing w:after="0" w:line="253" w:lineRule="auto"/>
        <w:tabs>
          <w:tab w:leader="none" w:pos="121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80" w:lineRule="exact"/>
        <w:rPr>
          <w:rFonts w:ascii="Arial" w:cs="Arial" w:eastAsia="Arial" w:hAnsi="Arial"/>
          <w:sz w:val="22"/>
          <w:szCs w:val="22"/>
          <w:color w:val="auto"/>
        </w:rPr>
      </w:pPr>
    </w:p>
    <w:p>
      <w:pPr>
        <w:ind w:left="1300" w:hanging="644"/>
        <w:spacing w:after="0" w:line="261" w:lineRule="auto"/>
        <w:tabs>
          <w:tab w:leader="none" w:pos="1114"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60" w:lineRule="exact"/>
        <w:rPr>
          <w:rFonts w:ascii="Arial" w:cs="Arial" w:eastAsia="Arial" w:hAnsi="Arial"/>
          <w:sz w:val="21"/>
          <w:szCs w:val="21"/>
          <w:color w:val="auto"/>
        </w:rPr>
      </w:pPr>
    </w:p>
    <w:p>
      <w:pPr>
        <w:jc w:val="both"/>
        <w:ind w:left="1960" w:hanging="332"/>
        <w:spacing w:after="0" w:line="257" w:lineRule="auto"/>
        <w:tabs>
          <w:tab w:leader="none" w:pos="2137"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event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3" w:lineRule="exact"/>
        <w:rPr>
          <w:rFonts w:ascii="Arial" w:cs="Arial" w:eastAsia="Arial" w:hAnsi="Arial"/>
          <w:sz w:val="22"/>
          <w:szCs w:val="22"/>
          <w:color w:val="auto"/>
        </w:rPr>
      </w:pPr>
    </w:p>
    <w:p>
      <w:pPr>
        <w:jc w:val="both"/>
        <w:ind w:left="1960" w:hanging="332"/>
        <w:spacing w:after="0" w:line="253" w:lineRule="auto"/>
        <w:tabs>
          <w:tab w:leader="none" w:pos="2051"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event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7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Grantee’s termination of Service without Cause or the Grantee’s resignation for Good Reason. “Cause” and “Good Reason” shall have the meanings ascribed to them in the Eli Lilly and Company 2007 Change in Control Severance Pay Plan for Select Employees, as amended, restated, or superseded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126"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644"/>
        <w:spacing w:after="0" w:line="253" w:lineRule="auto"/>
        <w:tabs>
          <w:tab w:leader="none" w:pos="1077"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5.</w:t>
        <w:tab/>
        <w:t>Settlement</w:t>
      </w:r>
    </w:p>
    <w:p>
      <w:pPr>
        <w:spacing w:after="0" w:line="132" w:lineRule="exact"/>
        <w:rPr>
          <w:sz w:val="20"/>
          <w:szCs w:val="20"/>
          <w:color w:val="auto"/>
        </w:rPr>
      </w:pPr>
    </w:p>
    <w:p>
      <w:pPr>
        <w:ind w:left="1300" w:hanging="644"/>
        <w:spacing w:after="0" w:line="272" w:lineRule="auto"/>
        <w:tabs>
          <w:tab w:leader="none" w:pos="11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1" w:lineRule="exact"/>
        <w:rPr>
          <w:rFonts w:ascii="Arial" w:cs="Arial" w:eastAsia="Arial" w:hAnsi="Arial"/>
          <w:sz w:val="22"/>
          <w:szCs w:val="22"/>
          <w:color w:val="auto"/>
        </w:rPr>
      </w:pPr>
    </w:p>
    <w:p>
      <w:pPr>
        <w:ind w:left="1300" w:hanging="644"/>
        <w:spacing w:after="0" w:line="247" w:lineRule="auto"/>
        <w:tabs>
          <w:tab w:leader="none" w:pos="1099"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Award vests pursuant to Section 4(c)(i),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92" w:lineRule="exact"/>
        <w:rPr>
          <w:rFonts w:ascii="Arial" w:cs="Arial" w:eastAsia="Arial" w:hAnsi="Arial"/>
          <w:sz w:val="22"/>
          <w:szCs w:val="22"/>
          <w:color w:val="auto"/>
        </w:rPr>
      </w:pPr>
    </w:p>
    <w:p>
      <w:pPr>
        <w:jc w:val="both"/>
        <w:ind w:left="1300" w:hanging="644"/>
        <w:spacing w:after="0" w:line="249" w:lineRule="auto"/>
        <w:tabs>
          <w:tab w:leader="none" w:pos="123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Award vests pursuant to Section 4(c)(ii), the Award shall be paid to the Grantee as soon as practicable, but in no event later than sixty (60) days, following the date the Grantee is subject to a Covered Termination, provided that if the Award is NQ Deferred Compensation (and provided that the Transaction constitutes a 409A CIC),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first day following the six (6) month anniversary of the Grantee’s Section 409A Separation and (2) the date of the Grantee’s death.</w:t>
      </w:r>
    </w:p>
    <w:p>
      <w:pPr>
        <w:spacing w:after="0" w:line="73" w:lineRule="exact"/>
        <w:rPr>
          <w:rFonts w:ascii="Arial" w:cs="Arial" w:eastAsia="Arial" w:hAnsi="Arial"/>
          <w:sz w:val="22"/>
          <w:szCs w:val="22"/>
          <w:color w:val="auto"/>
        </w:rPr>
      </w:pPr>
    </w:p>
    <w:p>
      <w:pPr>
        <w:ind w:left="1300" w:hanging="644"/>
        <w:spacing w:after="0" w:line="251" w:lineRule="auto"/>
        <w:tabs>
          <w:tab w:leader="none" w:pos="106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At the time of settlement, Lilly shall issue or transfer Shares to the Grantee that became vested (including, in the interest of clarity, a Fractional Share). Notwithstanding the foregoing, a Fractional Share may be paid in cash or rounded to the extent provided in any appendix attached hereto (the “Appendix”) for the Grantee’s country or to the extent otherwise determined by the Committee in its sole discretion. For purposes of this Award, references to “issue” or variations of such term shall instead mean “allocate” when used in the context of Fractional Shares.</w:t>
      </w:r>
    </w:p>
    <w:p>
      <w:pPr>
        <w:spacing w:after="0" w:line="73" w:lineRule="exact"/>
        <w:rPr>
          <w:rFonts w:ascii="Arial" w:cs="Arial" w:eastAsia="Arial" w:hAnsi="Arial"/>
          <w:sz w:val="22"/>
          <w:szCs w:val="22"/>
          <w:color w:val="auto"/>
        </w:rPr>
      </w:pPr>
    </w:p>
    <w:p>
      <w:pPr>
        <w:ind w:left="1300" w:right="20" w:hanging="644"/>
        <w:spacing w:after="0" w:line="272" w:lineRule="auto"/>
        <w:tabs>
          <w:tab w:leader="none" w:pos="1079"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26" w:right="3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6.</w:t>
        <w:tab/>
        <w:t>Rights of the Grantee</w:t>
      </w:r>
    </w:p>
    <w:p>
      <w:pPr>
        <w:spacing w:after="0" w:line="118" w:lineRule="exact"/>
        <w:rPr>
          <w:sz w:val="20"/>
          <w:szCs w:val="20"/>
          <w:color w:val="auto"/>
        </w:rPr>
      </w:pPr>
    </w:p>
    <w:p>
      <w:pPr>
        <w:jc w:val="both"/>
        <w:ind w:left="1300" w:hanging="644"/>
        <w:spacing w:after="0" w:line="251" w:lineRule="auto"/>
        <w:tabs>
          <w:tab w:leader="none" w:pos="1261"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 In the event a Fractional Share is issued, the Grantee shall have the rights of a shareholder to receive dividends payable with respect to a Share that are proportionate to the interest the Fractional Share bears to a whole Share, but the Grantee shall have no right to vote with respect to the Fractional Share unless otherwise provided by the Committee.</w:t>
      </w:r>
    </w:p>
    <w:p>
      <w:pPr>
        <w:spacing w:after="0" w:line="86" w:lineRule="exact"/>
        <w:rPr>
          <w:rFonts w:ascii="Arial" w:cs="Arial" w:eastAsia="Arial" w:hAnsi="Arial"/>
          <w:sz w:val="22"/>
          <w:szCs w:val="22"/>
          <w:color w:val="auto"/>
        </w:rPr>
      </w:pPr>
    </w:p>
    <w:p>
      <w:pPr>
        <w:ind w:left="1300" w:hanging="644"/>
        <w:spacing w:after="0" w:line="253" w:lineRule="auto"/>
        <w:tabs>
          <w:tab w:leader="none" w:pos="112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7.</w:t>
        <w:tab/>
        <w:t>Prohibition Against Transfer</w:t>
      </w:r>
    </w:p>
    <w:p>
      <w:pPr>
        <w:spacing w:after="0" w:line="132" w:lineRule="exact"/>
        <w:rPr>
          <w:sz w:val="20"/>
          <w:szCs w:val="20"/>
          <w:color w:val="auto"/>
        </w:rPr>
      </w:pPr>
    </w:p>
    <w:p>
      <w:pPr>
        <w:ind w:left="1300" w:hanging="644"/>
        <w:spacing w:after="0" w:line="251" w:lineRule="auto"/>
        <w:tabs>
          <w:tab w:leader="none" w:pos="109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 hereunder prior to transfer or payment thereof to the Grantee, and any such attempted assignment, sale, pledge or transfer shall be void.</w:t>
      </w:r>
    </w:p>
    <w:p>
      <w:pPr>
        <w:spacing w:after="0" w:line="73" w:lineRule="exact"/>
        <w:rPr>
          <w:rFonts w:ascii="Arial" w:cs="Arial" w:eastAsia="Arial" w:hAnsi="Arial"/>
          <w:sz w:val="22"/>
          <w:szCs w:val="22"/>
          <w:color w:val="auto"/>
        </w:rPr>
      </w:pPr>
    </w:p>
    <w:p>
      <w:pPr>
        <w:ind w:left="1300" w:hanging="644"/>
        <w:spacing w:after="0" w:line="272" w:lineRule="auto"/>
        <w:tabs>
          <w:tab w:leader="none" w:pos="114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2"/>
          <w:szCs w:val="22"/>
          <w:color w:val="auto"/>
        </w:rPr>
        <w:t>Responsibility for Taxes</w:t>
      </w:r>
    </w:p>
    <w:p>
      <w:pPr>
        <w:spacing w:after="0" w:line="118" w:lineRule="exact"/>
        <w:rPr>
          <w:sz w:val="20"/>
          <w:szCs w:val="20"/>
          <w:color w:val="auto"/>
        </w:rPr>
      </w:pPr>
    </w:p>
    <w:p>
      <w:pPr>
        <w:jc w:val="right"/>
        <w:ind w:left="1300" w:hanging="644"/>
        <w:spacing w:after="0" w:line="261" w:lineRule="auto"/>
        <w:tabs>
          <w:tab w:leader="none" w:pos="1126" w:val="left"/>
        </w:tabs>
        <w:numPr>
          <w:ilvl w:val="0"/>
          <w:numId w:val="88"/>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3" w:lineRule="exact"/>
        <w:rPr>
          <w:rFonts w:ascii="Arial" w:cs="Arial" w:eastAsia="Arial" w:hAnsi="Arial"/>
          <w:sz w:val="21"/>
          <w:szCs w:val="21"/>
          <w:color w:val="auto"/>
        </w:rPr>
      </w:pPr>
    </w:p>
    <w:p>
      <w:pPr>
        <w:jc w:val="both"/>
        <w:ind w:left="1300" w:firstLine="4"/>
        <w:spacing w:after="0" w:line="249" w:lineRule="auto"/>
        <w:tabs>
          <w:tab w:leader="none" w:pos="16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Relative Value Award, the vesting of the Relative Value Award, the transfer and issuance of any Shares and/or Fractional Shares, the receipt of any cash payment pursuant to the Award, the receipt of any dividends (including any dividends that are reinvested in additional Shares) and the sale or other disposition of any Shares and/or Fractional Shares acquired pursuant to this Award; and (ii) do not commit to and are under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126"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86" w:lineRule="exact"/>
        <w:rPr>
          <w:sz w:val="20"/>
          <w:szCs w:val="20"/>
          <w:color w:val="auto"/>
        </w:rPr>
      </w:pPr>
    </w:p>
    <w:p>
      <w:pPr>
        <w:jc w:val="center"/>
        <w:ind w:left="1300" w:hanging="644"/>
        <w:spacing w:after="0" w:line="296" w:lineRule="auto"/>
        <w:tabs>
          <w:tab w:leader="none" w:pos="1102" w:val="left"/>
        </w:tabs>
        <w:numPr>
          <w:ilvl w:val="0"/>
          <w:numId w:val="89"/>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25" w:lineRule="exact"/>
        <w:rPr>
          <w:rFonts w:ascii="Arial" w:cs="Arial" w:eastAsia="Arial" w:hAnsi="Arial"/>
          <w:sz w:val="21"/>
          <w:szCs w:val="21"/>
          <w:color w:val="auto"/>
        </w:rPr>
      </w:pPr>
    </w:p>
    <w:p>
      <w:pPr>
        <w:jc w:val="both"/>
        <w:ind w:left="1960" w:hanging="332"/>
        <w:spacing w:after="0" w:line="253" w:lineRule="auto"/>
        <w:tabs>
          <w:tab w:leader="none" w:pos="2082"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and/or Fractional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70" w:lineRule="exact"/>
        <w:rPr>
          <w:rFonts w:ascii="Arial" w:cs="Arial" w:eastAsia="Arial" w:hAnsi="Arial"/>
          <w:sz w:val="22"/>
          <w:szCs w:val="22"/>
          <w:color w:val="auto"/>
        </w:rPr>
      </w:pPr>
    </w:p>
    <w:p>
      <w:pPr>
        <w:jc w:val="both"/>
        <w:ind w:left="1960" w:hanging="332"/>
        <w:spacing w:after="0" w:line="248" w:lineRule="auto"/>
        <w:tabs>
          <w:tab w:leader="none" w:pos="2097"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and/or Fractional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 Shares otherwise issuable to the Grantee pursuant to this Award, and/or (D) apply any other method of withholding determined by the Company and, to the extent required by Applicable Laws or the Plan, approved by the Committee.</w:t>
      </w:r>
    </w:p>
    <w:p>
      <w:pPr>
        <w:spacing w:after="0" w:line="76" w:lineRule="exact"/>
        <w:rPr>
          <w:rFonts w:ascii="Arial" w:cs="Arial" w:eastAsia="Arial" w:hAnsi="Arial"/>
          <w:sz w:val="22"/>
          <w:szCs w:val="22"/>
          <w:color w:val="auto"/>
        </w:rPr>
      </w:pPr>
    </w:p>
    <w:p>
      <w:pPr>
        <w:jc w:val="both"/>
        <w:ind w:left="1960" w:hanging="332"/>
        <w:spacing w:after="0" w:line="250" w:lineRule="auto"/>
        <w:tabs>
          <w:tab w:leader="none" w:pos="2134"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72" w:lineRule="exact"/>
        <w:rPr>
          <w:rFonts w:ascii="Arial" w:cs="Arial" w:eastAsia="Arial" w:hAnsi="Arial"/>
          <w:sz w:val="22"/>
          <w:szCs w:val="22"/>
          <w:color w:val="auto"/>
        </w:rPr>
      </w:pPr>
    </w:p>
    <w:p>
      <w:pPr>
        <w:ind w:left="1300" w:hanging="644"/>
        <w:spacing w:after="0" w:line="257" w:lineRule="auto"/>
        <w:tabs>
          <w:tab w:leader="none" w:pos="1091" w:val="left"/>
        </w:tabs>
        <w:numPr>
          <w:ilvl w:val="0"/>
          <w:numId w:val="89"/>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126"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71" w:lineRule="exact"/>
        <w:rPr>
          <w:sz w:val="20"/>
          <w:szCs w:val="20"/>
          <w:color w:val="auto"/>
        </w:rPr>
      </w:pPr>
    </w:p>
    <w:p>
      <w:pPr>
        <w:ind w:left="1300" w:hanging="644"/>
        <w:spacing w:after="0" w:line="257" w:lineRule="auto"/>
        <w:tabs>
          <w:tab w:leader="none" w:pos="1170" w:val="left"/>
        </w:tabs>
        <w:numPr>
          <w:ilvl w:val="0"/>
          <w:numId w:val="90"/>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 obligation in connection with the Tax Related Items as described in this Section 8.</w:t>
      </w:r>
    </w:p>
    <w:p>
      <w:pPr>
        <w:spacing w:after="0" w:line="64" w:lineRule="exact"/>
        <w:rPr>
          <w:rFonts w:ascii="Arial" w:cs="Arial" w:eastAsia="Arial" w:hAnsi="Arial"/>
          <w:sz w:val="22"/>
          <w:szCs w:val="22"/>
          <w:color w:val="auto"/>
        </w:rPr>
      </w:pPr>
    </w:p>
    <w:p>
      <w:pPr>
        <w:ind w:left="1300" w:right="20" w:hanging="644"/>
        <w:spacing w:after="0" w:line="272" w:lineRule="auto"/>
        <w:tabs>
          <w:tab w:leader="none" w:pos="1202" w:val="left"/>
        </w:tabs>
        <w:numPr>
          <w:ilvl w:val="0"/>
          <w:numId w:val="90"/>
        </w:numPr>
        <w:rPr>
          <w:rFonts w:ascii="Arial" w:cs="Arial" w:eastAsia="Arial" w:hAnsi="Arial"/>
          <w:sz w:val="22"/>
          <w:szCs w:val="22"/>
          <w:color w:val="auto"/>
        </w:rPr>
      </w:pPr>
      <w:r>
        <w:rPr>
          <w:rFonts w:ascii="Arial" w:cs="Arial" w:eastAsia="Arial" w:hAnsi="Arial"/>
          <w:sz w:val="22"/>
          <w:szCs w:val="22"/>
          <w:color w:val="auto"/>
        </w:rPr>
        <w:t>For purposes of this Section 8, references to the withholding or sale of a Share shall also mean the withholding or sale of any portion that is less than a whole Share, to the extent applicable.</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9.</w:t>
        <w:tab/>
        <w:t>Section 409A Compliance</w:t>
      </w:r>
    </w:p>
    <w:p>
      <w:pPr>
        <w:spacing w:after="0" w:line="64" w:lineRule="exact"/>
        <w:rPr>
          <w:sz w:val="20"/>
          <w:szCs w:val="20"/>
          <w:color w:val="auto"/>
        </w:rPr>
      </w:pPr>
    </w:p>
    <w:p>
      <w:pPr>
        <w:jc w:val="both"/>
        <w:ind w:left="420"/>
        <w:spacing w:after="0" w:line="257"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10.</w:t>
        <w:tab/>
        <w:t>Grantee’s Acknowledgment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112" w:lineRule="exact"/>
        <w:rPr>
          <w:sz w:val="20"/>
          <w:szCs w:val="20"/>
          <w:color w:val="auto"/>
        </w:rPr>
      </w:pPr>
    </w:p>
    <w:p>
      <w:pPr>
        <w:ind w:left="1300" w:right="20" w:hanging="644"/>
        <w:spacing w:after="0" w:line="272" w:lineRule="auto"/>
        <w:tabs>
          <w:tab w:leader="none" w:pos="113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47" w:lineRule="exact"/>
        <w:rPr>
          <w:rFonts w:ascii="Arial" w:cs="Arial" w:eastAsia="Arial" w:hAnsi="Arial"/>
          <w:sz w:val="22"/>
          <w:szCs w:val="22"/>
          <w:color w:val="auto"/>
        </w:rPr>
      </w:pPr>
    </w:p>
    <w:p>
      <w:pPr>
        <w:ind w:left="1300" w:hanging="644"/>
        <w:spacing w:after="0" w:line="264" w:lineRule="auto"/>
        <w:tabs>
          <w:tab w:leader="none" w:pos="11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56" w:lineRule="exact"/>
        <w:rPr>
          <w:rFonts w:ascii="Arial" w:cs="Arial" w:eastAsia="Arial" w:hAnsi="Arial"/>
          <w:sz w:val="22"/>
          <w:szCs w:val="22"/>
          <w:color w:val="auto"/>
        </w:rPr>
      </w:pPr>
    </w:p>
    <w:p>
      <w:pPr>
        <w:ind w:left="1300" w:hanging="644"/>
        <w:spacing w:after="0" w:line="272" w:lineRule="auto"/>
        <w:tabs>
          <w:tab w:leader="none" w:pos="1101"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47" w:lineRule="exact"/>
        <w:rPr>
          <w:rFonts w:ascii="Arial" w:cs="Arial" w:eastAsia="Arial" w:hAnsi="Arial"/>
          <w:sz w:val="22"/>
          <w:szCs w:val="22"/>
          <w:color w:val="auto"/>
        </w:rPr>
      </w:pPr>
    </w:p>
    <w:p>
      <w:pPr>
        <w:ind w:left="1080" w:hanging="424"/>
        <w:spacing w:after="0"/>
        <w:tabs>
          <w:tab w:leader="none" w:pos="10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25" w:lineRule="exact"/>
        <w:rPr>
          <w:rFonts w:ascii="Arial" w:cs="Arial" w:eastAsia="Arial" w:hAnsi="Arial"/>
          <w:sz w:val="22"/>
          <w:szCs w:val="22"/>
          <w:color w:val="auto"/>
        </w:rPr>
      </w:pPr>
    </w:p>
    <w:p>
      <w:pPr>
        <w:ind w:left="1080" w:hanging="424"/>
        <w:spacing w:after="0"/>
        <w:tabs>
          <w:tab w:leader="none" w:pos="10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111" w:lineRule="exact"/>
        <w:rPr>
          <w:rFonts w:ascii="Arial" w:cs="Arial" w:eastAsia="Arial" w:hAnsi="Arial"/>
          <w:sz w:val="22"/>
          <w:szCs w:val="22"/>
          <w:color w:val="auto"/>
        </w:rPr>
      </w:pPr>
    </w:p>
    <w:p>
      <w:pPr>
        <w:ind w:left="1300" w:hanging="644"/>
        <w:spacing w:after="0" w:line="253" w:lineRule="auto"/>
        <w:tabs>
          <w:tab w:leader="none" w:pos="109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80" w:lineRule="exact"/>
        <w:rPr>
          <w:rFonts w:ascii="Arial" w:cs="Arial" w:eastAsia="Arial" w:hAnsi="Arial"/>
          <w:sz w:val="22"/>
          <w:szCs w:val="22"/>
          <w:color w:val="auto"/>
        </w:rPr>
      </w:pPr>
    </w:p>
    <w:p>
      <w:pPr>
        <w:ind w:left="1300" w:hanging="644"/>
        <w:spacing w:after="0" w:line="272" w:lineRule="auto"/>
        <w:tabs>
          <w:tab w:leader="none" w:pos="1082"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126" w:right="3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644"/>
        <w:spacing w:after="0" w:line="268" w:lineRule="auto"/>
        <w:tabs>
          <w:tab w:leader="none" w:pos="1082" w:val="left"/>
        </w:tabs>
        <w:numPr>
          <w:ilvl w:val="0"/>
          <w:numId w:val="92"/>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55" w:lineRule="exact"/>
        <w:rPr>
          <w:rFonts w:ascii="Arial" w:cs="Arial" w:eastAsia="Arial" w:hAnsi="Arial"/>
          <w:sz w:val="21"/>
          <w:szCs w:val="21"/>
          <w:color w:val="auto"/>
        </w:rPr>
      </w:pPr>
    </w:p>
    <w:p>
      <w:pPr>
        <w:ind w:left="1300" w:right="20" w:hanging="644"/>
        <w:spacing w:after="0" w:line="285" w:lineRule="auto"/>
        <w:tabs>
          <w:tab w:leader="none" w:pos="10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33" w:lineRule="exact"/>
        <w:rPr>
          <w:rFonts w:ascii="Arial" w:cs="Arial" w:eastAsia="Arial" w:hAnsi="Arial"/>
          <w:sz w:val="22"/>
          <w:szCs w:val="22"/>
          <w:color w:val="auto"/>
        </w:rPr>
      </w:pPr>
    </w:p>
    <w:p>
      <w:pPr>
        <w:ind w:left="1300" w:hanging="644"/>
        <w:spacing w:after="0" w:line="249" w:lineRule="auto"/>
        <w:tabs>
          <w:tab w:leader="none" w:pos="1011"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15 of this Agreement or required by law, (ii) the application of any of the remedies described in Section 12(b) of this Agreement, or (iii)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73" w:lineRule="exact"/>
        <w:rPr>
          <w:rFonts w:ascii="Arial" w:cs="Arial" w:eastAsia="Arial" w:hAnsi="Arial"/>
          <w:sz w:val="22"/>
          <w:szCs w:val="22"/>
          <w:color w:val="auto"/>
        </w:rPr>
      </w:pPr>
    </w:p>
    <w:p>
      <w:pPr>
        <w:ind w:left="1300" w:hanging="644"/>
        <w:spacing w:after="0" w:line="248" w:lineRule="auto"/>
        <w:tabs>
          <w:tab w:leader="none" w:pos="1111" w:val="left"/>
        </w:tabs>
        <w:numPr>
          <w:ilvl w:val="0"/>
          <w:numId w:val="92"/>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84" w:lineRule="exact"/>
        <w:rPr>
          <w:rFonts w:ascii="Arial" w:cs="Arial" w:eastAsia="Arial" w:hAnsi="Arial"/>
          <w:sz w:val="22"/>
          <w:szCs w:val="22"/>
          <w:color w:val="auto"/>
        </w:rPr>
      </w:pPr>
    </w:p>
    <w:p>
      <w:pPr>
        <w:ind w:left="1300" w:hanging="644"/>
        <w:spacing w:after="0" w:line="250" w:lineRule="auto"/>
        <w:tabs>
          <w:tab w:leader="none" w:pos="1090" w:val="left"/>
        </w:tabs>
        <w:numPr>
          <w:ilvl w:val="0"/>
          <w:numId w:val="92"/>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 other amounts that may be acquired pursuant to this Award;</w:t>
      </w:r>
    </w:p>
    <w:p>
      <w:pPr>
        <w:spacing w:after="0" w:line="86" w:lineRule="exact"/>
        <w:rPr>
          <w:rFonts w:ascii="Arial" w:cs="Arial" w:eastAsia="Arial" w:hAnsi="Arial"/>
          <w:sz w:val="22"/>
          <w:szCs w:val="22"/>
          <w:color w:val="auto"/>
        </w:rPr>
      </w:pPr>
    </w:p>
    <w:p>
      <w:pPr>
        <w:ind w:left="1300" w:hanging="644"/>
        <w:spacing w:after="0" w:line="257" w:lineRule="auto"/>
        <w:tabs>
          <w:tab w:leader="none" w:pos="116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126"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644"/>
        <w:spacing w:after="0" w:line="272" w:lineRule="auto"/>
        <w:tabs>
          <w:tab w:leader="none" w:pos="109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47" w:lineRule="exact"/>
        <w:rPr>
          <w:rFonts w:ascii="Arial" w:cs="Arial" w:eastAsia="Arial" w:hAnsi="Arial"/>
          <w:sz w:val="22"/>
          <w:szCs w:val="22"/>
          <w:color w:val="auto"/>
        </w:rPr>
      </w:pPr>
    </w:p>
    <w:p>
      <w:pPr>
        <w:jc w:val="both"/>
        <w:ind w:left="1300" w:hanging="644"/>
        <w:spacing w:after="0" w:line="253" w:lineRule="auto"/>
        <w:tabs>
          <w:tab w:leader="none" w:pos="12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174"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11.</w:t>
        <w:tab/>
        <w:t>Data Privacy</w:t>
      </w:r>
    </w:p>
    <w:p>
      <w:pPr>
        <w:spacing w:after="0" w:line="132" w:lineRule="exact"/>
        <w:rPr>
          <w:sz w:val="20"/>
          <w:szCs w:val="20"/>
          <w:color w:val="auto"/>
        </w:rPr>
      </w:pPr>
    </w:p>
    <w:p>
      <w:pPr>
        <w:jc w:val="both"/>
        <w:ind w:left="1300" w:hanging="644"/>
        <w:spacing w:after="0" w:line="248" w:lineRule="auto"/>
        <w:tabs>
          <w:tab w:leader="none" w:pos="1248" w:val="left"/>
        </w:tabs>
        <w:numPr>
          <w:ilvl w:val="0"/>
          <w:numId w:val="94"/>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76" w:lineRule="exact"/>
        <w:rPr>
          <w:rFonts w:ascii="Arial" w:cs="Arial" w:eastAsia="Arial" w:hAnsi="Arial"/>
          <w:sz w:val="22"/>
          <w:szCs w:val="22"/>
          <w:i w:val="1"/>
          <w:iCs w:val="1"/>
          <w:color w:val="auto"/>
        </w:rPr>
      </w:pPr>
    </w:p>
    <w:p>
      <w:pPr>
        <w:ind w:left="1300" w:hanging="644"/>
        <w:spacing w:after="0" w:line="262" w:lineRule="auto"/>
        <w:tabs>
          <w:tab w:leader="none" w:pos="1086" w:val="left"/>
        </w:tabs>
        <w:numPr>
          <w:ilvl w:val="0"/>
          <w:numId w:val="94"/>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63" w:lineRule="exact"/>
        <w:rPr>
          <w:rFonts w:ascii="Arial" w:cs="Arial" w:eastAsia="Arial" w:hAnsi="Arial"/>
          <w:sz w:val="21"/>
          <w:szCs w:val="21"/>
          <w:i w:val="1"/>
          <w:iCs w:val="1"/>
          <w:color w:val="auto"/>
        </w:rPr>
      </w:pPr>
    </w:p>
    <w:p>
      <w:pPr>
        <w:ind w:left="1300" w:hanging="644"/>
        <w:spacing w:after="0" w:line="275" w:lineRule="auto"/>
        <w:tabs>
          <w:tab w:leader="none" w:pos="1087" w:val="left"/>
        </w:tabs>
        <w:numPr>
          <w:ilvl w:val="0"/>
          <w:numId w:val="94"/>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126" w:right="3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644"/>
        <w:spacing w:after="0" w:line="257" w:lineRule="auto"/>
        <w:tabs>
          <w:tab w:leader="none" w:pos="1180" w:val="left"/>
        </w:tabs>
        <w:numPr>
          <w:ilvl w:val="0"/>
          <w:numId w:val="9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64" w:lineRule="exact"/>
        <w:rPr>
          <w:rFonts w:ascii="Arial" w:cs="Arial" w:eastAsia="Arial" w:hAnsi="Arial"/>
          <w:sz w:val="22"/>
          <w:szCs w:val="22"/>
          <w:i w:val="1"/>
          <w:iCs w:val="1"/>
          <w:color w:val="auto"/>
        </w:rPr>
      </w:pPr>
    </w:p>
    <w:p>
      <w:pPr>
        <w:ind w:left="1300" w:hanging="644"/>
        <w:spacing w:after="0" w:line="251" w:lineRule="auto"/>
        <w:tabs>
          <w:tab w:leader="none" w:pos="1126" w:val="left"/>
        </w:tabs>
        <w:numPr>
          <w:ilvl w:val="0"/>
          <w:numId w:val="9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73" w:lineRule="exact"/>
        <w:rPr>
          <w:rFonts w:ascii="Arial" w:cs="Arial" w:eastAsia="Arial" w:hAnsi="Arial"/>
          <w:sz w:val="22"/>
          <w:szCs w:val="22"/>
          <w:i w:val="1"/>
          <w:iCs w:val="1"/>
          <w:color w:val="auto"/>
        </w:rPr>
      </w:pPr>
    </w:p>
    <w:p>
      <w:pPr>
        <w:ind w:left="1300" w:hanging="644"/>
        <w:spacing w:after="0" w:line="247" w:lineRule="auto"/>
        <w:tabs>
          <w:tab w:leader="none" w:pos="1080" w:val="left"/>
        </w:tabs>
        <w:numPr>
          <w:ilvl w:val="0"/>
          <w:numId w:val="9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96" w:lineRule="exact"/>
        <w:rPr>
          <w:rFonts w:ascii="Arial" w:cs="Arial" w:eastAsia="Arial" w:hAnsi="Arial"/>
          <w:sz w:val="22"/>
          <w:szCs w:val="22"/>
          <w:i w:val="1"/>
          <w:iCs w:val="1"/>
          <w:color w:val="auto"/>
        </w:rPr>
      </w:pPr>
    </w:p>
    <w:p>
      <w:pPr>
        <w:jc w:val="both"/>
        <w:ind w:left="1300" w:hanging="644"/>
        <w:spacing w:after="0" w:line="249" w:lineRule="auto"/>
        <w:tabs>
          <w:tab w:leader="none" w:pos="1275" w:val="left"/>
        </w:tabs>
        <w:numPr>
          <w:ilvl w:val="0"/>
          <w:numId w:val="9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89"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12.</w:t>
        <w:tab/>
        <w:t>Restrictive Covenants, Remedies, and Additional Terms and Conditions</w:t>
      </w:r>
    </w:p>
    <w:p>
      <w:pPr>
        <w:spacing w:after="0" w:line="64" w:lineRule="exact"/>
        <w:rPr>
          <w:sz w:val="20"/>
          <w:szCs w:val="20"/>
          <w:color w:val="auto"/>
        </w:rPr>
      </w:pPr>
    </w:p>
    <w:p>
      <w:pPr>
        <w:ind w:left="1300" w:hanging="644"/>
        <w:spacing w:after="0" w:line="264" w:lineRule="auto"/>
        <w:tabs>
          <w:tab w:leader="none" w:pos="122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127"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57" w:lineRule="auto"/>
        <w:rPr>
          <w:sz w:val="20"/>
          <w:szCs w:val="20"/>
          <w:color w:val="auto"/>
        </w:rPr>
      </w:pPr>
      <w:r>
        <w:rPr>
          <w:rFonts w:ascii="Arial" w:cs="Arial" w:eastAsia="Arial" w:hAnsi="Arial"/>
          <w:sz w:val="22"/>
          <w:szCs w:val="22"/>
          <w:color w:val="auto"/>
        </w:rPr>
        <w:t>information concerning (“Covered Affiliate”) and for twelve (12) months immediately following the end of the Grantee’s employment (regardless of reason) (the “Restricted Period”), the Grantee will not directly or indirectly, on a worldwide basis, engage in any of the following activities:</w:t>
      </w:r>
    </w:p>
    <w:p>
      <w:pPr>
        <w:spacing w:after="0" w:line="65" w:lineRule="exact"/>
        <w:rPr>
          <w:sz w:val="20"/>
          <w:szCs w:val="20"/>
          <w:color w:val="auto"/>
        </w:rPr>
      </w:pPr>
    </w:p>
    <w:p>
      <w:pPr>
        <w:jc w:val="both"/>
        <w:ind w:left="1960" w:hanging="332"/>
        <w:spacing w:after="0" w:line="265" w:lineRule="auto"/>
        <w:tabs>
          <w:tab w:leader="none" w:pos="2004" w:val="left"/>
        </w:tabs>
        <w:numPr>
          <w:ilvl w:val="0"/>
          <w:numId w:val="97"/>
        </w:numPr>
        <w:rPr>
          <w:rFonts w:ascii="Arial" w:cs="Arial" w:eastAsia="Arial" w:hAnsi="Arial"/>
          <w:sz w:val="21"/>
          <w:szCs w:val="21"/>
          <w:color w:val="auto"/>
        </w:rPr>
      </w:pPr>
      <w:r>
        <w:rPr>
          <w:rFonts w:ascii="Arial" w:cs="Arial" w:eastAsia="Arial" w:hAnsi="Arial"/>
          <w:sz w:val="21"/>
          <w:szCs w:val="21"/>
          <w:color w:val="auto"/>
        </w:rPr>
        <w:t>Work for, advise, manage, act as an agent, employee or consultant for, or otherwise provide any services, in each case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plans or proposes to compete with Lilly or a Covered Affiliate.</w:t>
      </w:r>
    </w:p>
    <w:p>
      <w:pPr>
        <w:spacing w:after="0" w:line="60" w:lineRule="exact"/>
        <w:rPr>
          <w:rFonts w:ascii="Arial" w:cs="Arial" w:eastAsia="Arial" w:hAnsi="Arial"/>
          <w:sz w:val="21"/>
          <w:szCs w:val="21"/>
          <w:color w:val="auto"/>
        </w:rPr>
      </w:pPr>
    </w:p>
    <w:p>
      <w:pPr>
        <w:jc w:val="both"/>
        <w:ind w:left="1960" w:hanging="332"/>
        <w:spacing w:after="0" w:line="251" w:lineRule="auto"/>
        <w:tabs>
          <w:tab w:leader="none" w:pos="2151" w:val="left"/>
        </w:tabs>
        <w:numPr>
          <w:ilvl w:val="0"/>
          <w:numId w:val="97"/>
        </w:numPr>
        <w:rPr>
          <w:rFonts w:ascii="Arial" w:cs="Arial" w:eastAsia="Arial" w:hAnsi="Arial"/>
          <w:sz w:val="22"/>
          <w:szCs w:val="22"/>
          <w:color w:val="auto"/>
        </w:rPr>
      </w:pPr>
      <w:r>
        <w:rPr>
          <w:rFonts w:ascii="Arial" w:cs="Arial" w:eastAsia="Arial" w:hAnsi="Arial"/>
          <w:sz w:val="22"/>
          <w:szCs w:val="22"/>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to adversely modify any such person's business with, or representation of, Lilly or a Covered Affiliate.</w:t>
      </w:r>
    </w:p>
    <w:p>
      <w:pPr>
        <w:spacing w:after="0" w:line="71" w:lineRule="exact"/>
        <w:rPr>
          <w:sz w:val="20"/>
          <w:szCs w:val="20"/>
          <w:color w:val="auto"/>
        </w:rPr>
      </w:pPr>
    </w:p>
    <w:p>
      <w:pPr>
        <w:jc w:val="both"/>
        <w:ind w:left="1300"/>
        <w:spacing w:after="0" w:line="272"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48"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or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production, sale, or distribution of any product or service competitive with or substantially similar to any product or service in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127"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development or design, or manufactured, produced, sold, or distributed by Lilly or a Covered Affiliate.</w:t>
      </w:r>
    </w:p>
    <w:p>
      <w:pPr>
        <w:spacing w:after="0" w:line="112"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The Grantee and Lilly acknowledge and agree that Lilly and the Covered Affiliates conduct business throughout the world and the worldwide geographic scope of the foregoing covenants is reasonable and necessary given, among other things, that: (a) absent such restrictions, the Grantee could utilize Lilly’s (or its Covered Affiliates’) trade secrets and/or confidential information and compete with Lilly or its Covered Affiliates from virtually anywhere; and (b) such scope is the only way for Lilly and its Affiliates to adequately protect their trade secrets and confidential information. In the event the Grantee violates any of the restrictive covenants contained herein, the Restricted Period for the violated restrictive covenants will automatically be extended by the length of time during which the Grantee was in violation of such restrictive covenants.</w:t>
      </w:r>
    </w:p>
    <w:p>
      <w:pPr>
        <w:spacing w:after="0" w:line="91"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 provided access to and will become intimately familiar with trade secrets and confidential information key to Lilly’s (and Covered Affiliate’s) unique competitive advantage. The Grantee also acknowledges and agrees that Lilly’s (and Covered Affiliate’s) trade secrets and confidential information will retain continuing vitality throughout and beyond the Restricted Period. And the Grantee acknowledges and agrees that, should the Grantee’s employment with Lilly or Covered Affiliate end for any reason and, during the Restricted Period, the Grantee works in a Competitively-Sensitive Capacity with another person or entity that engages in business activities competitive with or substantially similar to those of Lilly and/or Covered Affiliate, it would be highly likely, if not inevitable, that the Grantee would rely on trade secrets and/or confidential information of Lilly and/or Covered Affiliate in the course of the Grantee’s work, either consciously or subconsciously, thereby irreparably harming Lilly and any Covered Affiliates. For these and other reasons, the Grantee agrees that the restrictions above are necessary to protect Lilly’s and its Covered Affiliate’s legitimate business interests, and do so by creating a specific amount of time after the Grantee’s employment ends during which the Grantee will not be able to engage or prepare to engage in the activities restricted in this Award Agreement.</w:t>
      </w:r>
    </w:p>
    <w:p>
      <w:pPr>
        <w:spacing w:after="0" w:line="104"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The Grantee and Lilly further acknowledge and agree that if any particular covenant or provision is determined by a court to be unreasonable or unenforceable in any respect, including, without limitation, the time period, geographic area, and/or scope of activity covered by any restrictive covenant, such covenant or provision will be reformed or modified so that such covenant or provision will have the closest effect permitted by applicable law to the original form and will be given effect and enforced as so reformed or modified, or, if such reformation or modification is not possible, such covenant or provision will be removed from this Agreement. In either case, this Agreement shall be interpreted, even if reformed or modified, to achieve the full intent expressed, and the other provisions of this Agreement will remain in force and unmodified and will be enforced as written. Any court interpreting any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15</w:t>
      </w:r>
    </w:p>
    <w:p>
      <w:pPr>
        <w:sectPr>
          <w:pgSz w:w="11900" w:h="16838" w:orient="portrait"/>
          <w:cols w:equalWidth="0" w:num="1">
            <w:col w:w="11240"/>
          </w:cols>
          <w:pgMar w:left="320" w:top="127"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72" w:lineRule="auto"/>
        <w:rPr>
          <w:sz w:val="20"/>
          <w:szCs w:val="20"/>
          <w:color w:val="auto"/>
        </w:rPr>
      </w:pPr>
      <w:r>
        <w:rPr>
          <w:rFonts w:ascii="Arial" w:cs="Arial" w:eastAsia="Arial" w:hAnsi="Arial"/>
          <w:sz w:val="22"/>
          <w:szCs w:val="22"/>
          <w:color w:val="auto"/>
        </w:rPr>
        <w:t>covenant provision of this Award Agreement will, if necessary, reform or modify any such provision to make it enforceable under applicable law.</w:t>
      </w:r>
    </w:p>
    <w:p>
      <w:pPr>
        <w:spacing w:after="0" w:line="48"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Non-Compete Payment Agreement entered into between Grantee and Lilly, each of which remains in full force and effect, or that the Grantee agrees to in the future.</w:t>
      </w:r>
    </w:p>
    <w:p>
      <w:pPr>
        <w:spacing w:after="0" w:line="72"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73" w:lineRule="exact"/>
        <w:rPr>
          <w:sz w:val="20"/>
          <w:szCs w:val="20"/>
          <w:color w:val="auto"/>
        </w:rPr>
      </w:pPr>
    </w:p>
    <w:p>
      <w:pPr>
        <w:ind w:left="1300" w:hanging="644"/>
        <w:spacing w:after="0" w:line="252" w:lineRule="auto"/>
        <w:tabs>
          <w:tab w:leader="none" w:pos="118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any right to continue to be eligible to vest or receive a payment under the Award; and (iii) the foregoing remedies set forth in this Section 12 shall not be Lilly’s exclusive remedies. Lilly and its Covered Affiliates reserve all other rights and remedies available at law or in equity.</w:t>
      </w:r>
    </w:p>
    <w:p>
      <w:pPr>
        <w:spacing w:after="0" w:line="71" w:lineRule="exact"/>
        <w:rPr>
          <w:rFonts w:ascii="Arial" w:cs="Arial" w:eastAsia="Arial" w:hAnsi="Arial"/>
          <w:sz w:val="22"/>
          <w:szCs w:val="22"/>
          <w:color w:val="auto"/>
        </w:rPr>
      </w:pPr>
    </w:p>
    <w:p>
      <w:pPr>
        <w:ind w:left="1300" w:hanging="644"/>
        <w:spacing w:after="0" w:line="251" w:lineRule="auto"/>
        <w:tabs>
          <w:tab w:leader="none" w:pos="111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73" w:lineRule="exact"/>
        <w:rPr>
          <w:rFonts w:ascii="Arial" w:cs="Arial" w:eastAsia="Arial" w:hAnsi="Arial"/>
          <w:sz w:val="22"/>
          <w:szCs w:val="22"/>
          <w:color w:val="auto"/>
        </w:rPr>
      </w:pPr>
    </w:p>
    <w:p>
      <w:pPr>
        <w:ind w:left="1300" w:hanging="644"/>
        <w:spacing w:after="0" w:line="249" w:lineRule="auto"/>
        <w:tabs>
          <w:tab w:leader="none" w:pos="114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the Relative Value Award) under the Plan during such times as the Grantee is considered to have “inside information” regarding the Company (as determined under the laws or regulations in the applicable jurisdictions). Any restrictions under these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16</w:t>
      </w:r>
    </w:p>
    <w:p>
      <w:pPr>
        <w:sectPr>
          <w:pgSz w:w="11900" w:h="16838" w:orient="portrait"/>
          <w:cols w:equalWidth="0" w:num="1">
            <w:col w:w="11240"/>
          </w:cols>
          <w:pgMar w:left="320" w:top="127"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67" w:lineRule="exact"/>
        <w:rPr>
          <w:sz w:val="20"/>
          <w:szCs w:val="20"/>
          <w:color w:val="auto"/>
        </w:rPr>
      </w:pPr>
    </w:p>
    <w:p>
      <w:pPr>
        <w:ind w:left="1300" w:hanging="644"/>
        <w:spacing w:after="0" w:line="250" w:lineRule="auto"/>
        <w:tabs>
          <w:tab w:leader="none" w:pos="1113"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5"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13.</w:t>
        <w:tab/>
        <w:t>Governing Law and Choice of Venue</w:t>
      </w:r>
    </w:p>
    <w:p>
      <w:pPr>
        <w:spacing w:after="0" w:line="132" w:lineRule="exact"/>
        <w:rPr>
          <w:sz w:val="20"/>
          <w:szCs w:val="20"/>
          <w:color w:val="auto"/>
        </w:rPr>
      </w:pPr>
    </w:p>
    <w:p>
      <w:pPr>
        <w:jc w:val="both"/>
        <w:ind w:left="400"/>
        <w:spacing w:after="0" w:line="249"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14.</w:t>
        <w:tab/>
        <w:t>Miscellaneous Provisions</w:t>
      </w:r>
    </w:p>
    <w:p>
      <w:pPr>
        <w:spacing w:after="0" w:line="132" w:lineRule="exact"/>
        <w:rPr>
          <w:sz w:val="20"/>
          <w:szCs w:val="20"/>
          <w:color w:val="auto"/>
        </w:rPr>
      </w:pPr>
    </w:p>
    <w:p>
      <w:pPr>
        <w:ind w:left="1300" w:hanging="644"/>
        <w:spacing w:after="0" w:line="261" w:lineRule="auto"/>
        <w:tabs>
          <w:tab w:leader="none" w:pos="1167"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17</w:t>
      </w:r>
    </w:p>
    <w:p>
      <w:pPr>
        <w:sectPr>
          <w:pgSz w:w="11900" w:h="16838" w:orient="portrait"/>
          <w:cols w:equalWidth="0" w:num="1">
            <w:col w:w="11240"/>
          </w:cols>
          <w:pgMar w:left="320" w:top="127"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300" w:hanging="644"/>
        <w:spacing w:after="0" w:line="251" w:lineRule="auto"/>
        <w:tabs>
          <w:tab w:leader="none" w:pos="124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6" w:lineRule="exact"/>
        <w:rPr>
          <w:rFonts w:ascii="Arial" w:cs="Arial" w:eastAsia="Arial" w:hAnsi="Arial"/>
          <w:sz w:val="22"/>
          <w:szCs w:val="22"/>
          <w:color w:val="auto"/>
        </w:rPr>
      </w:pPr>
    </w:p>
    <w:p>
      <w:pPr>
        <w:ind w:left="1300" w:hanging="644"/>
        <w:spacing w:after="0" w:line="258" w:lineRule="auto"/>
        <w:tabs>
          <w:tab w:leader="none" w:pos="1121" w:val="left"/>
        </w:tabs>
        <w:numPr>
          <w:ilvl w:val="0"/>
          <w:numId w:val="101"/>
        </w:numPr>
        <w:rPr>
          <w:rFonts w:ascii="Arial" w:cs="Arial" w:eastAsia="Arial" w:hAnsi="Arial"/>
          <w:sz w:val="23"/>
          <w:szCs w:val="23"/>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76" w:lineRule="exact"/>
        <w:rPr>
          <w:rFonts w:ascii="Arial" w:cs="Arial" w:eastAsia="Arial" w:hAnsi="Arial"/>
          <w:sz w:val="23"/>
          <w:szCs w:val="23"/>
          <w:color w:val="auto"/>
        </w:rPr>
      </w:pPr>
    </w:p>
    <w:p>
      <w:pPr>
        <w:ind w:left="1300" w:hanging="644"/>
        <w:spacing w:after="0" w:line="250" w:lineRule="auto"/>
        <w:tabs>
          <w:tab w:leader="none" w:pos="1107" w:val="left"/>
        </w:tabs>
        <w:numPr>
          <w:ilvl w:val="0"/>
          <w:numId w:val="101"/>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74"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61" w:lineRule="exact"/>
        <w:rPr>
          <w:sz w:val="20"/>
          <w:szCs w:val="20"/>
          <w:color w:val="auto"/>
        </w:rPr>
      </w:pPr>
    </w:p>
    <w:p>
      <w:pPr>
        <w:ind w:left="1300" w:hanging="644"/>
        <w:spacing w:after="0" w:line="254" w:lineRule="auto"/>
        <w:tabs>
          <w:tab w:leader="none" w:pos="1120" w:val="left"/>
        </w:tabs>
        <w:numPr>
          <w:ilvl w:val="0"/>
          <w:numId w:val="102"/>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pacing w:after="0" w:line="170"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15.</w:t>
        <w:tab/>
        <w:t>Compensation Recovery</w:t>
      </w:r>
    </w:p>
    <w:p>
      <w:pPr>
        <w:spacing w:after="0" w:line="132" w:lineRule="exact"/>
        <w:rPr>
          <w:sz w:val="20"/>
          <w:szCs w:val="20"/>
          <w:color w:val="auto"/>
        </w:rPr>
      </w:pPr>
    </w:p>
    <w:p>
      <w:pPr>
        <w:ind w:left="1300" w:hanging="644"/>
        <w:spacing w:after="0" w:line="250" w:lineRule="auto"/>
        <w:tabs>
          <w:tab w:leader="none" w:pos="110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72" w:lineRule="exact"/>
        <w:rPr>
          <w:rFonts w:ascii="Arial" w:cs="Arial" w:eastAsia="Arial" w:hAnsi="Arial"/>
          <w:sz w:val="22"/>
          <w:szCs w:val="22"/>
          <w:color w:val="auto"/>
        </w:rPr>
      </w:pPr>
    </w:p>
    <w:p>
      <w:pPr>
        <w:ind w:left="1300" w:hanging="644"/>
        <w:spacing w:after="0" w:line="272" w:lineRule="auto"/>
        <w:tabs>
          <w:tab w:leader="none" w:pos="107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18</w:t>
      </w:r>
    </w:p>
    <w:p>
      <w:pPr>
        <w:sectPr>
          <w:pgSz w:w="11900" w:h="16838" w:orient="portrait"/>
          <w:cols w:equalWidth="0" w:num="1">
            <w:col w:w="11240"/>
          </w:cols>
          <w:pgMar w:left="320" w:top="127" w:right="3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Company reserves the right to and, in appropriate cases, will seek restitution of all or part of any Shares that have been issued or cash that has been paid pursuant to this Award if:</w:t>
      </w:r>
    </w:p>
    <w:p>
      <w:pPr>
        <w:spacing w:after="0" w:line="48" w:lineRule="exact"/>
        <w:rPr>
          <w:sz w:val="20"/>
          <w:szCs w:val="20"/>
          <w:color w:val="auto"/>
        </w:rPr>
      </w:pPr>
    </w:p>
    <w:p>
      <w:pPr>
        <w:jc w:val="both"/>
        <w:ind w:left="1960" w:hanging="332"/>
        <w:spacing w:after="0" w:line="250" w:lineRule="auto"/>
        <w:tabs>
          <w:tab w:leader="none" w:pos="203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2" w:lineRule="exact"/>
        <w:rPr>
          <w:rFonts w:ascii="Arial" w:cs="Arial" w:eastAsia="Arial" w:hAnsi="Arial"/>
          <w:sz w:val="22"/>
          <w:szCs w:val="22"/>
          <w:color w:val="auto"/>
        </w:rPr>
      </w:pPr>
    </w:p>
    <w:p>
      <w:pPr>
        <w:jc w:val="both"/>
        <w:ind w:left="1960" w:hanging="332"/>
        <w:spacing w:after="0" w:line="257" w:lineRule="auto"/>
        <w:tabs>
          <w:tab w:leader="none" w:pos="212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4" w:lineRule="exact"/>
        <w:rPr>
          <w:sz w:val="20"/>
          <w:szCs w:val="20"/>
          <w:color w:val="auto"/>
        </w:rPr>
      </w:pPr>
    </w:p>
    <w:p>
      <w:pPr>
        <w:jc w:val="both"/>
        <w:ind w:left="1300"/>
        <w:spacing w:after="0" w:line="262"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78" w:lineRule="exact"/>
        <w:rPr>
          <w:sz w:val="20"/>
          <w:szCs w:val="20"/>
          <w:color w:val="auto"/>
        </w:rPr>
      </w:pPr>
    </w:p>
    <w:p>
      <w:pPr>
        <w:ind w:left="1300" w:hanging="644"/>
        <w:spacing w:after="0" w:line="250" w:lineRule="auto"/>
        <w:tabs>
          <w:tab w:leader="none" w:pos="119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15.</w:t>
      </w:r>
    </w:p>
    <w:p>
      <w:pPr>
        <w:spacing w:after="0" w:line="86" w:lineRule="exact"/>
        <w:rPr>
          <w:rFonts w:ascii="Arial" w:cs="Arial" w:eastAsia="Arial" w:hAnsi="Arial"/>
          <w:sz w:val="22"/>
          <w:szCs w:val="22"/>
          <w:color w:val="auto"/>
        </w:rPr>
      </w:pPr>
    </w:p>
    <w:p>
      <w:pPr>
        <w:ind w:left="1300" w:hanging="644"/>
        <w:spacing w:after="0" w:line="257" w:lineRule="auto"/>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8"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16.</w:t>
        <w:tab/>
        <w:t>Award Subject to Acknowledgement of Acceptance</w:t>
      </w:r>
    </w:p>
    <w:p>
      <w:pPr>
        <w:spacing w:after="0" w:line="132" w:lineRule="exact"/>
        <w:rPr>
          <w:sz w:val="20"/>
          <w:szCs w:val="20"/>
          <w:color w:val="auto"/>
        </w:rPr>
      </w:pPr>
    </w:p>
    <w:p>
      <w:pPr>
        <w:jc w:val="both"/>
        <w:ind w:left="400"/>
        <w:spacing w:after="0" w:line="257"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19</w:t>
      </w:r>
    </w:p>
    <w:p>
      <w:pPr>
        <w:sectPr>
          <w:pgSz w:w="11900" w:h="16838" w:orient="portrait"/>
          <w:cols w:equalWidth="0" w:num="1">
            <w:col w:w="11240"/>
          </w:cols>
          <w:pgMar w:left="320" w:top="127" w:right="3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0"/>
        <w:spacing w:after="0" w:line="272" w:lineRule="auto"/>
        <w:rPr>
          <w:sz w:val="20"/>
          <w:szCs w:val="20"/>
          <w:color w:val="auto"/>
        </w:rPr>
      </w:pPr>
      <w:r>
        <w:rPr>
          <w:rFonts w:ascii="Arial" w:cs="Arial" w:eastAsia="Arial" w:hAnsi="Arial"/>
          <w:sz w:val="22"/>
          <w:szCs w:val="22"/>
          <w:color w:val="auto"/>
        </w:rPr>
        <w:t>acceptance of the Award on or before [•], the Award will be cancelled, subject to the Committee’s discretion for unforeseen circumstances.</w:t>
      </w:r>
    </w:p>
    <w:p>
      <w:pPr>
        <w:spacing w:after="0" w:line="200" w:lineRule="exact"/>
        <w:rPr>
          <w:sz w:val="20"/>
          <w:szCs w:val="20"/>
          <w:color w:val="auto"/>
        </w:rPr>
      </w:pPr>
    </w:p>
    <w:p>
      <w:pPr>
        <w:spacing w:after="0" w:line="226" w:lineRule="exact"/>
        <w:rPr>
          <w:sz w:val="20"/>
          <w:szCs w:val="20"/>
          <w:color w:val="auto"/>
        </w:rPr>
      </w:pPr>
    </w:p>
    <w:p>
      <w:pPr>
        <w:ind w:left="340"/>
        <w:spacing w:after="0" w:line="272"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8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20</w:t>
      </w:r>
    </w:p>
    <w:p>
      <w:pPr>
        <w:sectPr>
          <w:pgSz w:w="11900" w:h="16838" w:orient="portrait"/>
          <w:cols w:equalWidth="0" w:num="1">
            <w:col w:w="11240"/>
          </w:cols>
          <w:pgMar w:left="320" w:top="127"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Eli Lilly and Company Relative Value Award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40"/>
        <w:spacing w:after="0"/>
        <w:rPr>
          <w:sz w:val="20"/>
          <w:szCs w:val="20"/>
          <w:color w:val="auto"/>
        </w:rPr>
      </w:pPr>
      <w:r>
        <w:rPr>
          <w:rFonts w:ascii="Arial" w:cs="Arial" w:eastAsia="Arial" w:hAnsi="Arial"/>
          <w:sz w:val="32"/>
          <w:szCs w:val="32"/>
          <w:color w:val="auto"/>
        </w:rPr>
        <w:t>Appendix</w:t>
      </w:r>
    </w:p>
    <w:p>
      <w:pPr>
        <w:spacing w:after="0" w:line="253"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ind w:left="340" w:right="2360"/>
        <w:spacing w:after="0" w:line="264" w:lineRule="auto"/>
        <w:rPr>
          <w:sz w:val="20"/>
          <w:szCs w:val="20"/>
          <w:color w:val="auto"/>
        </w:rPr>
      </w:pPr>
      <w:r>
        <w:rPr>
          <w:rFonts w:ascii="Arial" w:cs="Arial" w:eastAsia="Arial" w:hAnsi="Arial"/>
          <w:sz w:val="32"/>
          <w:szCs w:val="32"/>
          <w:color w:val="auto"/>
        </w:rPr>
        <w:t>Amended and Restated 2002 Lilly Stock Plan Relative Value Award Agreement (for Executive Officers)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2"/>
          <w:szCs w:val="22"/>
          <w:i w:val="1"/>
          <w:iCs w:val="1"/>
          <w:color w:val="auto"/>
        </w:rPr>
        <w:t>For more information regarding such obligations, the Grantee should</w:t>
      </w:r>
      <w:r>
        <w:rPr>
          <w:rFonts w:ascii="Arial" w:cs="Arial" w:eastAsia="Arial" w:hAnsi="Arial"/>
          <w:sz w:val="22"/>
          <w:szCs w:val="22"/>
          <w:color w:val="auto"/>
        </w:rPr>
        <w:t xml:space="preserve"> </w:t>
      </w:r>
      <w:r>
        <w:rPr>
          <w:rFonts w:ascii="Arial" w:cs="Arial" w:eastAsia="Arial" w:hAnsi="Arial"/>
          <w:sz w:val="22"/>
          <w:szCs w:val="22"/>
          <w:i w:val="1"/>
          <w:iCs w:val="1"/>
          <w:color w:val="auto"/>
        </w:rPr>
        <w:t>refer to the Country-Specific Tax Supplement for the Grantee’s country, if any</w:t>
      </w:r>
      <w:r>
        <w:rPr>
          <w:rFonts w:ascii="Arial" w:cs="Arial" w:eastAsia="Arial" w:hAnsi="Arial"/>
          <w:sz w:val="22"/>
          <w:szCs w:val="22"/>
          <w:color w:val="auto"/>
        </w:rPr>
        <w:t>.</w:t>
      </w:r>
      <w:r>
        <w:rPr>
          <w:rFonts w:ascii="Arial" w:cs="Arial" w:eastAsia="Arial" w:hAnsi="Arial"/>
          <w:sz w:val="22"/>
          <w:szCs w:val="22"/>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21</w:t>
      </w:r>
    </w:p>
    <w:p>
      <w:pPr>
        <w:sectPr>
          <w:pgSz w:w="11900" w:h="16838" w:orient="portrait"/>
          <w:cols w:equalWidth="0" w:num="1">
            <w:col w:w="11240"/>
          </w:cols>
          <w:pgMar w:left="320" w:top="127" w:right="339" w:bottom="1440" w:gutter="0" w:footer="0" w:header="0"/>
        </w:sectPr>
      </w:pPr>
    </w:p>
    <w:bookmarkStart w:id="161" w:name="page162"/>
    <w:bookmarkEnd w:id="161"/>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Exhibit 10.5 Form of Restricted Stock Unit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Arial" w:cs="Arial" w:eastAsia="Arial" w:hAnsi="Arial"/>
          <w:sz w:val="43"/>
          <w:szCs w:val="43"/>
          <w:color w:val="auto"/>
        </w:rPr>
        <w:t>Eli Lilly and Company</w:t>
      </w:r>
    </w:p>
    <w:p>
      <w:pPr>
        <w:spacing w:after="0" w:line="61" w:lineRule="exact"/>
        <w:rPr>
          <w:sz w:val="20"/>
          <w:szCs w:val="20"/>
          <w:color w:val="auto"/>
        </w:rPr>
      </w:pPr>
    </w:p>
    <w:p>
      <w:pPr>
        <w:jc w:val="center"/>
        <w:ind w:right="-259"/>
        <w:spacing w:after="0"/>
        <w:rPr>
          <w:sz w:val="20"/>
          <w:szCs w:val="20"/>
          <w:color w:val="auto"/>
        </w:rPr>
      </w:pPr>
      <w:r>
        <w:rPr>
          <w:rFonts w:ascii="Arial" w:cs="Arial" w:eastAsia="Arial" w:hAnsi="Arial"/>
          <w:sz w:val="43"/>
          <w:szCs w:val="43"/>
          <w:color w:val="auto"/>
        </w:rPr>
        <w:t>Restricted Stock Unit Award Agreement</w:t>
      </w:r>
    </w:p>
    <w:p>
      <w:pPr>
        <w:spacing w:after="0" w:line="34" w:lineRule="exact"/>
        <w:rPr>
          <w:sz w:val="20"/>
          <w:szCs w:val="20"/>
          <w:color w:val="auto"/>
        </w:rPr>
      </w:pPr>
    </w:p>
    <w:p>
      <w:pPr>
        <w:jc w:val="center"/>
        <w:ind w:right="-259"/>
        <w:spacing w:after="0"/>
        <w:rPr>
          <w:sz w:val="20"/>
          <w:szCs w:val="20"/>
          <w:color w:val="auto"/>
        </w:rPr>
      </w:pPr>
      <w:r>
        <w:rPr>
          <w:rFonts w:ascii="Arial" w:cs="Arial" w:eastAsia="Arial" w:hAnsi="Arial"/>
          <w:sz w:val="40"/>
          <w:szCs w:val="40"/>
          <w:color w:val="auto"/>
        </w:rPr>
        <w:t>(for Executive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Restricted Stock Unit Award has been granted on [•] (“Grant Date”) by Eli Lilly and Company, an Indiana corporation, with its principal offices in Indianapolis, Indiana (“Lilly” or the “Company”), to the Eligible Individual who has received this Restricted Stock Unit Award Agreement (the “Grantee”).</w:t>
      </w:r>
    </w:p>
    <w:p>
      <w:pPr>
        <w:sectPr>
          <w:pgSz w:w="11900" w:h="16838" w:orient="portrait"/>
          <w:cols w:equalWidth="0" w:num="1">
            <w:col w:w="10980"/>
          </w:cols>
          <w:pgMar w:left="320" w:top="1440" w:right="59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Grantee: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6"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64"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64"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660"/>
        <w:spacing w:after="0"/>
        <w:rPr>
          <w:sz w:val="20"/>
          <w:szCs w:val="20"/>
          <w:color w:val="auto"/>
        </w:rPr>
      </w:pPr>
      <w:r>
        <w:rPr>
          <w:rFonts w:ascii="Arial" w:cs="Arial" w:eastAsia="Arial" w:hAnsi="Arial"/>
          <w:sz w:val="21"/>
          <w:szCs w:val="21"/>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73" w:lineRule="exact"/>
        <w:rPr>
          <w:sz w:val="20"/>
          <w:szCs w:val="20"/>
          <w:color w:val="auto"/>
        </w:rPr>
      </w:pPr>
    </w:p>
    <w:p>
      <w:pPr>
        <w:sectPr>
          <w:pgSz w:w="11900" w:h="16838" w:orient="portrait"/>
          <w:cols w:equalWidth="0" w:num="2">
            <w:col w:w="2760" w:space="720"/>
            <w:col w:w="7500"/>
          </w:cols>
          <w:pgMar w:left="320" w:top="1440" w:right="599" w:bottom="1440" w:gutter="0" w:footer="0" w:header="0"/>
          <w:type w:val="continuous"/>
        </w:sectPr>
      </w:pPr>
    </w:p>
    <w:p>
      <w:pPr>
        <w:ind w:left="3480"/>
        <w:spacing w:after="0"/>
        <w:rPr>
          <w:sz w:val="20"/>
          <w:szCs w:val="20"/>
          <w:color w:val="auto"/>
        </w:rPr>
      </w:pPr>
      <w:r>
        <w:rPr>
          <w:rFonts w:ascii="Arial" w:cs="Arial" w:eastAsia="Arial" w:hAnsi="Arial"/>
          <w:sz w:val="17"/>
          <w:szCs w:val="17"/>
          <w:b w:val="1"/>
          <w:bCs w:val="1"/>
          <w:color w:val="auto"/>
        </w:rPr>
        <w:t>(except as otherwise provided in this Restricted</w:t>
      </w:r>
    </w:p>
    <w:p>
      <w:pPr>
        <w:spacing w:after="0" w:line="3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Stock Unit Award Agreement)</w:t>
      </w:r>
    </w:p>
    <w:p>
      <w:pPr>
        <w:sectPr>
          <w:pgSz w:w="11900" w:h="16838" w:orient="portrait"/>
          <w:cols w:equalWidth="0" w:num="1">
            <w:col w:w="10980"/>
          </w:cols>
          <w:pgMar w:left="320" w:top="1440" w:right="59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40" w:type="dxa"/>
        <w:tblCellMar>
          <w:top w:w="0" w:type="dxa"/>
          <w:left w:w="0" w:type="dxa"/>
          <w:bottom w:w="0" w:type="dxa"/>
          <w:right w:w="0" w:type="dxa"/>
        </w:tblCellMar>
      </w:tblPr>
      <w:tr>
        <w:trPr>
          <w:trHeight w:val="381"/>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tcPr>
          <w:p>
            <w:pPr>
              <w:ind w:left="3400"/>
              <w:spacing w:after="0"/>
              <w:rPr>
                <w:sz w:val="20"/>
                <w:szCs w:val="20"/>
                <w:color w:val="auto"/>
              </w:rPr>
            </w:pPr>
            <w:r>
              <w:rPr>
                <w:rFonts w:ascii="Arial" w:cs="Arial" w:eastAsia="Arial" w:hAnsi="Arial"/>
                <w:sz w:val="29"/>
                <w:szCs w:val="29"/>
                <w:color w:val="auto"/>
              </w:rPr>
              <w:t>Table of Contents</w:t>
            </w:r>
          </w:p>
        </w:tc>
        <w:tc>
          <w:tcPr>
            <w:tcW w:w="2420" w:type="dxa"/>
            <w:vAlign w:val="bottom"/>
          </w:tcPr>
          <w:p>
            <w:pPr>
              <w:spacing w:after="0"/>
              <w:rPr>
                <w:sz w:val="24"/>
                <w:szCs w:val="24"/>
                <w:color w:val="auto"/>
              </w:rPr>
            </w:pPr>
          </w:p>
        </w:tc>
      </w:tr>
      <w:tr>
        <w:trPr>
          <w:trHeight w:val="497"/>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Grant of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40" w:type="dxa"/>
            <w:vAlign w:val="bottom"/>
          </w:tcPr>
          <w:p>
            <w:pPr>
              <w:spacing w:after="0"/>
              <w:rPr>
                <w:sz w:val="19"/>
                <w:szCs w:val="19"/>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w:t>
            </w:r>
          </w:p>
        </w:tc>
      </w:tr>
      <w:tr>
        <w:trPr>
          <w:trHeight w:val="22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Change in Control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4</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40" w:type="dxa"/>
            <w:vAlign w:val="bottom"/>
          </w:tcPr>
          <w:p>
            <w:pPr>
              <w:spacing w:after="0"/>
              <w:rPr>
                <w:sz w:val="19"/>
                <w:szCs w:val="19"/>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5</w:t>
            </w:r>
          </w:p>
        </w:tc>
      </w:tr>
      <w:tr>
        <w:trPr>
          <w:trHeight w:val="23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  Rights of the Grantee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6</w:t>
            </w:r>
          </w:p>
        </w:tc>
      </w:tr>
      <w:tr>
        <w:trPr>
          <w:trHeight w:val="22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6.  Prohibition Against Transfer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6</w:t>
            </w:r>
          </w:p>
        </w:tc>
      </w:tr>
      <w:tr>
        <w:trPr>
          <w:trHeight w:val="22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  Responsibility for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7</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409A Compliance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9</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40" w:type="dxa"/>
            <w:vAlign w:val="bottom"/>
          </w:tcPr>
          <w:p>
            <w:pPr>
              <w:spacing w:after="0"/>
              <w:rPr>
                <w:sz w:val="19"/>
                <w:szCs w:val="19"/>
                <w:color w:val="auto"/>
              </w:rPr>
            </w:pP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Grantee’s Acknowledgement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9</w:t>
            </w:r>
          </w:p>
        </w:tc>
      </w:tr>
      <w:tr>
        <w:trPr>
          <w:trHeight w:val="23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 Privacy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11</w:t>
            </w:r>
          </w:p>
        </w:tc>
      </w:tr>
      <w:tr>
        <w:trPr>
          <w:trHeight w:val="22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  Restrictive Covenants, Remedies, and Additional Terms and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13</w:t>
            </w:r>
          </w:p>
        </w:tc>
      </w:tr>
      <w:tr>
        <w:trPr>
          <w:trHeight w:val="22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Governing Law and Choice of Venue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17</w:t>
            </w:r>
          </w:p>
        </w:tc>
      </w:tr>
      <w:tr>
        <w:trPr>
          <w:trHeight w:val="23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17</w:t>
            </w:r>
          </w:p>
        </w:tc>
      </w:tr>
      <w:tr>
        <w:trPr>
          <w:trHeight w:val="22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Recovery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18</w:t>
            </w: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Subject to Acknowledgement of Acceptance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020"/>
          </w:cols>
          <w:pgMar w:left="320" w:top="127" w:right="55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25"/>
          <w:szCs w:val="25"/>
          <w:color w:val="auto"/>
        </w:rPr>
        <w:t>Grant of Restricted Stock Units</w:t>
      </w:r>
    </w:p>
    <w:p>
      <w:pPr>
        <w:spacing w:after="0" w:line="235" w:lineRule="exact"/>
        <w:rPr>
          <w:sz w:val="20"/>
          <w:szCs w:val="20"/>
          <w:color w:val="auto"/>
        </w:rPr>
      </w:pPr>
    </w:p>
    <w:p>
      <w:pPr>
        <w:jc w:val="both"/>
        <w:ind w:left="500"/>
        <w:spacing w:after="0" w:line="253" w:lineRule="auto"/>
        <w:rPr>
          <w:sz w:val="20"/>
          <w:szCs w:val="20"/>
          <w:color w:val="auto"/>
        </w:rPr>
      </w:pPr>
      <w:r>
        <w:rPr>
          <w:rFonts w:ascii="Arial" w:cs="Arial" w:eastAsia="Arial" w:hAnsi="Arial"/>
          <w:sz w:val="22"/>
          <w:szCs w:val="22"/>
          <w:color w:val="auto"/>
        </w:rPr>
        <w:t>Eli Lilly and Company, an Indiana corporation (“Lilly” or the “Company”), has granted to the Eligible Individual who has received this Restricted Stock Unit Award Agreement (the “Grantee”) an award of restricted stock units (the “Restricted Stock Units” or the “Award”) with respect to the number of shares of Lilly Common Stock (the “Shares”) that the Grantee may view by logging on to the Company’s stock plan administrator’s website at http://mystock.lilly.com.</w:t>
      </w:r>
    </w:p>
    <w:p>
      <w:pPr>
        <w:spacing w:after="0" w:line="179"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Restricted Stock Unit Award Agreement, including all appendices, exhibits and addenda hereto (the “Award Agreement”). In the event of any conflict between the terms of the Plan and this Award Agreement, the terms of the Plan shall govern except with respect to the provisions described in Section 11 below (in which case, the terms of the Award Agreement shall govern).</w:t>
      </w:r>
    </w:p>
    <w:p>
      <w:pPr>
        <w:spacing w:after="0" w:line="181" w:lineRule="exact"/>
        <w:rPr>
          <w:sz w:val="20"/>
          <w:szCs w:val="20"/>
          <w:color w:val="auto"/>
        </w:rPr>
      </w:pPr>
    </w:p>
    <w:p>
      <w:pPr>
        <w:jc w:val="both"/>
        <w:ind w:left="500"/>
        <w:spacing w:after="0" w:line="28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3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132" w:lineRule="exact"/>
        <w:rPr>
          <w:sz w:val="20"/>
          <w:szCs w:val="20"/>
          <w:color w:val="auto"/>
        </w:rPr>
      </w:pPr>
    </w:p>
    <w:p>
      <w:pPr>
        <w:ind w:left="1300" w:hanging="644"/>
        <w:spacing w:after="0" w:line="272" w:lineRule="auto"/>
        <w:tabs>
          <w:tab w:leader="none" w:pos="122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For purposes of the vesting provisions set forth in Section 2 of this Award Agreement, the following definitions will apply:</w:t>
      </w:r>
    </w:p>
    <w:p>
      <w:pPr>
        <w:spacing w:after="0" w:line="182" w:lineRule="exact"/>
        <w:rPr>
          <w:rFonts w:ascii="Arial" w:cs="Arial" w:eastAsia="Arial" w:hAnsi="Arial"/>
          <w:sz w:val="22"/>
          <w:szCs w:val="22"/>
          <w:color w:val="auto"/>
        </w:rPr>
      </w:pPr>
    </w:p>
    <w:p>
      <w:pPr>
        <w:ind w:left="1800" w:hanging="334"/>
        <w:spacing w:after="0" w:line="272" w:lineRule="auto"/>
        <w:tabs>
          <w:tab w:leader="none" w:pos="201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“Qualifying Termination” means the termination of the Grantee's Service under any one of the following circumstances:</w:t>
      </w:r>
    </w:p>
    <w:p>
      <w:pPr>
        <w:spacing w:after="0" w:line="182" w:lineRule="exact"/>
        <w:rPr>
          <w:rFonts w:ascii="Arial" w:cs="Arial" w:eastAsia="Arial" w:hAnsi="Arial"/>
          <w:sz w:val="22"/>
          <w:szCs w:val="22"/>
          <w:color w:val="auto"/>
        </w:rPr>
      </w:pPr>
    </w:p>
    <w:p>
      <w:pPr>
        <w:ind w:left="2240" w:hanging="450"/>
        <w:spacing w:after="0"/>
        <w:tabs>
          <w:tab w:leader="none" w:pos="224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260" w:lineRule="exact"/>
        <w:rPr>
          <w:rFonts w:ascii="Arial" w:cs="Arial" w:eastAsia="Arial" w:hAnsi="Arial"/>
          <w:sz w:val="22"/>
          <w:szCs w:val="22"/>
          <w:color w:val="auto"/>
        </w:rPr>
      </w:pPr>
    </w:p>
    <w:p>
      <w:pPr>
        <w:jc w:val="both"/>
        <w:ind w:left="2280" w:hanging="490"/>
        <w:spacing w:after="0" w:line="253" w:lineRule="auto"/>
        <w:tabs>
          <w:tab w:leader="none" w:pos="2362" w:val="left"/>
        </w:tabs>
        <w:numPr>
          <w:ilvl w:val="2"/>
          <w:numId w:val="106"/>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including reallocation due to the Grantee’s inability to continue to work due to medical reasons, in the United States (or equivalent as determined by the Committee).</w:t>
      </w:r>
    </w:p>
    <w:p>
      <w:pPr>
        <w:spacing w:after="0" w:line="202" w:lineRule="exact"/>
        <w:rPr>
          <w:sz w:val="20"/>
          <w:szCs w:val="20"/>
          <w:color w:val="auto"/>
        </w:rPr>
      </w:pPr>
    </w:p>
    <w:p>
      <w:pPr>
        <w:jc w:val="both"/>
        <w:ind w:left="1800"/>
        <w:spacing w:after="0" w:line="28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169" w:lineRule="exact"/>
        <w:rPr>
          <w:sz w:val="20"/>
          <w:szCs w:val="20"/>
          <w:color w:val="auto"/>
        </w:rPr>
      </w:pPr>
    </w:p>
    <w:p>
      <w:pPr>
        <w:jc w:val="both"/>
        <w:ind w:left="1800"/>
        <w:spacing w:after="0" w:line="257" w:lineRule="auto"/>
        <w:rPr>
          <w:sz w:val="20"/>
          <w:szCs w:val="20"/>
          <w:color w:val="auto"/>
        </w:rPr>
      </w:pPr>
      <w:r>
        <w:rPr>
          <w:rFonts w:ascii="Arial" w:cs="Arial" w:eastAsia="Arial" w:hAnsi="Arial"/>
          <w:sz w:val="22"/>
          <w:szCs w:val="22"/>
          <w:color w:val="auto"/>
        </w:rPr>
        <w:t>“Reduction in workforce” means the elimination of a work group, functional or business unit or other broadly applicable reduction in job positions that directly results in termination of the Grantee’s Service.</w:t>
      </w:r>
    </w:p>
    <w:p>
      <w:pPr>
        <w:spacing w:after="0" w:line="173" w:lineRule="exact"/>
        <w:rPr>
          <w:sz w:val="20"/>
          <w:szCs w:val="20"/>
          <w:color w:val="auto"/>
        </w:rPr>
      </w:pPr>
    </w:p>
    <w:p>
      <w:pPr>
        <w:ind w:left="1300" w:hanging="644"/>
        <w:spacing w:after="0" w:line="272" w:lineRule="auto"/>
        <w:tabs>
          <w:tab w:leader="none" w:pos="122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Award shall vest at the close of business in Indianapolis, Indiana, U.S.A. on the earliest of the following dates (each, a “Vesting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27"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0" w:right="640" w:hanging="334"/>
        <w:spacing w:after="0" w:line="272" w:lineRule="auto"/>
        <w:tabs>
          <w:tab w:leader="none" w:pos="206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provided the Grantee is still in active Service on the Vesting Date, subject to any alternative date(s) set forth in any appendix attached hereto (the “Appendix”), or</w:t>
      </w:r>
    </w:p>
    <w:p>
      <w:pPr>
        <w:spacing w:after="0" w:line="47" w:lineRule="exact"/>
        <w:rPr>
          <w:rFonts w:ascii="Arial" w:cs="Arial" w:eastAsia="Arial" w:hAnsi="Arial"/>
          <w:sz w:val="22"/>
          <w:szCs w:val="22"/>
          <w:color w:val="auto"/>
        </w:rPr>
      </w:pPr>
    </w:p>
    <w:p>
      <w:pPr>
        <w:ind w:left="1940" w:hanging="474"/>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date the Grantee’s Service is terminated due to the Grantee’s death, or</w:t>
      </w:r>
    </w:p>
    <w:p>
      <w:pPr>
        <w:spacing w:after="0" w:line="125" w:lineRule="exact"/>
        <w:rPr>
          <w:rFonts w:ascii="Arial" w:cs="Arial" w:eastAsia="Arial" w:hAnsi="Arial"/>
          <w:sz w:val="22"/>
          <w:szCs w:val="22"/>
          <w:color w:val="auto"/>
        </w:rPr>
      </w:pPr>
    </w:p>
    <w:p>
      <w:pPr>
        <w:jc w:val="both"/>
        <w:ind w:left="1800" w:right="640" w:hanging="334"/>
        <w:spacing w:after="0" w:line="253" w:lineRule="auto"/>
        <w:tabs>
          <w:tab w:leader="none" w:pos="205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date the Grantee is subject to a Qualifying Termination, in which case the number of Restricted Stock Units that shall vest shall be reduced proportionally for the portion of the total days between the Grant Date and the Vesting Date specified in 2(b)(i) that the Grantee was not in active Service.</w:t>
      </w:r>
    </w:p>
    <w:p>
      <w:pPr>
        <w:spacing w:after="0" w:line="202"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The Committee’s determination as to whether (A) the Grantee’s Service has been terminated as a direct result of either a plant closing or a reduction in workforce, (B) the Grantee’s Service has been terminated as a result of the failure to locate a position within the Company or an Affiliate following reallocation, including reallocation due to the Grantee’s inability to continue to work due to medical reasons, and (C) a transfer of employment between Lilly and an Affiliate or between Affiliates constitutes a termination of Service shall be final and binding on the Grantee.</w:t>
      </w:r>
    </w:p>
    <w:p>
      <w:pPr>
        <w:spacing w:after="0" w:line="208" w:lineRule="exact"/>
        <w:rPr>
          <w:sz w:val="20"/>
          <w:szCs w:val="20"/>
          <w:color w:val="auto"/>
        </w:rPr>
      </w:pPr>
    </w:p>
    <w:p>
      <w:pPr>
        <w:ind w:left="1300" w:hanging="644"/>
        <w:spacing w:after="0" w:line="264" w:lineRule="auto"/>
        <w:tabs>
          <w:tab w:leader="none" w:pos="10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event the Grantee's Service with the Company or an Affiliate is terminated prior to a Vesting Date for any reason or in any circumstance other than those specified in Sections 2(b)(ii) or 2(b)(iii), any unvested portion of the Award will be forfeited.</w:t>
      </w:r>
    </w:p>
    <w:p>
      <w:pPr>
        <w:spacing w:after="0" w:line="191" w:lineRule="exact"/>
        <w:rPr>
          <w:rFonts w:ascii="Arial" w:cs="Arial" w:eastAsia="Arial" w:hAnsi="Arial"/>
          <w:sz w:val="22"/>
          <w:szCs w:val="22"/>
          <w:color w:val="auto"/>
        </w:rPr>
      </w:pPr>
    </w:p>
    <w:p>
      <w:pPr>
        <w:ind w:left="1300" w:hanging="644"/>
        <w:spacing w:after="0" w:line="251" w:lineRule="auto"/>
        <w:tabs>
          <w:tab w:leader="none" w:pos="113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Committee may, at its discretion, cancel the Award or reduce the number of Restricted Stock Units and any accrued Dividend Equivalent Rights, prorated according to time or other measure as deemed appropriate by the Committee, if at any time prior to the Vesting Date, the Grantee is subject to disciplinary action for Misconduct pursuant to and as such term is defined under the Eli Lilly and Company Executive Compensation Recovery Policy, effective October 2, 2023, as may be amended, restated, or superseded from time to time.</w:t>
      </w:r>
    </w:p>
    <w:p>
      <w:pPr>
        <w:spacing w:after="0" w:line="172"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25"/>
          <w:szCs w:val="25"/>
          <w:color w:val="auto"/>
        </w:rPr>
        <w:t>Change in Control</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220" w:lineRule="exact"/>
        <w:rPr>
          <w:sz w:val="20"/>
          <w:szCs w:val="20"/>
          <w:color w:val="auto"/>
        </w:rPr>
      </w:pPr>
    </w:p>
    <w:p>
      <w:pPr>
        <w:jc w:val="both"/>
        <w:ind w:left="1300" w:hanging="644"/>
        <w:spacing w:after="0" w:line="257" w:lineRule="auto"/>
        <w:tabs>
          <w:tab w:leader="none" w:pos="128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3 shall be the consummation of a merger, share exchange, or consolidation of the Company, as defined in Section 2.6(c) of the Plan (a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27"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line="257" w:lineRule="auto"/>
        <w:tabs>
          <w:tab w:leader="none" w:pos="121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any Fractional Share issued under this Award shall vest automatically and be payable in cash unless otherwise determined by the Committee, in its sole discretion.</w:t>
      </w:r>
    </w:p>
    <w:p>
      <w:pPr>
        <w:spacing w:after="0" w:line="198" w:lineRule="exact"/>
        <w:rPr>
          <w:rFonts w:ascii="Arial" w:cs="Arial" w:eastAsia="Arial" w:hAnsi="Arial"/>
          <w:sz w:val="22"/>
          <w:szCs w:val="22"/>
          <w:color w:val="auto"/>
        </w:rPr>
      </w:pPr>
    </w:p>
    <w:p>
      <w:pPr>
        <w:ind w:left="1300" w:right="20" w:hanging="644"/>
        <w:spacing w:after="0" w:line="257" w:lineRule="auto"/>
        <w:tabs>
          <w:tab w:leader="none" w:pos="112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the Award is not converted, assumed, substituted, continued or replaced by a successor or surviving corporation, or a parent or subsidiary thereof, in connection with a Transaction, then immediately prior to the Transaction, the Award shall vest automatically in full.</w:t>
      </w:r>
    </w:p>
    <w:p>
      <w:pPr>
        <w:spacing w:after="0" w:line="199" w:lineRule="exact"/>
        <w:rPr>
          <w:rFonts w:ascii="Arial" w:cs="Arial" w:eastAsia="Arial" w:hAnsi="Arial"/>
          <w:sz w:val="22"/>
          <w:szCs w:val="22"/>
          <w:color w:val="auto"/>
        </w:rPr>
      </w:pPr>
    </w:p>
    <w:p>
      <w:pPr>
        <w:ind w:left="1300" w:hanging="644"/>
        <w:spacing w:after="0" w:line="257" w:lineRule="auto"/>
        <w:tabs>
          <w:tab w:leader="none" w:pos="121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the Award is converted, assumed, substituted, continued or replaced by a successor or surviving corporation, or a parent or subsidiary thereof, in connection with a Transaction and the Grantee is subject to a Covered Termination (as defined below) prior to any applicable Vesting Date, the Award shall vest automatically in full.</w:t>
      </w:r>
    </w:p>
    <w:p>
      <w:pPr>
        <w:spacing w:after="0" w:line="199"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For purposes of this provision, “Covered Termination” shall mean a termination of Service as described in Sections 2(b)(ii) and 2(b)(iii), Grantee’s termination without Cause or the Grantee’s resignation for Good Reason. “Cause” and “Good Reason” shall have the meanings ascribed to them in the Eli Lilly and Company 2007 Change in Control Severance Pay Plan for Select Employees, as amended, restated, or superseded from time to time.</w:t>
      </w:r>
    </w:p>
    <w:p>
      <w:pPr>
        <w:spacing w:after="0" w:line="206" w:lineRule="exact"/>
        <w:rPr>
          <w:sz w:val="20"/>
          <w:szCs w:val="20"/>
          <w:color w:val="auto"/>
        </w:rPr>
      </w:pPr>
    </w:p>
    <w:p>
      <w:pPr>
        <w:ind w:left="1300" w:hanging="644"/>
        <w:spacing w:after="0" w:line="257" w:lineRule="auto"/>
        <w:tabs>
          <w:tab w:leader="none" w:pos="107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spacing w:after="0" w:line="16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4.</w:t>
        <w:tab/>
        <w:t>Settlement</w:t>
      </w:r>
    </w:p>
    <w:p>
      <w:pPr>
        <w:spacing w:after="0" w:line="132" w:lineRule="exact"/>
        <w:rPr>
          <w:sz w:val="20"/>
          <w:szCs w:val="20"/>
          <w:color w:val="auto"/>
        </w:rPr>
      </w:pPr>
    </w:p>
    <w:p>
      <w:pPr>
        <w:ind w:left="1300" w:hanging="644"/>
        <w:spacing w:after="0" w:line="257" w:lineRule="auto"/>
        <w:tabs>
          <w:tab w:leader="none" w:pos="113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and generally within sixty (60) days following the applicable Vesting Date, or, if earlier, a vesting event contemplated under the Section 3 above.</w:t>
      </w:r>
    </w:p>
    <w:p>
      <w:pPr>
        <w:spacing w:after="0" w:line="199" w:lineRule="exact"/>
        <w:rPr>
          <w:rFonts w:ascii="Arial" w:cs="Arial" w:eastAsia="Arial" w:hAnsi="Arial"/>
          <w:sz w:val="22"/>
          <w:szCs w:val="22"/>
          <w:color w:val="auto"/>
        </w:rPr>
      </w:pPr>
    </w:p>
    <w:p>
      <w:pPr>
        <w:ind w:left="1300" w:hanging="644"/>
        <w:spacing w:after="0" w:line="251" w:lineRule="auto"/>
        <w:tabs>
          <w:tab w:leader="none" w:pos="106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At the time of settlement, Lilly shall issue or transfer Shares to the Grantee that became vested (including, in the interest of clarity, a Fractional Share). Notwithstanding the foregoing, a Fractional Share may be paid in cash or rounded to the extent provided in the Appendix for the Grantee’s country or to the extent otherwise determined by the Committee in its sole discretion. For purposes of this Award, references to “issue” or variations of such term shall instead mean “allocate” when used in the context of Fractional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127" w:right="3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20" w:hanging="644"/>
        <w:spacing w:after="0" w:line="272" w:lineRule="auto"/>
        <w:tabs>
          <w:tab w:leader="none" w:pos="106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5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23"/>
          <w:szCs w:val="23"/>
          <w:color w:val="auto"/>
        </w:rPr>
        <w:t>Section 5.</w:t>
        <w:tab/>
        <w:t>Rights of the Grantee</w:t>
      </w:r>
    </w:p>
    <w:p>
      <w:pPr>
        <w:spacing w:after="0" w:line="132" w:lineRule="exact"/>
        <w:rPr>
          <w:sz w:val="20"/>
          <w:szCs w:val="20"/>
          <w:color w:val="auto"/>
        </w:rPr>
      </w:pPr>
    </w:p>
    <w:p>
      <w:pPr>
        <w:jc w:val="both"/>
        <w:ind w:left="1300" w:hanging="644"/>
        <w:spacing w:after="0" w:line="251" w:lineRule="auto"/>
        <w:tabs>
          <w:tab w:leader="none" w:pos="128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Restricted Stock Units do not entitle the Grantee to any rights of a shareholder of Lilly until such time as the Restricted Stock Units vest and Shares are issued or transferred to the Grantee. In the event a Fractional Share is issued, the Grantee shall have the rights of a shareholder to receive dividends payable with respect to a Share that are proportionate to the interest the Fractional Share bears to a whole Share, but the Grantee shall have no right to vote with respect to the Fractional Share unless otherwise provided by the Committee.</w:t>
      </w:r>
    </w:p>
    <w:p>
      <w:pPr>
        <w:spacing w:after="0" w:line="316" w:lineRule="exact"/>
        <w:rPr>
          <w:rFonts w:ascii="Arial" w:cs="Arial" w:eastAsia="Arial" w:hAnsi="Arial"/>
          <w:sz w:val="22"/>
          <w:szCs w:val="22"/>
          <w:color w:val="auto"/>
        </w:rPr>
      </w:pPr>
    </w:p>
    <w:p>
      <w:pPr>
        <w:ind w:left="1300" w:hanging="644"/>
        <w:spacing w:after="0" w:line="248" w:lineRule="auto"/>
        <w:tabs>
          <w:tab w:leader="none" w:pos="1099"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As long as the Grantee holds Restricted Stock Units granted pursuant to this Award, the Company shall accrue for the Grantee, on each date that the Company pays a cash dividend to holders of Company Shares, Dividend Equivalent Rights equal to the total number of Restricted Stock Units credited to the Grantee under this Award multiplied by the dollar amount of the cash dividend paid per Share by the Company on such date. Dividend Equivalent Rights shall accrue in an account denominated in U.S. dollars and shall not accrue interest or other credits prior to being paid. A report showing the accrued Dividend Equivalent Rights shall be sent to the Grantee periodically, as determined by the Company. The accrued Dividend Equivalent Rights shall be subject to the same vesting conditions as the Restricted Stock Units to which the Dividend Equivalent Rights relate, and the Dividend Equivalent Rights shall be forfeited in the event that the Restricted Stock Units with respect to which such Dividend Equivalent Rights were credited are forfeited. Following the applicable Vesting Date, Lilly shall pay to the Grantee in cash all accrued Dividend Equivalent Rights in accordance with Section 4 above.</w:t>
      </w:r>
    </w:p>
    <w:p>
      <w:pPr>
        <w:spacing w:after="0" w:line="219" w:lineRule="exact"/>
        <w:rPr>
          <w:rFonts w:ascii="Arial" w:cs="Arial" w:eastAsia="Arial" w:hAnsi="Arial"/>
          <w:sz w:val="22"/>
          <w:szCs w:val="22"/>
          <w:color w:val="auto"/>
        </w:rPr>
      </w:pPr>
    </w:p>
    <w:p>
      <w:pPr>
        <w:ind w:left="1300" w:hanging="644"/>
        <w:spacing w:after="0" w:line="253" w:lineRule="auto"/>
        <w:tabs>
          <w:tab w:leader="none" w:pos="1114"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a payment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6.</w:t>
        <w:tab/>
        <w:t>Prohibition Against Transfer</w:t>
      </w:r>
    </w:p>
    <w:p>
      <w:pPr>
        <w:spacing w:after="0" w:line="132" w:lineRule="exact"/>
        <w:rPr>
          <w:sz w:val="20"/>
          <w:szCs w:val="20"/>
          <w:color w:val="auto"/>
        </w:rPr>
      </w:pPr>
    </w:p>
    <w:p>
      <w:pPr>
        <w:ind w:left="1300" w:hanging="644"/>
        <w:spacing w:after="0" w:line="253" w:lineRule="auto"/>
        <w:tabs>
          <w:tab w:leader="none" w:pos="1099"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Awards</w:t>
      </w:r>
      <w:r>
        <w:rPr>
          <w:rFonts w:ascii="Arial" w:cs="Arial" w:eastAsia="Arial" w:hAnsi="Arial"/>
          <w:sz w:val="22"/>
          <w:szCs w:val="22"/>
          <w:color w:val="auto"/>
        </w:rPr>
        <w:t>. The right of a Grantee to receive payments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this Award or the rights thereunder to which he or she may be entitled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127"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hereunder prior to transfer or payment thereof to the Grantee, and any such attempted assignment, sale, pledge or transfer shall be void.</w:t>
      </w:r>
    </w:p>
    <w:p>
      <w:pPr>
        <w:spacing w:after="0" w:line="291" w:lineRule="exact"/>
        <w:rPr>
          <w:sz w:val="20"/>
          <w:szCs w:val="20"/>
          <w:color w:val="auto"/>
        </w:rPr>
      </w:pPr>
    </w:p>
    <w:p>
      <w:pPr>
        <w:ind w:left="1300" w:hanging="644"/>
        <w:spacing w:after="0" w:line="285" w:lineRule="auto"/>
        <w:tabs>
          <w:tab w:leader="none" w:pos="114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Any Fractional Share issued to the Grantee shall remain in the Grantee’s account at the Company’s broker until the disposition of the Fractional Share.</w:t>
      </w:r>
    </w:p>
    <w:p>
      <w:pPr>
        <w:spacing w:after="0" w:line="13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22"/>
          <w:szCs w:val="22"/>
          <w:color w:val="auto"/>
        </w:rPr>
        <w:t>Responsibility for Taxes</w:t>
      </w:r>
    </w:p>
    <w:p>
      <w:pPr>
        <w:spacing w:after="0" w:line="78" w:lineRule="exact"/>
        <w:rPr>
          <w:sz w:val="20"/>
          <w:szCs w:val="20"/>
          <w:color w:val="auto"/>
        </w:rPr>
      </w:pPr>
    </w:p>
    <w:p>
      <w:pPr>
        <w:ind w:left="1300" w:hanging="644"/>
        <w:spacing w:after="0" w:line="247" w:lineRule="auto"/>
        <w:tabs>
          <w:tab w:leader="none" w:pos="112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Restricted Stock Units, the accrual of Dividend Equivalent Rights, the vesting of the Restricted Stock Units and the lapse of restrictions, the transfer and issuance of any Shares and/or Fractional Shares, the receipt of any cash payment pursuant to the Award and/or Dividend Equivalent Rights, the receipt of any dividends (including any dividends that are reinvested in additional Shares) and the sale or other disposition of any Shares and/or Fractional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14" w:lineRule="exact"/>
        <w:rPr>
          <w:rFonts w:ascii="Arial" w:cs="Arial" w:eastAsia="Arial" w:hAnsi="Arial"/>
          <w:sz w:val="22"/>
          <w:szCs w:val="22"/>
          <w:color w:val="auto"/>
        </w:rPr>
      </w:pPr>
    </w:p>
    <w:p>
      <w:pPr>
        <w:jc w:val="center"/>
        <w:ind w:left="1300" w:hanging="644"/>
        <w:spacing w:after="0" w:line="296" w:lineRule="auto"/>
        <w:tabs>
          <w:tab w:leader="none" w:pos="110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In connection with the applicable taxable or tax withholding event, as applicable, the Grantee shall pay or make adequate arrangements satisfactory to Lilly and/or the Employer to satisfy all Tax Related Items.</w:t>
      </w:r>
    </w:p>
    <w:p>
      <w:pPr>
        <w:spacing w:after="0" w:line="160" w:lineRule="exact"/>
        <w:rPr>
          <w:rFonts w:ascii="Arial" w:cs="Arial" w:eastAsia="Arial" w:hAnsi="Arial"/>
          <w:sz w:val="21"/>
          <w:szCs w:val="21"/>
          <w:color w:val="auto"/>
        </w:rPr>
      </w:pPr>
    </w:p>
    <w:p>
      <w:pPr>
        <w:jc w:val="both"/>
        <w:ind w:left="1960" w:hanging="494"/>
        <w:spacing w:after="0" w:line="253" w:lineRule="auto"/>
        <w:tabs>
          <w:tab w:leader="none" w:pos="197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In the case of Dividend Equivalent Rights paid to the Grantee and if the Restricted Stock Units are paid to the Grantee in cash in lieu of Shares and/or Fractional Shares, the Grantee authorizes the Company and/or the Employer, or their respective agents, at their discretion, to satisfy any obligation for Tax Related Items by withholding from the cash amount paid to the Grantee pursuant to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27" w:right="3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spacing w:after="0" w:line="272" w:lineRule="auto"/>
        <w:rPr>
          <w:sz w:val="20"/>
          <w:szCs w:val="20"/>
          <w:color w:val="auto"/>
        </w:rPr>
      </w:pPr>
      <w:r>
        <w:rPr>
          <w:rFonts w:ascii="Arial" w:cs="Arial" w:eastAsia="Arial" w:hAnsi="Arial"/>
          <w:sz w:val="22"/>
          <w:szCs w:val="22"/>
          <w:color w:val="auto"/>
        </w:rPr>
        <w:t>Award or from the Grantee’s wages or other cash compensation paid to the Grantee by the Company and/or the Employer.</w:t>
      </w:r>
    </w:p>
    <w:p>
      <w:pPr>
        <w:spacing w:after="0" w:line="183" w:lineRule="exact"/>
        <w:rPr>
          <w:sz w:val="20"/>
          <w:szCs w:val="20"/>
          <w:color w:val="auto"/>
        </w:rPr>
      </w:pPr>
    </w:p>
    <w:p>
      <w:pPr>
        <w:jc w:val="both"/>
        <w:ind w:left="1960" w:hanging="494"/>
        <w:spacing w:after="0" w:line="248" w:lineRule="auto"/>
        <w:tabs>
          <w:tab w:leader="none" w:pos="1986"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and/or Fractional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and/or Fractional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and/or Fractional Shares otherwise issuable to the Grantee pursuant to this Award, and/or (D) apply any other method of withholding determined by the Company and, to the extent required by Applicable Laws or the Plan, approved by the Committee.</w:t>
      </w:r>
    </w:p>
    <w:p>
      <w:pPr>
        <w:spacing w:after="0" w:line="224" w:lineRule="exact"/>
        <w:rPr>
          <w:rFonts w:ascii="Arial" w:cs="Arial" w:eastAsia="Arial" w:hAnsi="Arial"/>
          <w:sz w:val="22"/>
          <w:szCs w:val="22"/>
          <w:color w:val="auto"/>
        </w:rPr>
      </w:pPr>
    </w:p>
    <w:p>
      <w:pPr>
        <w:jc w:val="both"/>
        <w:ind w:left="1960" w:hanging="494"/>
        <w:spacing w:after="0" w:line="250" w:lineRule="auto"/>
        <w:tabs>
          <w:tab w:leader="none" w:pos="2023"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and/or Fractional Shares and the Grantee is subject to the short-swing profit rules of Section 16(b) of the Exchange Act, Lilly will withhold in Shares and Fractional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7(b)(ii)(A) and (B) above.</w:t>
      </w:r>
    </w:p>
    <w:p>
      <w:pPr>
        <w:spacing w:after="0" w:line="207" w:lineRule="exact"/>
        <w:rPr>
          <w:rFonts w:ascii="Arial" w:cs="Arial" w:eastAsia="Arial" w:hAnsi="Arial"/>
          <w:sz w:val="22"/>
          <w:szCs w:val="22"/>
          <w:color w:val="auto"/>
        </w:rPr>
      </w:pPr>
    </w:p>
    <w:p>
      <w:pPr>
        <w:ind w:left="1300" w:hanging="644"/>
        <w:spacing w:after="0" w:line="262" w:lineRule="auto"/>
        <w:tabs>
          <w:tab w:leader="none" w:pos="109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which case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and/or Fractional Shares to which he or she is entitled pursuant to this Award, notwithstanding that a number of Shares and/or Fractional Shares are withheld to satisfy the obligation for Tax Related Items.</w:t>
      </w:r>
    </w:p>
    <w:p>
      <w:pPr>
        <w:spacing w:after="0" w:line="199" w:lineRule="exact"/>
        <w:rPr>
          <w:rFonts w:ascii="Arial" w:cs="Arial" w:eastAsia="Arial" w:hAnsi="Arial"/>
          <w:sz w:val="21"/>
          <w:szCs w:val="21"/>
          <w:color w:val="auto"/>
        </w:rPr>
      </w:pPr>
    </w:p>
    <w:p>
      <w:pPr>
        <w:ind w:left="1300" w:hanging="644"/>
        <w:spacing w:after="0" w:line="285" w:lineRule="auto"/>
        <w:tabs>
          <w:tab w:leader="none" w:pos="11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Lilly may refuse to deliver Shares and/or Fractional Shares or any cash payment to the Grantee if the Grantee fails to comply with the Grantee’s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127" w:right="3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obligation in connection with the Tax Related Items as described in this Section 7.</w:t>
      </w:r>
    </w:p>
    <w:p>
      <w:pPr>
        <w:spacing w:after="0" w:line="247" w:lineRule="exact"/>
        <w:rPr>
          <w:sz w:val="20"/>
          <w:szCs w:val="20"/>
          <w:color w:val="auto"/>
        </w:rPr>
      </w:pPr>
    </w:p>
    <w:p>
      <w:pPr>
        <w:ind w:left="1300" w:right="20" w:hanging="644"/>
        <w:spacing w:after="0" w:line="272" w:lineRule="auto"/>
        <w:tabs>
          <w:tab w:leader="none" w:pos="120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For purposes of this Section 7, references to the withholding or sale of a Share shall also mean the withholding or sale of any portion that is less than a whole Share, to the extent applicable.</w:t>
      </w:r>
    </w:p>
    <w:p>
      <w:pPr>
        <w:spacing w:after="0" w:line="164"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8.</w:t>
        <w:tab/>
        <w:t>Section 409A Compliance</w:t>
      </w:r>
    </w:p>
    <w:p>
      <w:pPr>
        <w:spacing w:after="0" w:line="64" w:lineRule="exact"/>
        <w:rPr>
          <w:sz w:val="20"/>
          <w:szCs w:val="20"/>
          <w:color w:val="auto"/>
        </w:rPr>
      </w:pPr>
    </w:p>
    <w:p>
      <w:pPr>
        <w:jc w:val="both"/>
        <w:ind w:left="500"/>
        <w:spacing w:after="0" w:line="257"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7"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23"/>
          <w:szCs w:val="23"/>
          <w:color w:val="auto"/>
        </w:rPr>
        <w:t>Section 9.</w:t>
        <w:tab/>
        <w:t>Grantee’s Acknowledgement</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247" w:lineRule="exact"/>
        <w:rPr>
          <w:sz w:val="20"/>
          <w:szCs w:val="20"/>
          <w:color w:val="auto"/>
        </w:rPr>
      </w:pPr>
    </w:p>
    <w:p>
      <w:pPr>
        <w:ind w:left="1300" w:right="20" w:hanging="644"/>
        <w:spacing w:after="0" w:line="272" w:lineRule="auto"/>
        <w:tabs>
          <w:tab w:leader="none" w:pos="113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155" w:lineRule="exact"/>
        <w:rPr>
          <w:rFonts w:ascii="Arial" w:cs="Arial" w:eastAsia="Arial" w:hAnsi="Arial"/>
          <w:sz w:val="22"/>
          <w:szCs w:val="22"/>
          <w:color w:val="auto"/>
        </w:rPr>
      </w:pPr>
    </w:p>
    <w:p>
      <w:pPr>
        <w:ind w:left="1300" w:hanging="644"/>
        <w:spacing w:after="0" w:line="264" w:lineRule="auto"/>
        <w:tabs>
          <w:tab w:leader="none" w:pos="11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of Restricted Stock Units and/or Dividend Equivalent Rights, or benefits in lieu thereof, even if Restricted Stock Units and/or Dividend Equivalent Rights have been granted in the past;</w:t>
      </w:r>
    </w:p>
    <w:p>
      <w:pPr>
        <w:spacing w:after="0" w:line="164" w:lineRule="exact"/>
        <w:rPr>
          <w:rFonts w:ascii="Arial" w:cs="Arial" w:eastAsia="Arial" w:hAnsi="Arial"/>
          <w:sz w:val="22"/>
          <w:szCs w:val="22"/>
          <w:color w:val="auto"/>
        </w:rPr>
      </w:pPr>
    </w:p>
    <w:p>
      <w:pPr>
        <w:ind w:left="1300" w:hanging="644"/>
        <w:spacing w:after="0" w:line="272" w:lineRule="auto"/>
        <w:tabs>
          <w:tab w:leader="none" w:pos="111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decisions with respect to future awards of Restricted Stock Units, Dividend Equivalent Rights or other awards, if any, will be at the sole discretion of the Committee;</w:t>
      </w:r>
    </w:p>
    <w:p>
      <w:pPr>
        <w:spacing w:after="0" w:line="155"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Award is not intended to replace any pension rights or compensation;</w:t>
      </w:r>
    </w:p>
    <w:p>
      <w:pPr>
        <w:spacing w:after="0" w:line="219" w:lineRule="exact"/>
        <w:rPr>
          <w:rFonts w:ascii="Arial" w:cs="Arial" w:eastAsia="Arial" w:hAnsi="Arial"/>
          <w:sz w:val="22"/>
          <w:szCs w:val="22"/>
          <w:color w:val="auto"/>
        </w:rPr>
      </w:pPr>
    </w:p>
    <w:p>
      <w:pPr>
        <w:ind w:left="1300" w:hanging="644"/>
        <w:spacing w:after="0" w:line="253" w:lineRule="auto"/>
        <w:tabs>
          <w:tab w:leader="none" w:pos="109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88" w:lineRule="exact"/>
        <w:rPr>
          <w:rFonts w:ascii="Arial" w:cs="Arial" w:eastAsia="Arial" w:hAnsi="Arial"/>
          <w:sz w:val="22"/>
          <w:szCs w:val="22"/>
          <w:color w:val="auto"/>
        </w:rPr>
      </w:pPr>
    </w:p>
    <w:p>
      <w:pPr>
        <w:ind w:left="1300" w:hanging="644"/>
        <w:spacing w:after="0" w:line="272" w:lineRule="auto"/>
        <w:tabs>
          <w:tab w:leader="none" w:pos="108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unless otherwise agreed with Lilly, the Award is not granted as consideration for, or in connection with, the service the Grantee may provide as a director of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127"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line="273" w:lineRule="auto"/>
        <w:tabs>
          <w:tab w:leader="none" w:pos="108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56" w:lineRule="exact"/>
        <w:rPr>
          <w:rFonts w:ascii="Arial" w:cs="Arial" w:eastAsia="Arial" w:hAnsi="Arial"/>
          <w:sz w:val="21"/>
          <w:szCs w:val="21"/>
          <w:color w:val="auto"/>
        </w:rPr>
      </w:pPr>
    </w:p>
    <w:p>
      <w:pPr>
        <w:ind w:left="1300" w:right="20" w:hanging="644"/>
        <w:spacing w:after="0" w:line="272" w:lineRule="auto"/>
        <w:tabs>
          <w:tab w:leader="none" w:pos="103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future value of the underlying Shares and other amounts that may be acquired pursuant to this Award is unknown, indeterminable and cannot be predicted with certainty;</w:t>
      </w:r>
    </w:p>
    <w:p>
      <w:pPr>
        <w:spacing w:after="0" w:line="155" w:lineRule="exact"/>
        <w:rPr>
          <w:rFonts w:ascii="Arial" w:cs="Arial" w:eastAsia="Arial" w:hAnsi="Arial"/>
          <w:sz w:val="22"/>
          <w:szCs w:val="22"/>
          <w:color w:val="auto"/>
        </w:rPr>
      </w:pPr>
    </w:p>
    <w:p>
      <w:pPr>
        <w:ind w:left="1300" w:hanging="644"/>
        <w:spacing w:after="0" w:line="250" w:lineRule="auto"/>
        <w:tabs>
          <w:tab w:leader="none" w:pos="101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or recoupment of any Shares and other amounts that may be acquired pursuant to this Award acquired under the Plan or proceeds therefrom resulting from (i) the application of a clawback policy described in Section 14 of this Agreement or required by law or (ii)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80" w:lineRule="exact"/>
        <w:rPr>
          <w:rFonts w:ascii="Arial" w:cs="Arial" w:eastAsia="Arial" w:hAnsi="Arial"/>
          <w:sz w:val="22"/>
          <w:szCs w:val="22"/>
          <w:color w:val="auto"/>
        </w:rPr>
      </w:pPr>
    </w:p>
    <w:p>
      <w:pPr>
        <w:ind w:left="1300" w:hanging="644"/>
        <w:spacing w:after="0" w:line="249" w:lineRule="auto"/>
        <w:tabs>
          <w:tab w:leader="none" w:pos="111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85" w:lineRule="exact"/>
        <w:rPr>
          <w:rFonts w:ascii="Arial" w:cs="Arial" w:eastAsia="Arial" w:hAnsi="Arial"/>
          <w:sz w:val="22"/>
          <w:szCs w:val="22"/>
          <w:color w:val="auto"/>
        </w:rPr>
      </w:pPr>
    </w:p>
    <w:p>
      <w:pPr>
        <w:ind w:left="1300" w:hanging="644"/>
        <w:spacing w:after="0" w:line="272" w:lineRule="auto"/>
        <w:tabs>
          <w:tab w:leader="none" w:pos="103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w:t>
      </w:r>
    </w:p>
    <w:p>
      <w:pPr>
        <w:spacing w:after="0" w:line="155" w:lineRule="exact"/>
        <w:rPr>
          <w:rFonts w:ascii="Arial" w:cs="Arial" w:eastAsia="Arial" w:hAnsi="Arial"/>
          <w:sz w:val="22"/>
          <w:szCs w:val="22"/>
          <w:color w:val="auto"/>
        </w:rPr>
      </w:pPr>
    </w:p>
    <w:p>
      <w:pPr>
        <w:ind w:left="1300" w:hanging="644"/>
        <w:spacing w:after="0" w:line="257" w:lineRule="auto"/>
        <w:tabs>
          <w:tab w:leader="none" w:pos="116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127"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line="253" w:lineRule="auto"/>
        <w:tabs>
          <w:tab w:leader="none" w:pos="114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 other amounts that may be acquired pursuant to this Award; and</w:t>
      </w:r>
    </w:p>
    <w:p>
      <w:pPr>
        <w:spacing w:after="0" w:line="178" w:lineRule="exact"/>
        <w:rPr>
          <w:rFonts w:ascii="Arial" w:cs="Arial" w:eastAsia="Arial" w:hAnsi="Arial"/>
          <w:sz w:val="22"/>
          <w:szCs w:val="22"/>
          <w:color w:val="auto"/>
        </w:rPr>
      </w:pPr>
    </w:p>
    <w:p>
      <w:pPr>
        <w:jc w:val="both"/>
        <w:ind w:left="1300" w:hanging="644"/>
        <w:spacing w:after="0" w:line="253" w:lineRule="auto"/>
        <w:tabs>
          <w:tab w:leader="none" w:pos="12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and other amounts that may be acquired pursuant to this Award acquired upon settlement.</w:t>
      </w:r>
    </w:p>
    <w:p>
      <w:pPr>
        <w:spacing w:after="0" w:line="174"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10.</w:t>
        <w:tab/>
        <w:t>Data Privacy</w:t>
      </w:r>
    </w:p>
    <w:p>
      <w:pPr>
        <w:spacing w:after="0" w:line="78" w:lineRule="exact"/>
        <w:rPr>
          <w:sz w:val="20"/>
          <w:szCs w:val="20"/>
          <w:color w:val="auto"/>
        </w:rPr>
      </w:pPr>
    </w:p>
    <w:p>
      <w:pPr>
        <w:jc w:val="both"/>
        <w:ind w:left="1300" w:hanging="644"/>
        <w:spacing w:after="0" w:line="248" w:lineRule="auto"/>
        <w:tabs>
          <w:tab w:leader="none" w:pos="1248" w:val="left"/>
        </w:tabs>
        <w:numPr>
          <w:ilvl w:val="0"/>
          <w:numId w:val="125"/>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Restricted Stock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211" w:lineRule="exact"/>
        <w:rPr>
          <w:rFonts w:ascii="Arial" w:cs="Arial" w:eastAsia="Arial" w:hAnsi="Arial"/>
          <w:sz w:val="22"/>
          <w:szCs w:val="22"/>
          <w:i w:val="1"/>
          <w:iCs w:val="1"/>
          <w:color w:val="auto"/>
        </w:rPr>
      </w:pPr>
    </w:p>
    <w:p>
      <w:pPr>
        <w:ind w:left="1300" w:hanging="644"/>
        <w:spacing w:after="0" w:line="262" w:lineRule="auto"/>
        <w:tabs>
          <w:tab w:leader="none" w:pos="1086" w:val="left"/>
        </w:tabs>
        <w:numPr>
          <w:ilvl w:val="0"/>
          <w:numId w:val="125"/>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Morgan Stanley’s E*TRADE Financial Corporate Services, Inc. and/or its affiliated companies (“E*TRADE”),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127"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hanging="644"/>
        <w:spacing w:after="0" w:line="275" w:lineRule="auto"/>
        <w:tabs>
          <w:tab w:leader="none" w:pos="1087" w:val="left"/>
        </w:tabs>
        <w:numPr>
          <w:ilvl w:val="0"/>
          <w:numId w:val="126"/>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95" w:lineRule="exact"/>
        <w:rPr>
          <w:rFonts w:ascii="Arial" w:cs="Arial" w:eastAsia="Arial" w:hAnsi="Arial"/>
          <w:sz w:val="21"/>
          <w:szCs w:val="21"/>
          <w:i w:val="1"/>
          <w:iCs w:val="1"/>
          <w:color w:val="auto"/>
        </w:rPr>
      </w:pPr>
    </w:p>
    <w:p>
      <w:pPr>
        <w:ind w:left="1300" w:hanging="644"/>
        <w:spacing w:after="0" w:line="257" w:lineRule="auto"/>
        <w:tabs>
          <w:tab w:leader="none" w:pos="1180" w:val="left"/>
        </w:tabs>
        <w:numPr>
          <w:ilvl w:val="0"/>
          <w:numId w:val="12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99" w:lineRule="exact"/>
        <w:rPr>
          <w:rFonts w:ascii="Arial" w:cs="Arial" w:eastAsia="Arial" w:hAnsi="Arial"/>
          <w:sz w:val="22"/>
          <w:szCs w:val="22"/>
          <w:i w:val="1"/>
          <w:iCs w:val="1"/>
          <w:color w:val="auto"/>
        </w:rPr>
      </w:pPr>
    </w:p>
    <w:p>
      <w:pPr>
        <w:ind w:left="1300" w:hanging="644"/>
        <w:spacing w:after="0" w:line="251" w:lineRule="auto"/>
        <w:tabs>
          <w:tab w:leader="none" w:pos="1126" w:val="left"/>
        </w:tabs>
        <w:numPr>
          <w:ilvl w:val="0"/>
          <w:numId w:val="12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08" w:lineRule="exact"/>
        <w:rPr>
          <w:rFonts w:ascii="Arial" w:cs="Arial" w:eastAsia="Arial" w:hAnsi="Arial"/>
          <w:sz w:val="22"/>
          <w:szCs w:val="22"/>
          <w:i w:val="1"/>
          <w:iCs w:val="1"/>
          <w:color w:val="auto"/>
        </w:rPr>
      </w:pPr>
    </w:p>
    <w:p>
      <w:pPr>
        <w:ind w:left="1300" w:hanging="644"/>
        <w:spacing w:after="0" w:line="247" w:lineRule="auto"/>
        <w:tabs>
          <w:tab w:leader="none" w:pos="1080" w:val="left"/>
        </w:tabs>
        <w:numPr>
          <w:ilvl w:val="0"/>
          <w:numId w:val="12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127"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hanging="644"/>
        <w:spacing w:after="0" w:line="251" w:lineRule="auto"/>
        <w:tabs>
          <w:tab w:leader="none" w:pos="1275" w:val="left"/>
        </w:tabs>
        <w:numPr>
          <w:ilvl w:val="0"/>
          <w:numId w:val="12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offer an adequate level of protection from a European (or other non-U.S.) data protection law perspective, for the purposes described above.</w:t>
      </w:r>
    </w:p>
    <w:p>
      <w:pPr>
        <w:spacing w:after="0" w:line="176"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11.</w:t>
        <w:tab/>
        <w:t>Restrictive Covenants, Remedies, and Additional Terms and Conditions</w:t>
      </w:r>
    </w:p>
    <w:p>
      <w:pPr>
        <w:spacing w:after="0" w:line="240" w:lineRule="exact"/>
        <w:rPr>
          <w:sz w:val="20"/>
          <w:szCs w:val="20"/>
          <w:color w:val="auto"/>
        </w:rPr>
      </w:pPr>
    </w:p>
    <w:p>
      <w:pPr>
        <w:ind w:left="1300" w:hanging="644"/>
        <w:spacing w:after="0" w:line="251" w:lineRule="auto"/>
        <w:tabs>
          <w:tab w:leader="none" w:pos="1221"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“Restricted Period”), the Grantee will not directly or indirectly, on a worldwide basis, engage in any of the following activities:</w:t>
      </w:r>
    </w:p>
    <w:p>
      <w:pPr>
        <w:spacing w:after="0" w:line="73" w:lineRule="exact"/>
        <w:rPr>
          <w:rFonts w:ascii="Arial" w:cs="Arial" w:eastAsia="Arial" w:hAnsi="Arial"/>
          <w:sz w:val="22"/>
          <w:szCs w:val="22"/>
          <w:color w:val="auto"/>
        </w:rPr>
      </w:pPr>
    </w:p>
    <w:p>
      <w:pPr>
        <w:jc w:val="both"/>
        <w:ind w:left="1960" w:hanging="332"/>
        <w:spacing w:after="0" w:line="265" w:lineRule="auto"/>
        <w:tabs>
          <w:tab w:leader="none" w:pos="2004" w:val="left"/>
        </w:tabs>
        <w:numPr>
          <w:ilvl w:val="1"/>
          <w:numId w:val="128"/>
        </w:numPr>
        <w:rPr>
          <w:rFonts w:ascii="Arial" w:cs="Arial" w:eastAsia="Arial" w:hAnsi="Arial"/>
          <w:sz w:val="21"/>
          <w:szCs w:val="21"/>
          <w:color w:val="auto"/>
        </w:rPr>
      </w:pPr>
      <w:r>
        <w:rPr>
          <w:rFonts w:ascii="Arial" w:cs="Arial" w:eastAsia="Arial" w:hAnsi="Arial"/>
          <w:sz w:val="21"/>
          <w:szCs w:val="21"/>
          <w:color w:val="auto"/>
        </w:rPr>
        <w:t>Work for, advise, manage, act as an agent, employee or consultant for, or otherwise provide any services, in each case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plans or proposes to compete with Lilly or a Covered Affiliate.</w:t>
      </w:r>
    </w:p>
    <w:p>
      <w:pPr>
        <w:spacing w:after="0" w:line="60" w:lineRule="exact"/>
        <w:rPr>
          <w:rFonts w:ascii="Arial" w:cs="Arial" w:eastAsia="Arial" w:hAnsi="Arial"/>
          <w:sz w:val="21"/>
          <w:szCs w:val="21"/>
          <w:color w:val="auto"/>
        </w:rPr>
      </w:pPr>
    </w:p>
    <w:p>
      <w:pPr>
        <w:jc w:val="both"/>
        <w:ind w:left="1960" w:hanging="332"/>
        <w:spacing w:after="0" w:line="249" w:lineRule="auto"/>
        <w:tabs>
          <w:tab w:leader="none" w:pos="215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to adversely modify any such person’s business with, or representation of, Lilly or a Covered Affiliate.</w:t>
      </w:r>
    </w:p>
    <w:p>
      <w:pPr>
        <w:spacing w:after="0" w:line="87" w:lineRule="exact"/>
        <w:rPr>
          <w:sz w:val="20"/>
          <w:szCs w:val="20"/>
          <w:color w:val="auto"/>
        </w:rPr>
      </w:pPr>
    </w:p>
    <w:p>
      <w:pPr>
        <w:ind w:left="1300"/>
        <w:spacing w:after="0" w:line="272"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127"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or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production, sale, or distribution of any product or service competitive with or substantially similar to any product or service in research, development or design, or manufactured, produced, sold, or distributed by Lilly or a Covered Affiliate.</w:t>
      </w:r>
    </w:p>
    <w:p>
      <w:pPr>
        <w:spacing w:after="0" w:line="87"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Grantee and Lilly acknowledge and agree that Lilly and the Covered Affiliates conduct business throughout the world and the worldwide geographic scope of the foregoing covenants is reasonable and necessary given, among other things, that: (a) absent such restrictions, the Grantee could utilize Lilly’s (or its Covered Affiliates’) trade secrets and/or confidential information and compete with Lilly or its Covered Affiliates from virtually anywhere; and (b) such scope is the only way for Lilly and its Affiliates to adequately protect their trade secrets and confidential information. In the event the Grantee violates any of the restrictive covenants contained herein, the Restricted Period for the violated restrictive covenants will automatically be extended by the length of time during which the Grantee was in violation of such restrictive covenants.</w:t>
      </w:r>
    </w:p>
    <w:p>
      <w:pPr>
        <w:spacing w:after="0" w:line="72" w:lineRule="exact"/>
        <w:rPr>
          <w:sz w:val="20"/>
          <w:szCs w:val="20"/>
          <w:color w:val="auto"/>
        </w:rPr>
      </w:pPr>
    </w:p>
    <w:p>
      <w:pPr>
        <w:jc w:val="both"/>
        <w:ind w:left="1300"/>
        <w:spacing w:after="0" w:line="249"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 provided access to and will become intimately familiar with trade secrets and confidential information key to Lilly’s (and Covered Affiliate’s) unique competitive advantage. The Grantee also acknowledges and agrees that Lilly’s (and Covered Affiliate’s) trade secrets and confidential information will retain continuing vitality throughout and beyond the Restricted Period. And the Grantee acknowledges and agrees that, should the Grantee’s employment with Lilly or Covered Affiliate end for any reason and, during the Restricted Period, the Grantee works in a Competitively-Sensitive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127"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spacing w:after="0" w:line="262" w:lineRule="auto"/>
        <w:rPr>
          <w:sz w:val="20"/>
          <w:szCs w:val="20"/>
          <w:color w:val="auto"/>
        </w:rPr>
      </w:pPr>
      <w:r>
        <w:rPr>
          <w:rFonts w:ascii="Arial" w:cs="Arial" w:eastAsia="Arial" w:hAnsi="Arial"/>
          <w:sz w:val="21"/>
          <w:szCs w:val="21"/>
          <w:color w:val="auto"/>
        </w:rPr>
        <w:t>with another person or entity that engages in business activities competitive with or substantially similar to those of Lilly and/or Covered Affiliate, it would be highly likely, if not inevitable, that the Grantee would rely on trade secrets and/or confidential information of Lilly and/or Covered Affiliate in the course of the Grantee’s work, either consciously or subconsciously, thereby irreparably harming Lilly and any Covered Affiliates. For these and other reasons, the Grantee agrees that the restrictions above are necessary to protect Lilly’s and its Covered Affiliate’s legitimate business interests, and do so by creating a specific amount of time after the Grantee’s employment ends during which the Grantee will not be able to engage or prepare to engage in the activities restricted in this Award Agreement.</w:t>
      </w:r>
    </w:p>
    <w:p>
      <w:pPr>
        <w:spacing w:after="0" w:line="78"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by a court to be unreasonable or unenforceable in any respect, including, without limitation, the time period, geographic area, and/or scope of activity covered by any restrictive covenant, such covenant or provision will be reformed or modified so that such covenant or provision will have the closest effect permitted by applicable law to the original form and will be given effect and enforced as so reformed or modified, or, if such reformation or modification is not possible, such covenant or provision will be removed from this Agreement. In either case, this Agreement shall be interpreted, even if reformed or modified, to achieve the full intent expressed, and the other provisions of this Agreement will remain in force and unmodified and will be enforced as written. Any court interpreting any restrictive covenant provision of this Award Agreement will, if necessary, reform or modify any such provision to make it enforceable under applicable law.</w:t>
      </w:r>
    </w:p>
    <w:p>
      <w:pPr>
        <w:spacing w:after="0" w:line="93"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and any Non-Compete Payment Agreement entered into between Grantee and Lilly, each of which remains in full force and effect, or that the Grantee agrees to in the future.</w:t>
      </w:r>
    </w:p>
    <w:p>
      <w:pPr>
        <w:spacing w:after="0" w:line="72" w:lineRule="exact"/>
        <w:rPr>
          <w:sz w:val="20"/>
          <w:szCs w:val="20"/>
          <w:color w:val="auto"/>
        </w:rPr>
      </w:pPr>
    </w:p>
    <w:p>
      <w:pPr>
        <w:jc w:val="both"/>
        <w:ind w:left="1300"/>
        <w:spacing w:after="0" w:line="251"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15</w:t>
      </w:r>
    </w:p>
    <w:p>
      <w:pPr>
        <w:sectPr>
          <w:pgSz w:w="11900" w:h="16838" w:orient="portrait"/>
          <w:cols w:equalWidth="0" w:num="1">
            <w:col w:w="11240"/>
          </w:cols>
          <w:pgMar w:left="320" w:top="127"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hanging="644"/>
        <w:spacing w:after="0" w:line="250" w:lineRule="auto"/>
        <w:tabs>
          <w:tab w:leader="none" w:pos="11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11, in addition to injunctive relief and damages, the Grantee agrees and covenants that: (i) the Award shall be immediately rescinded; (ii) the Grantee shall automatically forfeit any rights the Grantee may have with respect to the Award as of the date of such determination, including any right to continue to be eligible to vest or receive a payment under the Award; and (iii) the foregoing remedies set forth in this Section 11 shall not be Lilly’s exclusive remedies. Lilly and its Covered Affiliates reserve all other rights and remedies available at law or in equity.</w:t>
      </w:r>
    </w:p>
    <w:p>
      <w:pPr>
        <w:spacing w:after="0" w:line="72" w:lineRule="exact"/>
        <w:rPr>
          <w:rFonts w:ascii="Arial" w:cs="Arial" w:eastAsia="Arial" w:hAnsi="Arial"/>
          <w:sz w:val="22"/>
          <w:szCs w:val="22"/>
          <w:color w:val="auto"/>
        </w:rPr>
      </w:pPr>
    </w:p>
    <w:p>
      <w:pPr>
        <w:ind w:left="1300" w:hanging="644"/>
        <w:spacing w:after="0" w:line="251" w:lineRule="auto"/>
        <w:tabs>
          <w:tab w:leader="none" w:pos="1114"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73" w:lineRule="exact"/>
        <w:rPr>
          <w:rFonts w:ascii="Arial" w:cs="Arial" w:eastAsia="Arial" w:hAnsi="Arial"/>
          <w:sz w:val="22"/>
          <w:szCs w:val="22"/>
          <w:color w:val="auto"/>
        </w:rPr>
      </w:pPr>
    </w:p>
    <w:p>
      <w:pPr>
        <w:ind w:left="1300" w:hanging="644"/>
        <w:spacing w:after="0" w:line="248" w:lineRule="auto"/>
        <w:tabs>
          <w:tab w:leader="none" w:pos="11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Insider Trading/Market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and/or Fractional Shares or rights to acquire Shares and/or Fractional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94" w:lineRule="exact"/>
        <w:rPr>
          <w:rFonts w:ascii="Arial" w:cs="Arial" w:eastAsia="Arial" w:hAnsi="Arial"/>
          <w:sz w:val="22"/>
          <w:szCs w:val="22"/>
          <w:color w:val="auto"/>
        </w:rPr>
      </w:pPr>
    </w:p>
    <w:p>
      <w:pPr>
        <w:ind w:left="1300" w:hanging="644"/>
        <w:spacing w:after="0" w:line="249" w:lineRule="auto"/>
        <w:tabs>
          <w:tab w:leader="none" w:pos="1113"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and/or other amounts acquired pursuant to this Award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16</w:t>
      </w:r>
    </w:p>
    <w:p>
      <w:pPr>
        <w:sectPr>
          <w:pgSz w:w="11900" w:h="16838" w:orient="portrait"/>
          <w:cols w:equalWidth="0" w:num="1">
            <w:col w:w="11240"/>
          </w:cols>
          <w:pgMar w:left="320" w:top="127"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any compensation recovery policy of the Company that reflects the provisions of Applicable Laws.</w:t>
      </w:r>
    </w:p>
    <w:p>
      <w:pPr>
        <w:spacing w:after="0" w:line="215"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12.</w:t>
        <w:tab/>
        <w:t>Governing Law and Choice of Venue</w:t>
      </w:r>
    </w:p>
    <w:p>
      <w:pPr>
        <w:spacing w:after="0" w:line="132" w:lineRule="exact"/>
        <w:rPr>
          <w:sz w:val="20"/>
          <w:szCs w:val="20"/>
          <w:color w:val="auto"/>
        </w:rPr>
      </w:pPr>
    </w:p>
    <w:p>
      <w:pPr>
        <w:jc w:val="both"/>
        <w:ind w:left="500"/>
        <w:spacing w:after="0" w:line="249"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Award is granted and/or to be performed.</w:t>
      </w:r>
    </w:p>
    <w:p>
      <w:pPr>
        <w:spacing w:after="0" w:line="177"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13.</w:t>
        <w:tab/>
        <w:t>Miscellaneous Provisions</w:t>
      </w:r>
    </w:p>
    <w:p>
      <w:pPr>
        <w:spacing w:after="0" w:line="132" w:lineRule="exact"/>
        <w:rPr>
          <w:sz w:val="20"/>
          <w:szCs w:val="20"/>
          <w:color w:val="auto"/>
        </w:rPr>
      </w:pPr>
    </w:p>
    <w:p>
      <w:pPr>
        <w:ind w:left="1300" w:hanging="644"/>
        <w:spacing w:after="0" w:line="261" w:lineRule="auto"/>
        <w:tabs>
          <w:tab w:leader="none" w:pos="1167"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67" w:lineRule="exact"/>
        <w:rPr>
          <w:rFonts w:ascii="Arial" w:cs="Arial" w:eastAsia="Arial" w:hAnsi="Arial"/>
          <w:sz w:val="21"/>
          <w:szCs w:val="21"/>
          <w:color w:val="auto"/>
        </w:rPr>
      </w:pPr>
    </w:p>
    <w:p>
      <w:pPr>
        <w:jc w:val="both"/>
        <w:ind w:left="1300" w:hanging="644"/>
        <w:spacing w:after="0" w:line="251" w:lineRule="auto"/>
        <w:tabs>
          <w:tab w:leader="none" w:pos="124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6" w:lineRule="exact"/>
        <w:rPr>
          <w:rFonts w:ascii="Arial" w:cs="Arial" w:eastAsia="Arial" w:hAnsi="Arial"/>
          <w:sz w:val="22"/>
          <w:szCs w:val="22"/>
          <w:color w:val="auto"/>
        </w:rPr>
      </w:pPr>
    </w:p>
    <w:p>
      <w:pPr>
        <w:ind w:left="1300" w:hanging="644"/>
        <w:spacing w:after="0" w:line="270" w:lineRule="auto"/>
        <w:tabs>
          <w:tab w:leader="none" w:pos="1087"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17</w:t>
      </w:r>
    </w:p>
    <w:p>
      <w:pPr>
        <w:sectPr>
          <w:pgSz w:w="11900" w:h="16838" w:orient="portrait"/>
          <w:cols w:equalWidth="0" w:num="1">
            <w:col w:w="11240"/>
          </w:cols>
          <w:pgMar w:left="320" w:top="127"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hanging="644"/>
        <w:spacing w:after="0" w:line="247" w:lineRule="auto"/>
        <w:tabs>
          <w:tab w:leader="none" w:pos="108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 w:lineRule="exact"/>
        <w:rPr>
          <w:rFonts w:ascii="Arial" w:cs="Arial" w:eastAsia="Arial" w:hAnsi="Arial"/>
          <w:sz w:val="22"/>
          <w:szCs w:val="22"/>
          <w:color w:val="auto"/>
        </w:rPr>
      </w:pPr>
    </w:p>
    <w:p>
      <w:pPr>
        <w:ind w:left="1300"/>
        <w:spacing w:after="0" w:line="266" w:lineRule="auto"/>
        <w:rPr>
          <w:rFonts w:ascii="Arial" w:cs="Arial" w:eastAsia="Arial" w:hAnsi="Arial"/>
          <w:sz w:val="22"/>
          <w:szCs w:val="22"/>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161" w:lineRule="exact"/>
        <w:rPr>
          <w:rFonts w:ascii="Arial" w:cs="Arial" w:eastAsia="Arial" w:hAnsi="Arial"/>
          <w:sz w:val="22"/>
          <w:szCs w:val="22"/>
          <w:color w:val="auto"/>
        </w:rPr>
      </w:pPr>
    </w:p>
    <w:p>
      <w:pPr>
        <w:ind w:left="1300" w:hanging="644"/>
        <w:spacing w:after="0" w:line="250" w:lineRule="auto"/>
        <w:tabs>
          <w:tab w:leader="none" w:pos="1099"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and/or other amounts acquired pursuant to this Award. The Grantee should consult with his or her own personal tax, legal and financial advisors regarding the Grantee’s participation in the Plan before taking any action related to the Plan.</w:t>
      </w:r>
    </w:p>
    <w:p>
      <w:pPr>
        <w:spacing w:after="0" w:line="190"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23"/>
          <w:szCs w:val="23"/>
          <w:color w:val="auto"/>
        </w:rPr>
        <w:t>Section 14.</w:t>
        <w:tab/>
        <w:t>Compensation Recovery</w:t>
      </w:r>
    </w:p>
    <w:p>
      <w:pPr>
        <w:spacing w:after="0" w:line="226" w:lineRule="exact"/>
        <w:rPr>
          <w:sz w:val="20"/>
          <w:szCs w:val="20"/>
          <w:color w:val="auto"/>
        </w:rPr>
      </w:pPr>
    </w:p>
    <w:p>
      <w:pPr>
        <w:ind w:left="1300" w:hanging="644"/>
        <w:spacing w:after="0" w:line="252" w:lineRule="auto"/>
        <w:tabs>
          <w:tab w:leader="none" w:pos="110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Grantee agrees that this Award and any Shares or any other benefits or proceeds therefrom that the Grantee may receive hereunder shall be subject to forfeiture and/or repayment to the Company pursuant to any recovery, recoupment, “clawback” or similar policy of the Company that is in effect as of the Grant Date, including but not limited to the Eli Lilly and Company Executive Compensation Recovery Policy, effective October 2, 2023, as may be amended, restated, or superseded from time to time (with the provisions contained in such policy deemed incorporated into this Award Agreement without the Grantee’s additional or separate consent).</w:t>
      </w:r>
    </w:p>
    <w:p>
      <w:pPr>
        <w:spacing w:after="0" w:line="179" w:lineRule="exact"/>
        <w:rPr>
          <w:rFonts w:ascii="Arial" w:cs="Arial" w:eastAsia="Arial" w:hAnsi="Arial"/>
          <w:sz w:val="22"/>
          <w:szCs w:val="22"/>
          <w:color w:val="auto"/>
        </w:rPr>
      </w:pPr>
    </w:p>
    <w:p>
      <w:pPr>
        <w:ind w:left="1300" w:hanging="644"/>
        <w:spacing w:after="0" w:line="253" w:lineRule="auto"/>
        <w:tabs>
          <w:tab w:leader="none" w:pos="107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175" w:lineRule="exact"/>
        <w:rPr>
          <w:rFonts w:ascii="Arial" w:cs="Arial" w:eastAsia="Arial" w:hAnsi="Arial"/>
          <w:sz w:val="22"/>
          <w:szCs w:val="22"/>
          <w:color w:val="auto"/>
        </w:rPr>
      </w:pPr>
    </w:p>
    <w:p>
      <w:pPr>
        <w:jc w:val="both"/>
        <w:ind w:left="1960" w:hanging="332"/>
        <w:spacing w:after="0" w:line="253" w:lineRule="auto"/>
        <w:tabs>
          <w:tab w:leader="none" w:pos="203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 the number of Shares or the amount of the cash payment was calculated based, directly or indirectly, upon the achievement of financial results that were subsequently the subject of a restatement of all or a portion of the Company’s financial statements, (B) the Grantee engaged in intentional misconduct that caused or partially caused the need for such a restatement; and (C)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18</w:t>
      </w:r>
    </w:p>
    <w:p>
      <w:pPr>
        <w:sectPr>
          <w:pgSz w:w="11900" w:h="16838" w:orient="portrait"/>
          <w:cols w:equalWidth="0" w:num="1">
            <w:col w:w="11240"/>
          </w:cols>
          <w:pgMar w:left="320" w:top="127" w:right="3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960"/>
        <w:spacing w:after="0" w:line="257" w:lineRule="auto"/>
        <w:rPr>
          <w:sz w:val="20"/>
          <w:szCs w:val="20"/>
          <w:color w:val="auto"/>
        </w:rPr>
      </w:pPr>
      <w:r>
        <w:rPr>
          <w:rFonts w:ascii="Arial" w:cs="Arial" w:eastAsia="Arial" w:hAnsi="Arial"/>
          <w:sz w:val="22"/>
          <w:szCs w:val="22"/>
          <w:color w:val="auto"/>
        </w:rPr>
        <w:t>Shares or the amount of cash payment that would have been issued or paid to the Grantee had the financial results been properly reported would have been lower than the number of Shares actually issued or the amount of cash actually paid; or</w:t>
      </w:r>
    </w:p>
    <w:p>
      <w:pPr>
        <w:spacing w:after="0" w:line="186" w:lineRule="exact"/>
        <w:rPr>
          <w:sz w:val="20"/>
          <w:szCs w:val="20"/>
          <w:color w:val="auto"/>
        </w:rPr>
      </w:pPr>
    </w:p>
    <w:p>
      <w:pPr>
        <w:jc w:val="both"/>
        <w:ind w:left="1960" w:hanging="332"/>
        <w:spacing w:after="0" w:line="253" w:lineRule="auto"/>
        <w:tabs>
          <w:tab w:leader="none" w:pos="212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175" w:lineRule="exact"/>
        <w:rPr>
          <w:sz w:val="20"/>
          <w:szCs w:val="20"/>
          <w:color w:val="auto"/>
        </w:rPr>
      </w:pPr>
    </w:p>
    <w:p>
      <w:pPr>
        <w:jc w:val="both"/>
        <w:ind w:left="1300"/>
        <w:spacing w:after="0" w:line="264" w:lineRule="auto"/>
        <w:rPr>
          <w:sz w:val="20"/>
          <w:szCs w:val="20"/>
          <w:color w:val="auto"/>
        </w:rPr>
      </w:pPr>
      <w:r>
        <w:rPr>
          <w:rFonts w:ascii="Arial" w:cs="Arial" w:eastAsia="Arial" w:hAnsi="Arial"/>
          <w:sz w:val="21"/>
          <w:szCs w:val="21"/>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170" w:lineRule="exact"/>
        <w:rPr>
          <w:sz w:val="20"/>
          <w:szCs w:val="20"/>
          <w:color w:val="auto"/>
        </w:rPr>
      </w:pPr>
    </w:p>
    <w:p>
      <w:pPr>
        <w:ind w:left="1300" w:hanging="644"/>
        <w:spacing w:after="0" w:line="253" w:lineRule="auto"/>
        <w:tabs>
          <w:tab w:leader="none" w:pos="11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For purposes of the foregoing, the Grantee expressly and explicitly authorizes the Company to issue instructions, on the Grantee’s behalf, to any brokerage firm and/or third-party administrator engaged by the Company to hold any Shares and other amounts acquired pursuant to this Award to re-convey, transfer or otherwise return such Shares and/or other amounts acquired pursuant to this Award to the Company upon the Company’s enforcement of this Section 14.</w:t>
      </w:r>
    </w:p>
    <w:p>
      <w:pPr>
        <w:spacing w:after="0" w:line="178" w:lineRule="exact"/>
        <w:rPr>
          <w:rFonts w:ascii="Arial" w:cs="Arial" w:eastAsia="Arial" w:hAnsi="Arial"/>
          <w:sz w:val="22"/>
          <w:szCs w:val="22"/>
          <w:color w:val="auto"/>
        </w:rPr>
      </w:pPr>
    </w:p>
    <w:p>
      <w:pPr>
        <w:ind w:left="1300" w:hanging="644"/>
        <w:spacing w:after="0" w:line="257" w:lineRule="auto"/>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This Section 14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8"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23"/>
          <w:szCs w:val="23"/>
          <w:color w:val="auto"/>
        </w:rPr>
        <w:t>Section 15.</w:t>
        <w:tab/>
        <w:t>Award Subject to Acknowledgement of Acceptance</w:t>
      </w:r>
    </w:p>
    <w:p>
      <w:pPr>
        <w:spacing w:after="0" w:line="132" w:lineRule="exact"/>
        <w:rPr>
          <w:sz w:val="20"/>
          <w:szCs w:val="20"/>
          <w:color w:val="auto"/>
        </w:rPr>
      </w:pPr>
    </w:p>
    <w:p>
      <w:pPr>
        <w:jc w:val="both"/>
        <w:ind w:left="500"/>
        <w:spacing w:after="0" w:line="257"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on or before [•], through the website of E*TRADE, the Company’s stock plan administrator. If the Grantee does not acknowledge acceptance of the Award on or before [•], the Award will be cancelled, subject to the Committee's discretion for unforeseen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19</w:t>
      </w:r>
    </w:p>
    <w:p>
      <w:pPr>
        <w:sectPr>
          <w:pgSz w:w="11900" w:h="16838" w:orient="portrait"/>
          <w:cols w:equalWidth="0" w:num="1">
            <w:col w:w="11240"/>
          </w:cols>
          <w:pgMar w:left="320" w:top="127"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line="272"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18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31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20</w:t>
      </w:r>
    </w:p>
    <w:p>
      <w:pPr>
        <w:sectPr>
          <w:pgSz w:w="11900" w:h="16838" w:orient="portrait"/>
          <w:cols w:equalWidth="0" w:num="1">
            <w:col w:w="11240"/>
          </w:cols>
          <w:pgMar w:left="320" w:top="127"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Eli Lilly and Company Restricted Stock Unit Award Agreement (for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40"/>
        <w:spacing w:after="0"/>
        <w:rPr>
          <w:sz w:val="20"/>
          <w:szCs w:val="20"/>
          <w:color w:val="auto"/>
        </w:rPr>
      </w:pPr>
      <w:r>
        <w:rPr>
          <w:rFonts w:ascii="Arial" w:cs="Arial" w:eastAsia="Arial" w:hAnsi="Arial"/>
          <w:sz w:val="32"/>
          <w:szCs w:val="32"/>
          <w:color w:val="auto"/>
        </w:rPr>
        <w:t>Appendix</w:t>
      </w:r>
    </w:p>
    <w:p>
      <w:pPr>
        <w:spacing w:after="0" w:line="267" w:lineRule="exact"/>
        <w:rPr>
          <w:sz w:val="20"/>
          <w:szCs w:val="20"/>
          <w:color w:val="auto"/>
        </w:rPr>
      </w:pPr>
    </w:p>
    <w:p>
      <w:pPr>
        <w:ind w:left="4060"/>
        <w:spacing w:after="0"/>
        <w:rPr>
          <w:sz w:val="20"/>
          <w:szCs w:val="20"/>
          <w:color w:val="auto"/>
        </w:rPr>
      </w:pPr>
      <w:r>
        <w:rPr>
          <w:rFonts w:ascii="Arial" w:cs="Arial" w:eastAsia="Arial" w:hAnsi="Arial"/>
          <w:sz w:val="32"/>
          <w:szCs w:val="32"/>
          <w:color w:val="auto"/>
        </w:rPr>
        <w:t>Eli Lilly and Company</w:t>
      </w:r>
    </w:p>
    <w:p>
      <w:pPr>
        <w:spacing w:after="0" w:line="56" w:lineRule="exact"/>
        <w:rPr>
          <w:sz w:val="20"/>
          <w:szCs w:val="20"/>
          <w:color w:val="auto"/>
        </w:rPr>
      </w:pPr>
    </w:p>
    <w:p>
      <w:pPr>
        <w:jc w:val="center"/>
        <w:ind w:left="340" w:right="2360"/>
        <w:spacing w:after="0" w:line="260" w:lineRule="auto"/>
        <w:rPr>
          <w:sz w:val="20"/>
          <w:szCs w:val="20"/>
          <w:color w:val="auto"/>
        </w:rPr>
      </w:pPr>
      <w:r>
        <w:rPr>
          <w:rFonts w:ascii="Arial" w:cs="Arial" w:eastAsia="Arial" w:hAnsi="Arial"/>
          <w:sz w:val="32"/>
          <w:szCs w:val="32"/>
          <w:color w:val="auto"/>
        </w:rPr>
        <w:t>Amended and Restated 2002 Lilly Stock Plan Restricted Stock Unit Award Agreement (for Executive Officer)</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Unless otherwise defined herein, the terms defined in the Plan or the Award Agreement, as applicable, shall have the same meanings in this Appendix. Notwithstanding the foregoing, for purposes of this Appendix, “Share” shall mean a share of Common Stock and shall include any Fractional Share.</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22"/>
          <w:szCs w:val="22"/>
          <w:i w:val="1"/>
          <w:iCs w:val="1"/>
          <w:color w:val="auto"/>
        </w:rPr>
        <w:t>For more information regarding such obligations, the Grantee should</w:t>
      </w:r>
      <w:r>
        <w:rPr>
          <w:rFonts w:ascii="Arial" w:cs="Arial" w:eastAsia="Arial" w:hAnsi="Arial"/>
          <w:sz w:val="22"/>
          <w:szCs w:val="22"/>
          <w:color w:val="auto"/>
        </w:rPr>
        <w:t xml:space="preserve"> </w:t>
      </w:r>
      <w:r>
        <w:rPr>
          <w:rFonts w:ascii="Arial" w:cs="Arial" w:eastAsia="Arial" w:hAnsi="Arial"/>
          <w:sz w:val="22"/>
          <w:szCs w:val="22"/>
          <w:i w:val="1"/>
          <w:iCs w:val="1"/>
          <w:color w:val="auto"/>
        </w:rPr>
        <w:t>refer to the Country-Specific Tax Supplement for the Grantee’s country, if any</w:t>
      </w:r>
      <w:r>
        <w:rPr>
          <w:rFonts w:ascii="Arial" w:cs="Arial" w:eastAsia="Arial" w:hAnsi="Arial"/>
          <w:sz w:val="22"/>
          <w:szCs w:val="22"/>
          <w:color w:val="auto"/>
        </w:rPr>
        <w:t>.</w:t>
      </w:r>
      <w:r>
        <w:rPr>
          <w:rFonts w:ascii="Arial" w:cs="Arial" w:eastAsia="Arial" w:hAnsi="Arial"/>
          <w:sz w:val="22"/>
          <w:szCs w:val="22"/>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21</w:t>
      </w:r>
    </w:p>
    <w:p>
      <w:pPr>
        <w:sectPr>
          <w:pgSz w:w="11900" w:h="16838" w:orient="portrait"/>
          <w:cols w:equalWidth="0" w:num="1">
            <w:col w:w="11240"/>
          </w:cols>
          <w:pgMar w:left="320" w:top="127" w:right="339" w:bottom="1440" w:gutter="0" w:footer="0" w:header="0"/>
        </w:sectPr>
      </w:pPr>
    </w:p>
    <w:bookmarkStart w:id="182" w:name="page183"/>
    <w:bookmarkEnd w:id="182"/>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Exhibit 10.7 The Lilly Deferred Compensation Plan, as amended</w:t>
      </w:r>
    </w:p>
    <w:p>
      <w:pPr>
        <w:spacing w:after="0" w:line="25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ELI LILLY AND COMPANY</w:t>
      </w:r>
    </w:p>
    <w:p>
      <w:pPr>
        <w:spacing w:after="0" w:line="247" w:lineRule="exact"/>
        <w:rPr>
          <w:sz w:val="20"/>
          <w:szCs w:val="20"/>
          <w:color w:val="auto"/>
        </w:rPr>
      </w:pPr>
    </w:p>
    <w:p>
      <w:pPr>
        <w:jc w:val="center"/>
        <w:ind w:right="2100"/>
        <w:spacing w:after="0"/>
        <w:rPr>
          <w:sz w:val="20"/>
          <w:szCs w:val="20"/>
          <w:color w:val="auto"/>
        </w:rPr>
      </w:pPr>
      <w:r>
        <w:rPr>
          <w:rFonts w:ascii="Arial" w:cs="Arial" w:eastAsia="Arial" w:hAnsi="Arial"/>
          <w:sz w:val="22"/>
          <w:szCs w:val="22"/>
          <w:b w:val="1"/>
          <w:bCs w:val="1"/>
          <w:u w:val="single" w:color="auto"/>
          <w:color w:val="auto"/>
        </w:rPr>
        <w:t>THE LILLY DEFERRED COMPENSATION PLAN</w:t>
      </w:r>
    </w:p>
    <w:p>
      <w:pPr>
        <w:spacing w:after="0" w:line="26" w:lineRule="exact"/>
        <w:rPr>
          <w:sz w:val="20"/>
          <w:szCs w:val="20"/>
          <w:color w:val="auto"/>
        </w:rPr>
      </w:pPr>
    </w:p>
    <w:p>
      <w:pPr>
        <w:jc w:val="center"/>
        <w:ind w:right="2100"/>
        <w:spacing w:after="0"/>
        <w:rPr>
          <w:sz w:val="20"/>
          <w:szCs w:val="20"/>
          <w:color w:val="auto"/>
        </w:rPr>
      </w:pPr>
      <w:r>
        <w:rPr>
          <w:rFonts w:ascii="Arial" w:cs="Arial" w:eastAsia="Arial" w:hAnsi="Arial"/>
          <w:sz w:val="22"/>
          <w:szCs w:val="22"/>
          <w:b w:val="1"/>
          <w:bCs w:val="1"/>
          <w:u w:val="single" w:color="auto"/>
          <w:color w:val="auto"/>
        </w:rPr>
        <w:t>(as Amended and Restated Effective January 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Preamble</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Lilly Deferred Compensation Plan (the “Plan”) provides selected employees of Eli Lilly and Company (the “Company”) the opportunity to defer receipt of a portion of their compensation and have that deferred compensation earn investment returns until distributed. The Plan constitutes an unfunded deferred compensation plan maintained for a select group of management or highly compensated employees for purposes of ERISA. All benefits payable under the Plan will be paid out of the general assets of the Company. Notwithstanding any other provision of this Plan, this Plan shall be interpreted, operated and administered in a manner consistent with these intentions.</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For the rules that apply to the distribution of amounts that are grandfathered for purposes of the application of Section 409A (i.e., amounts deferred and applicable earnings under the Plan prior to 2005), see Appendix A.</w:t>
      </w:r>
    </w:p>
    <w:p>
      <w:pPr>
        <w:spacing w:after="0" w:line="15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u w:val="single" w:color="auto"/>
          <w:color w:val="auto"/>
        </w:rPr>
        <w:t>Definition of Terms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terms used in the Plan shall have the meanings set forth below:</w:t>
      </w:r>
    </w:p>
    <w:p>
      <w:pPr>
        <w:spacing w:after="0" w:line="220" w:lineRule="exact"/>
        <w:rPr>
          <w:sz w:val="20"/>
          <w:szCs w:val="20"/>
          <w:color w:val="auto"/>
        </w:rPr>
      </w:pPr>
    </w:p>
    <w:p>
      <w:pPr>
        <w:ind w:left="1880" w:hanging="576"/>
        <w:spacing w:after="0"/>
        <w:tabs>
          <w:tab w:leader="none" w:pos="18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the deferred compensation account maintained for each Participant under the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13" w:lineRule="exact"/>
        <w:rPr>
          <w:sz w:val="20"/>
          <w:szCs w:val="20"/>
          <w:color w:val="auto"/>
        </w:rPr>
      </w:pPr>
    </w:p>
    <w:p>
      <w:pPr>
        <w:jc w:val="both"/>
        <w:ind w:firstLine="1304"/>
        <w:spacing w:after="0" w:line="257" w:lineRule="auto"/>
        <w:tabs>
          <w:tab w:leader="none" w:pos="197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Bonus</w:t>
      </w:r>
      <w:r>
        <w:rPr>
          <w:rFonts w:ascii="Arial" w:cs="Arial" w:eastAsia="Arial" w:hAnsi="Arial"/>
          <w:sz w:val="22"/>
          <w:szCs w:val="22"/>
          <w:color w:val="auto"/>
        </w:rPr>
        <w:t>” means the pre-tax amount of a Participant’s annual bonus for a Plan Year, disregarding any deferrals, offsets or withholdings from such annual bonus, that is earned under the Eli Lilly and Company Bonus Plan, or any successor or similar annual bonus plan or arrangement of the Company in effect.</w:t>
      </w:r>
    </w:p>
    <w:p>
      <w:pPr>
        <w:spacing w:after="0" w:line="172" w:lineRule="exact"/>
        <w:rPr>
          <w:rFonts w:ascii="Arial" w:cs="Arial" w:eastAsia="Arial" w:hAnsi="Arial"/>
          <w:sz w:val="22"/>
          <w:szCs w:val="22"/>
          <w:color w:val="auto"/>
        </w:rPr>
      </w:pPr>
    </w:p>
    <w:p>
      <w:pPr>
        <w:jc w:val="both"/>
        <w:ind w:firstLine="1304"/>
        <w:spacing w:after="0" w:line="264" w:lineRule="auto"/>
        <w:tabs>
          <w:tab w:leader="none" w:pos="188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means the pre-tax amount of a Participant’s base salary from the Company or a Subsidiary as in effect from time to time during a Plan Year, disregarding any deferrals, offsets or withholdings from such base salary.</w:t>
      </w:r>
    </w:p>
    <w:p>
      <w:pPr>
        <w:spacing w:after="0" w:line="164" w:lineRule="exact"/>
        <w:rPr>
          <w:rFonts w:ascii="Arial" w:cs="Arial" w:eastAsia="Arial" w:hAnsi="Arial"/>
          <w:sz w:val="22"/>
          <w:szCs w:val="22"/>
          <w:color w:val="auto"/>
        </w:rPr>
      </w:pPr>
    </w:p>
    <w:p>
      <w:pPr>
        <w:ind w:right="20" w:firstLine="1304"/>
        <w:spacing w:after="0" w:line="296" w:lineRule="auto"/>
        <w:tabs>
          <w:tab w:leader="none" w:pos="181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Beneficiary</w:t>
      </w:r>
      <w:r>
        <w:rPr>
          <w:rFonts w:ascii="Arial" w:cs="Arial" w:eastAsia="Arial" w:hAnsi="Arial"/>
          <w:sz w:val="21"/>
          <w:szCs w:val="21"/>
          <w:color w:val="auto"/>
        </w:rPr>
        <w:t>” means the person or persons who are designated by the Participant or are otherwise entitled to receive benefits under the Plan in the event of the Participant’s death, as provided in Section 5(c)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5" w:lineRule="exact"/>
        <w:rPr>
          <w:sz w:val="20"/>
          <w:szCs w:val="20"/>
          <w:color w:val="auto"/>
        </w:rPr>
      </w:pPr>
    </w:p>
    <w:p>
      <w:pPr>
        <w:ind w:left="1800" w:hanging="496"/>
        <w:spacing w:after="0"/>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1800" w:hanging="496"/>
        <w:spacing w:after="0"/>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Eli Lilly and Company, an Indiana corporation.</w:t>
      </w:r>
    </w:p>
    <w:p>
      <w:pPr>
        <w:spacing w:after="0" w:line="219" w:lineRule="exact"/>
        <w:rPr>
          <w:rFonts w:ascii="Arial" w:cs="Arial" w:eastAsia="Arial" w:hAnsi="Arial"/>
          <w:sz w:val="22"/>
          <w:szCs w:val="22"/>
          <w:color w:val="auto"/>
        </w:rPr>
      </w:pPr>
    </w:p>
    <w:p>
      <w:pPr>
        <w:ind w:firstLine="1304"/>
        <w:spacing w:after="0" w:line="272" w:lineRule="auto"/>
        <w:tabs>
          <w:tab w:leader="none" w:pos="201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Amount</w:t>
      </w:r>
      <w:r>
        <w:rPr>
          <w:rFonts w:ascii="Arial" w:cs="Arial" w:eastAsia="Arial" w:hAnsi="Arial"/>
          <w:sz w:val="22"/>
          <w:szCs w:val="22"/>
          <w:color w:val="auto"/>
        </w:rPr>
        <w:t>” means the amount of a Participant’s compensation that is elected by a Participant for deferral under the Plan on an Election Form for a Plan Year.</w:t>
      </w:r>
    </w:p>
    <w:p>
      <w:pPr>
        <w:spacing w:after="0" w:line="155" w:lineRule="exact"/>
        <w:rPr>
          <w:rFonts w:ascii="Arial" w:cs="Arial" w:eastAsia="Arial" w:hAnsi="Arial"/>
          <w:sz w:val="22"/>
          <w:szCs w:val="22"/>
          <w:color w:val="auto"/>
        </w:rPr>
      </w:pPr>
    </w:p>
    <w:p>
      <w:pPr>
        <w:jc w:val="both"/>
        <w:ind w:firstLine="1304"/>
        <w:spacing w:after="0" w:line="264" w:lineRule="auto"/>
        <w:tabs>
          <w:tab w:leader="none" w:pos="175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Form</w:t>
      </w:r>
      <w:r>
        <w:rPr>
          <w:rFonts w:ascii="Arial" w:cs="Arial" w:eastAsia="Arial" w:hAnsi="Arial"/>
          <w:sz w:val="22"/>
          <w:szCs w:val="22"/>
          <w:color w:val="auto"/>
        </w:rPr>
        <w:t>” means the written or electronic form provided by the Plan Administrator specifying the terms and conditions of an election to defer compensation under the Plan and setting forth the Participant’s Beneficiary designation and the terms of distribution of the Participant’s Account pursuant to Section 5.</w:t>
      </w:r>
    </w:p>
    <w:p>
      <w:pPr>
        <w:spacing w:after="0" w:line="164" w:lineRule="exact"/>
        <w:rPr>
          <w:rFonts w:ascii="Arial" w:cs="Arial" w:eastAsia="Arial" w:hAnsi="Arial"/>
          <w:sz w:val="22"/>
          <w:szCs w:val="22"/>
          <w:color w:val="auto"/>
        </w:rPr>
      </w:pPr>
    </w:p>
    <w:p>
      <w:pPr>
        <w:jc w:val="both"/>
        <w:ind w:firstLine="1304"/>
        <w:spacing w:after="0" w:line="257" w:lineRule="auto"/>
        <w:tabs>
          <w:tab w:leader="none" w:pos="189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(i) any SEC Executive Officer of the Company, and (ii) any other employee of the Company or any Subsidiary who is among a “select group of management or highly compensated employees” for purposes of ERISA as may be selected by the Plan Administrator (or its designee) on an annual basis for participation in the Plan.</w:t>
      </w:r>
    </w:p>
    <w:p>
      <w:pPr>
        <w:spacing w:after="0" w:line="171" w:lineRule="exact"/>
        <w:rPr>
          <w:rFonts w:ascii="Arial" w:cs="Arial" w:eastAsia="Arial" w:hAnsi="Arial"/>
          <w:sz w:val="22"/>
          <w:szCs w:val="22"/>
          <w:color w:val="auto"/>
        </w:rPr>
      </w:pPr>
    </w:p>
    <w:p>
      <w:pPr>
        <w:ind w:left="1800" w:hanging="496"/>
        <w:spacing w:after="0"/>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19" w:lineRule="exact"/>
        <w:rPr>
          <w:rFonts w:ascii="Arial" w:cs="Arial" w:eastAsia="Arial" w:hAnsi="Arial"/>
          <w:sz w:val="22"/>
          <w:szCs w:val="22"/>
          <w:color w:val="auto"/>
        </w:rPr>
      </w:pPr>
    </w:p>
    <w:p>
      <w:pPr>
        <w:ind w:firstLine="1304"/>
        <w:spacing w:after="0" w:line="257" w:lineRule="auto"/>
        <w:tabs>
          <w:tab w:leader="none" w:pos="172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“Investment Election Form” means the form provided to the Participant by the Plan Administrator on which the Participant specifies the Investment Funds in which the Participant’s Account(s) are to be deemed to be invested.</w:t>
      </w:r>
    </w:p>
    <w:p>
      <w:pPr>
        <w:spacing w:after="0" w:line="172" w:lineRule="exact"/>
        <w:rPr>
          <w:rFonts w:ascii="Arial" w:cs="Arial" w:eastAsia="Arial" w:hAnsi="Arial"/>
          <w:sz w:val="22"/>
          <w:szCs w:val="22"/>
          <w:color w:val="auto"/>
        </w:rPr>
      </w:pPr>
    </w:p>
    <w:p>
      <w:pPr>
        <w:ind w:left="1860" w:hanging="556"/>
        <w:spacing w:after="0"/>
        <w:tabs>
          <w:tab w:leader="none" w:pos="186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“Investment Fund(s)” means one or more of the funds selected by the Plan Administrator pursuant</w:t>
      </w:r>
    </w:p>
    <w:p>
      <w:pPr>
        <w:spacing w:after="0" w:line="4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to Section 4(d).</w:t>
      </w:r>
    </w:p>
    <w:p>
      <w:pPr>
        <w:spacing w:after="0" w:line="206" w:lineRule="exact"/>
        <w:rPr>
          <w:rFonts w:ascii="Arial" w:cs="Arial" w:eastAsia="Arial" w:hAnsi="Arial"/>
          <w:sz w:val="21"/>
          <w:szCs w:val="21"/>
          <w:color w:val="auto"/>
        </w:rPr>
      </w:pPr>
    </w:p>
    <w:p>
      <w:pPr>
        <w:ind w:right="240" w:firstLine="1304"/>
        <w:spacing w:after="0" w:line="272" w:lineRule="auto"/>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“Participant” means an Eligible Employee who has been designated by the Plan Administrator to participate in the Plan and who elects to defer compensation under Section 3 hereof.</w:t>
      </w:r>
    </w:p>
    <w:p>
      <w:pPr>
        <w:spacing w:after="0" w:line="155" w:lineRule="exact"/>
        <w:rPr>
          <w:rFonts w:ascii="Arial" w:cs="Arial" w:eastAsia="Arial" w:hAnsi="Arial"/>
          <w:sz w:val="22"/>
          <w:szCs w:val="22"/>
          <w:color w:val="auto"/>
        </w:rPr>
      </w:pPr>
    </w:p>
    <w:p>
      <w:pPr>
        <w:ind w:left="1800" w:hanging="496"/>
        <w:spacing w:after="0"/>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“Plan” means The Lilly Deferred Compensation Plan, as amended and restated herein.</w:t>
      </w:r>
    </w:p>
    <w:p>
      <w:pPr>
        <w:spacing w:after="0" w:line="219" w:lineRule="exact"/>
        <w:rPr>
          <w:rFonts w:ascii="Arial" w:cs="Arial" w:eastAsia="Arial" w:hAnsi="Arial"/>
          <w:sz w:val="22"/>
          <w:szCs w:val="22"/>
          <w:color w:val="auto"/>
        </w:rPr>
      </w:pPr>
    </w:p>
    <w:p>
      <w:pPr>
        <w:ind w:right="20" w:firstLine="1304"/>
        <w:spacing w:after="0" w:line="253" w:lineRule="auto"/>
        <w:tabs>
          <w:tab w:leader="none" w:pos="18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“Plan Administrator” means the Talent &amp; Compensation Committee of the Board. The Talent &amp; Compensation Committee may at its discretion delegate any of its responsibilities to one or more individuals provided that such delegation is in accordance with applicable laws and provided further that the Talent &amp; Compensation Committee may not delegate authority to make individual determinations under the Plan as to SEC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5" w:lineRule="exact"/>
        <w:rPr>
          <w:sz w:val="20"/>
          <w:szCs w:val="20"/>
          <w:color w:val="auto"/>
        </w:rPr>
      </w:pPr>
    </w:p>
    <w:p>
      <w:pPr>
        <w:ind w:right="200" w:firstLine="1304"/>
        <w:spacing w:after="0" w:line="285" w:lineRule="auto"/>
        <w:tabs>
          <w:tab w:leader="none" w:pos="18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“Plan Year” means the calendar year from January 1 through December 31 with respect to which the Deferral Amount under the Plan is earned.</w:t>
      </w:r>
    </w:p>
    <w:p>
      <w:pPr>
        <w:spacing w:after="0" w:line="141" w:lineRule="exact"/>
        <w:rPr>
          <w:rFonts w:ascii="Arial" w:cs="Arial" w:eastAsia="Arial" w:hAnsi="Arial"/>
          <w:sz w:val="22"/>
          <w:szCs w:val="22"/>
          <w:color w:val="auto"/>
        </w:rPr>
      </w:pPr>
    </w:p>
    <w:p>
      <w:pPr>
        <w:ind w:right="440" w:firstLine="1304"/>
        <w:spacing w:after="0" w:line="272" w:lineRule="auto"/>
        <w:tabs>
          <w:tab w:leader="none" w:pos="175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“Rate of Return” means, for each Investment Fund, an amount equal to the net gain or net loss (expressed as a percentage) on the assets of that Investment Fund.</w:t>
      </w:r>
    </w:p>
    <w:p>
      <w:pPr>
        <w:spacing w:after="0" w:line="155" w:lineRule="exact"/>
        <w:rPr>
          <w:rFonts w:ascii="Arial" w:cs="Arial" w:eastAsia="Arial" w:hAnsi="Arial"/>
          <w:sz w:val="22"/>
          <w:szCs w:val="22"/>
          <w:color w:val="auto"/>
        </w:rPr>
      </w:pPr>
    </w:p>
    <w:p>
      <w:pPr>
        <w:ind w:right="80" w:firstLine="1304"/>
        <w:spacing w:after="0" w:line="264" w:lineRule="auto"/>
        <w:tabs>
          <w:tab w:leader="none" w:pos="178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“SEC Executive Officer” means an executive officer of the Company for purposes of the Securities and Exchange Commission’s rules and regulations and deemed an “officer” of the Company for purposes of Section 16 of the Securities Exchange Act of 1934.</w:t>
      </w:r>
    </w:p>
    <w:p>
      <w:pPr>
        <w:spacing w:after="0" w:line="164" w:lineRule="exact"/>
        <w:rPr>
          <w:rFonts w:ascii="Arial" w:cs="Arial" w:eastAsia="Arial" w:hAnsi="Arial"/>
          <w:sz w:val="22"/>
          <w:szCs w:val="22"/>
          <w:color w:val="auto"/>
        </w:rPr>
      </w:pPr>
    </w:p>
    <w:p>
      <w:pPr>
        <w:ind w:right="420" w:firstLine="1304"/>
        <w:spacing w:after="0" w:line="272" w:lineRule="auto"/>
        <w:tabs>
          <w:tab w:leader="none" w:pos="17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“Section 409A” means section 409A of the Code and the Treasury regulations and other official guidance promulgated thereunder.</w:t>
      </w:r>
    </w:p>
    <w:p>
      <w:pPr>
        <w:spacing w:after="0" w:line="155" w:lineRule="exact"/>
        <w:rPr>
          <w:rFonts w:ascii="Arial" w:cs="Arial" w:eastAsia="Arial" w:hAnsi="Arial"/>
          <w:sz w:val="22"/>
          <w:szCs w:val="22"/>
          <w:color w:val="auto"/>
        </w:rPr>
      </w:pPr>
    </w:p>
    <w:p>
      <w:pPr>
        <w:ind w:left="1800" w:hanging="496"/>
        <w:spacing w:after="0"/>
        <w:tabs>
          <w:tab w:leader="none" w:pos="180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“Separation from Service” means a “separation from service” within the meaning of Section 409A.</w:t>
      </w:r>
    </w:p>
    <w:p>
      <w:pPr>
        <w:spacing w:after="0" w:line="231" w:lineRule="exact"/>
        <w:rPr>
          <w:rFonts w:ascii="Arial" w:cs="Arial" w:eastAsia="Arial" w:hAnsi="Arial"/>
          <w:sz w:val="21"/>
          <w:szCs w:val="21"/>
          <w:color w:val="auto"/>
        </w:rPr>
      </w:pPr>
    </w:p>
    <w:p>
      <w:pPr>
        <w:ind w:right="480" w:firstLine="1304"/>
        <w:spacing w:after="0" w:line="285" w:lineRule="auto"/>
        <w:tabs>
          <w:tab w:leader="none" w:pos="178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“Subsidiary” means any corporation in which the Company has control, directly or indirectly, of more than fifty percent (50%) of the aggregate voting securities of the corporation.</w:t>
      </w:r>
    </w:p>
    <w:p>
      <w:pPr>
        <w:spacing w:after="0" w:line="141" w:lineRule="exact"/>
        <w:rPr>
          <w:rFonts w:ascii="Arial" w:cs="Arial" w:eastAsia="Arial" w:hAnsi="Arial"/>
          <w:sz w:val="22"/>
          <w:szCs w:val="22"/>
          <w:color w:val="auto"/>
        </w:rPr>
      </w:pPr>
    </w:p>
    <w:p>
      <w:pPr>
        <w:ind w:right="140" w:firstLine="1304"/>
        <w:spacing w:after="0" w:line="251" w:lineRule="auto"/>
        <w:tabs>
          <w:tab w:leader="none" w:pos="183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“Unforeseeable Emergency” means a severe financial hardship of a Participant resulting from an illness or accident of such Participant or Beneficiary, such Participant’s spouse or a dependent (as defined in section 152(a) of the Code) of such Participant, loss of such Participant’s property due to casualty, or other similar extraordinary and unforeseeable circumstances arising as a result of events beyond the control of such Participant, each as determined in the manner consistent with Section 409A, and any other event or circumstance within the meaning of the term “unforeseeable emergency” under Section 409A.</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u w:val="single" w:color="auto"/>
          <w:color w:val="auto"/>
        </w:rPr>
        <w:t>Plan Administrator</w:t>
      </w:r>
    </w:p>
    <w:p>
      <w:pPr>
        <w:spacing w:after="0" w:line="222" w:lineRule="exact"/>
        <w:rPr>
          <w:sz w:val="20"/>
          <w:szCs w:val="20"/>
          <w:color w:val="auto"/>
        </w:rPr>
      </w:pPr>
    </w:p>
    <w:p>
      <w:pPr>
        <w:jc w:val="both"/>
        <w:ind w:firstLine="1304"/>
        <w:spacing w:after="0" w:line="250" w:lineRule="auto"/>
        <w:tabs>
          <w:tab w:leader="none" w:pos="18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Plan Administrator shall have full authority to administer the Plan in accordance with its terms and to exercise all responsibilities and authorities as provided herein, including the discretionary authorities to designate the Eligible Employees who may participate in the Plan, to determine the elements of compensation that a Participant may defer in the Plan (e.g., Annual Bonus) by designation on the Election Form, to establish administrative guidelines for Account allocations and distributions, and to adopt such rules and regulations for administering the Plan as it may deem necessary or appropriate. The Plan Administrator has the discretionary authority to interpret and construe all provisions of the Plan, to remedy possible ambiguities, inconsistencies, or omissions under the Plan, and to resolve all questions of fact arising under the Plan. The decisions of the Plan Administrator shall be final, binding and conclusive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5" w:lineRule="exact"/>
        <w:rPr>
          <w:sz w:val="20"/>
          <w:szCs w:val="20"/>
          <w:color w:val="auto"/>
        </w:rPr>
      </w:pPr>
    </w:p>
    <w:p>
      <w:pPr>
        <w:jc w:val="both"/>
        <w:ind w:firstLine="1304"/>
        <w:spacing w:after="0" w:line="253" w:lineRule="auto"/>
        <w:tabs>
          <w:tab w:leader="none" w:pos="180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Delegation</w:t>
      </w:r>
      <w:r>
        <w:rPr>
          <w:rFonts w:ascii="Arial" w:cs="Arial" w:eastAsia="Arial" w:hAnsi="Arial"/>
          <w:sz w:val="22"/>
          <w:szCs w:val="22"/>
          <w:color w:val="auto"/>
        </w:rPr>
        <w:t>. The appropriate officer(s) of the Company as designated by the Plan Administrator are authorized to act on behalf of the Plan Administrator for the day-to-day administration of the Plan, subject to the authority of the Plan Administrator. The Plan Administrator may also specifically delegate to the appropriate officer(s) the authority to designate the Eligible Employees (other than SEC Executive Officers) who may participate in the Plan.</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u w:val="single" w:color="auto"/>
          <w:color w:val="auto"/>
        </w:rPr>
        <w:t>Participation</w:t>
      </w:r>
    </w:p>
    <w:p>
      <w:pPr>
        <w:spacing w:after="0" w:line="235" w:lineRule="exact"/>
        <w:rPr>
          <w:sz w:val="20"/>
          <w:szCs w:val="20"/>
          <w:color w:val="auto"/>
        </w:rPr>
      </w:pPr>
    </w:p>
    <w:p>
      <w:pPr>
        <w:jc w:val="both"/>
        <w:ind w:firstLine="1304"/>
        <w:spacing w:after="0" w:line="257" w:lineRule="auto"/>
        <w:tabs>
          <w:tab w:leader="none" w:pos="1813"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Participants</w:t>
      </w:r>
      <w:r>
        <w:rPr>
          <w:rFonts w:ascii="Arial" w:cs="Arial" w:eastAsia="Arial" w:hAnsi="Arial"/>
          <w:sz w:val="22"/>
          <w:szCs w:val="22"/>
          <w:color w:val="auto"/>
        </w:rPr>
        <w:t>. Each Eligible Employee who makes an election to defer compensation in accordance with Section 3(b) shall become a Participant in the Plan and shall remain a Participant until receiving the distribution of the Participant’s entire Account balance in accordance with Section 5 of the Plan.</w:t>
      </w:r>
    </w:p>
    <w:p>
      <w:pPr>
        <w:spacing w:after="0" w:line="172" w:lineRule="exact"/>
        <w:rPr>
          <w:rFonts w:ascii="Arial" w:cs="Arial" w:eastAsia="Arial" w:hAnsi="Arial"/>
          <w:sz w:val="22"/>
          <w:szCs w:val="22"/>
          <w:color w:val="auto"/>
        </w:rPr>
      </w:pPr>
    </w:p>
    <w:p>
      <w:pPr>
        <w:jc w:val="both"/>
        <w:ind w:firstLine="1304"/>
        <w:spacing w:after="0" w:line="249" w:lineRule="auto"/>
        <w:tabs>
          <w:tab w:leader="none" w:pos="1827"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 An Eligible Employee may file an Election Form with the Plan Administrator on or before the date specified in accordance with Section 3(c) hereof. The Election Form shall permit the Participant to specify the Deferral Amount subject to any minimum and maximum Deferral Amount that may be specified by the Plan Administrator in the Election Form. The Election Form shall also set forth the terms of distribution of the Participant’s Account in accordance with Section 5 hereof and the Participant’s Beneficiary designation. All elections to defer compensation under the Plan are irrevocable, and Participants are not permitted to change elections made on any Election Form after it has been submitted to the Plan Administrator, except as specifically provided under the terms of the Plan.</w:t>
      </w:r>
    </w:p>
    <w:p>
      <w:pPr>
        <w:spacing w:after="0" w:line="195" w:lineRule="exact"/>
        <w:rPr>
          <w:rFonts w:ascii="Arial" w:cs="Arial" w:eastAsia="Arial" w:hAnsi="Arial"/>
          <w:sz w:val="22"/>
          <w:szCs w:val="22"/>
          <w:color w:val="auto"/>
        </w:rPr>
      </w:pPr>
    </w:p>
    <w:p>
      <w:pPr>
        <w:ind w:firstLine="1304"/>
        <w:spacing w:after="0" w:line="272" w:lineRule="auto"/>
        <w:tabs>
          <w:tab w:leader="none" w:pos="1788"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Timing and Effect of Elections</w:t>
      </w:r>
      <w:r>
        <w:rPr>
          <w:rFonts w:ascii="Arial" w:cs="Arial" w:eastAsia="Arial" w:hAnsi="Arial"/>
          <w:sz w:val="22"/>
          <w:szCs w:val="22"/>
          <w:color w:val="auto"/>
        </w:rPr>
        <w:t>. Unless otherwise specified by the Plan Administrator in accordance with the requirements of Section 409A, deferral elections on an Election Form shall be made:</w:t>
      </w:r>
    </w:p>
    <w:p>
      <w:pPr>
        <w:spacing w:after="0" w:line="155" w:lineRule="exact"/>
        <w:rPr>
          <w:rFonts w:ascii="Arial" w:cs="Arial" w:eastAsia="Arial" w:hAnsi="Arial"/>
          <w:sz w:val="22"/>
          <w:szCs w:val="22"/>
          <w:color w:val="auto"/>
        </w:rPr>
      </w:pPr>
    </w:p>
    <w:p>
      <w:pPr>
        <w:jc w:val="both"/>
        <w:ind w:left="1300" w:firstLine="652"/>
        <w:spacing w:after="0" w:line="257" w:lineRule="auto"/>
        <w:tabs>
          <w:tab w:leader="none" w:pos="2491" w:val="left"/>
        </w:tabs>
        <w:numPr>
          <w:ilvl w:val="1"/>
          <w:numId w:val="141"/>
        </w:numPr>
        <w:rPr>
          <w:rFonts w:ascii="Arial" w:cs="Arial" w:eastAsia="Arial" w:hAnsi="Arial"/>
          <w:sz w:val="22"/>
          <w:szCs w:val="22"/>
          <w:color w:val="auto"/>
        </w:rPr>
      </w:pPr>
      <w:r>
        <w:rPr>
          <w:rFonts w:ascii="Arial" w:cs="Arial" w:eastAsia="Arial" w:hAnsi="Arial"/>
          <w:sz w:val="22"/>
          <w:szCs w:val="22"/>
          <w:color w:val="auto"/>
        </w:rPr>
        <w:t>In the case of Base Salary and any Annual Bonus not qualifying as “performance-based compensation” within the meaning of Section 409A, prior to the beginning of the Plan Year with respect to which the Base Salary and/or Annual Bonus is earned; and</w:t>
      </w:r>
    </w:p>
    <w:p>
      <w:pPr>
        <w:spacing w:after="0" w:line="186" w:lineRule="exact"/>
        <w:rPr>
          <w:rFonts w:ascii="Arial" w:cs="Arial" w:eastAsia="Arial" w:hAnsi="Arial"/>
          <w:sz w:val="22"/>
          <w:szCs w:val="22"/>
          <w:color w:val="auto"/>
        </w:rPr>
      </w:pPr>
    </w:p>
    <w:p>
      <w:pPr>
        <w:jc w:val="both"/>
        <w:ind w:left="1300" w:firstLine="652"/>
        <w:spacing w:after="0" w:line="257" w:lineRule="auto"/>
        <w:tabs>
          <w:tab w:leader="none" w:pos="246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In the case of Annual Bonus that the Plan Administrator determines is “performance-based compensation” within the meaning of Section 409A, no later than June 30th of the applicable Plan Year with respect to which the Annual Bonus is earned.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Deferral elections shall apply to compensation for the Plan Year for which they are made on an Election Form. Participants will be required to make deferral elections for future Plan Years at such times to be specified by the Plan Administrator in accordance with the foregoing. If a Participant does not file an Election Form with the Plan Administrator on or before the deadline established by the Plan Administrator for deferral elections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5" w:lineRule="exact"/>
        <w:rPr>
          <w:sz w:val="20"/>
          <w:szCs w:val="20"/>
          <w:color w:val="auto"/>
        </w:rPr>
      </w:pPr>
    </w:p>
    <w:p>
      <w:pPr>
        <w:ind w:right="1360"/>
        <w:spacing w:after="0" w:line="454" w:lineRule="auto"/>
        <w:rPr>
          <w:sz w:val="20"/>
          <w:szCs w:val="20"/>
          <w:color w:val="auto"/>
        </w:rPr>
      </w:pPr>
      <w:r>
        <w:rPr>
          <w:rFonts w:ascii="Arial" w:cs="Arial" w:eastAsia="Arial" w:hAnsi="Arial"/>
          <w:sz w:val="22"/>
          <w:szCs w:val="22"/>
          <w:color w:val="auto"/>
        </w:rPr>
        <w:t xml:space="preserve">a Plan Year, a Participant will be deemed not to have elected to defer compensation for such Plan Year. </w:t>
      </w: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Accounts and Interest Credits</w:t>
      </w:r>
    </w:p>
    <w:p>
      <w:pPr>
        <w:spacing w:after="0" w:line="1" w:lineRule="exact"/>
        <w:rPr>
          <w:sz w:val="20"/>
          <w:szCs w:val="20"/>
          <w:color w:val="auto"/>
        </w:rPr>
      </w:pPr>
    </w:p>
    <w:p>
      <w:pPr>
        <w:jc w:val="both"/>
        <w:ind w:firstLine="1304"/>
        <w:spacing w:after="0" w:line="250" w:lineRule="auto"/>
        <w:tabs>
          <w:tab w:leader="none" w:pos="194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Participant Accounts</w:t>
      </w:r>
      <w:r>
        <w:rPr>
          <w:rFonts w:ascii="Arial" w:cs="Arial" w:eastAsia="Arial" w:hAnsi="Arial"/>
          <w:sz w:val="22"/>
          <w:szCs w:val="22"/>
          <w:color w:val="auto"/>
        </w:rPr>
        <w:t>. An Account shall be maintained for each Participant under the Plan. A Participant’s Account shall consist of book entries only and shall not constitute a separate cash fund or other asset held in trust or as security for the Company’s obligation to pay the amount of the Account to the Participant. A Participant’s Account may include sub-accounts as the Company considers necessary or advisable for purposes of maintaining a proper accounting of amounts credited or debited for a Participant under the Plan. A Participant shall receive or have on-line access to a statement of such Participant’s Account no less frequently than once a year following the end of each Plan Year.</w:t>
      </w:r>
    </w:p>
    <w:p>
      <w:pPr>
        <w:spacing w:after="0" w:line="180" w:lineRule="exact"/>
        <w:rPr>
          <w:rFonts w:ascii="Arial" w:cs="Arial" w:eastAsia="Arial" w:hAnsi="Arial"/>
          <w:sz w:val="22"/>
          <w:szCs w:val="22"/>
          <w:color w:val="auto"/>
        </w:rPr>
      </w:pPr>
    </w:p>
    <w:p>
      <w:pPr>
        <w:jc w:val="both"/>
        <w:ind w:firstLine="1304"/>
        <w:spacing w:after="0" w:line="253" w:lineRule="auto"/>
        <w:tabs>
          <w:tab w:leader="none" w:pos="2029"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Crediting of Deferral Amount</w:t>
      </w:r>
      <w:r>
        <w:rPr>
          <w:rFonts w:ascii="Arial" w:cs="Arial" w:eastAsia="Arial" w:hAnsi="Arial"/>
          <w:sz w:val="22"/>
          <w:szCs w:val="22"/>
          <w:color w:val="auto"/>
        </w:rPr>
        <w:t>. A Participant who has filed an Election Form with the Plan Administrator for the deferral shall have the Deferral Amount deducted from the applicable compensation and credited to the Participant’s Account under the Plan at the same time as the compensation would otherwise be paid to the Participant. The Deferral Amount so credited shall be reduced by applicable withholding, distributions and expenses.</w:t>
      </w:r>
    </w:p>
    <w:p>
      <w:pPr>
        <w:spacing w:after="0" w:line="178" w:lineRule="exact"/>
        <w:rPr>
          <w:rFonts w:ascii="Arial" w:cs="Arial" w:eastAsia="Arial" w:hAnsi="Arial"/>
          <w:sz w:val="22"/>
          <w:szCs w:val="22"/>
          <w:color w:val="auto"/>
        </w:rPr>
      </w:pPr>
    </w:p>
    <w:p>
      <w:pPr>
        <w:jc w:val="both"/>
        <w:ind w:firstLine="1304"/>
        <w:spacing w:after="0" w:line="250" w:lineRule="auto"/>
        <w:tabs>
          <w:tab w:leader="none" w:pos="182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Pre-2025 Interest Credit</w:t>
      </w:r>
      <w:r>
        <w:rPr>
          <w:rFonts w:ascii="Arial" w:cs="Arial" w:eastAsia="Arial" w:hAnsi="Arial"/>
          <w:sz w:val="22"/>
          <w:szCs w:val="22"/>
          <w:color w:val="auto"/>
        </w:rPr>
        <w:t>. Participant Accounts shall be credited with interest computed each Plan Year or portion thereof at a rate equal to 120% of the long-term applicable federal rate, with monthly compounding (as prescribed under section 1274(d) of the Code), as in effect for the month of December for the immediately preceding Plan Year through December 31, 2024 (the “Pre-2025 Interest Credit”). The Pre-2025 Interest Credit accrues on Deferral Amounts deferred by a Participant through December 31, 2024, and the prior earnings thereon, shall be credited daily to a Participant’s Account (the “Pre-2025 Account”). A Participant’s Pre-2025 Account shall continue to accrue the Pre-2025 Interest Credit until December 31, 2027.</w:t>
      </w:r>
    </w:p>
    <w:p>
      <w:pPr>
        <w:spacing w:after="0" w:line="180" w:lineRule="exact"/>
        <w:rPr>
          <w:rFonts w:ascii="Arial" w:cs="Arial" w:eastAsia="Arial" w:hAnsi="Arial"/>
          <w:sz w:val="22"/>
          <w:szCs w:val="22"/>
          <w:color w:val="auto"/>
        </w:rPr>
      </w:pPr>
    </w:p>
    <w:p>
      <w:pPr>
        <w:jc w:val="both"/>
        <w:ind w:firstLine="1304"/>
        <w:spacing w:after="0" w:line="252" w:lineRule="auto"/>
        <w:tabs>
          <w:tab w:leader="none" w:pos="189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Post-2024 Investment Fund(s)</w:t>
      </w:r>
      <w:r>
        <w:rPr>
          <w:rFonts w:ascii="Arial" w:cs="Arial" w:eastAsia="Arial" w:hAnsi="Arial"/>
          <w:sz w:val="22"/>
          <w:szCs w:val="22"/>
          <w:color w:val="auto"/>
        </w:rPr>
        <w:t>. The Plan Administrator shall make available investment options (the “Investment Fund(s)”) that serve as benchmark funds under the Plan after January 1, 2025 (the “Post-2024 Investment Fund(s)”). A Participant’s Account shall not actually be invested in the Investment Funds and the Participant shall not be considered a shareholder of any of the Investment Funds he or she selects by virtue of participation in the Plan. Instead, the Participant shall be considered invested in, and his or her Deferral Amounts deferred after January 1, 2025, shall reflect such Investment Fund’s Rate of Return (the “Post-2025 Account”). A Participant’s election of investments shall be subject to the following rules:</w:t>
      </w:r>
    </w:p>
    <w:p>
      <w:pPr>
        <w:spacing w:after="0" w:line="179" w:lineRule="exact"/>
        <w:rPr>
          <w:sz w:val="20"/>
          <w:szCs w:val="20"/>
          <w:color w:val="auto"/>
        </w:rPr>
      </w:pPr>
    </w:p>
    <w:p>
      <w:pPr>
        <w:ind w:left="1300" w:firstLine="4"/>
        <w:spacing w:after="0" w:line="272" w:lineRule="auto"/>
        <w:tabs>
          <w:tab w:leader="none" w:pos="156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Participants shall make their investment elections on an Investment Election Form provided by the Plan Administrator (an “Investment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5" w:lineRule="exact"/>
        <w:rPr>
          <w:sz w:val="20"/>
          <w:szCs w:val="20"/>
          <w:color w:val="auto"/>
        </w:rPr>
      </w:pPr>
    </w:p>
    <w:p>
      <w:pPr>
        <w:jc w:val="both"/>
        <w:ind w:left="1300" w:firstLine="4"/>
        <w:spacing w:after="0" w:line="251" w:lineRule="auto"/>
        <w:tabs>
          <w:tab w:leader="none" w:pos="1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Investment Election Form completed by the Participant shall apply only to the Deferral Amount being deferred in a single Plan Year and shall specify the Investment Funds in which the deferrals for each such Plan Year are to be deemed to be invested, and the portion (expressed in whole percentage increments) of the deferrals for such Plan Year that are to be deemed to be invested in each such Investment Fund, and shall continue in effect until revoked or changed as permitted by the Plan Administrator.</w:t>
      </w:r>
    </w:p>
    <w:p>
      <w:pPr>
        <w:spacing w:after="0" w:line="195" w:lineRule="exact"/>
        <w:rPr>
          <w:sz w:val="20"/>
          <w:szCs w:val="20"/>
          <w:color w:val="auto"/>
        </w:rPr>
      </w:pPr>
    </w:p>
    <w:p>
      <w:pPr>
        <w:ind w:right="60" w:firstLine="1304"/>
        <w:spacing w:after="0" w:line="251" w:lineRule="auto"/>
        <w:tabs>
          <w:tab w:leader="none" w:pos="18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Pre-2025 Account Transition. On or before December 31, 2027, a Participant must complete an Investment Election Form to select an Investment Fund(s) to apply to his or her Pre-2025 Account as of first day of the following Plan Year. After making such election, a Participant is not permitted to revert to the Pre-2025 Interest Credit earnings method on his or her Pre-2025 Account. Notwithstanding the foregoing, if a Participant does not complete an Investment Election Form for his or her Pre-2025 Account by December 31, 2027, his Pre-2025 Account will be transferred to the Plan’s stable value Investment Fund on January 1, 2028.</w:t>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u w:val="single" w:color="auto"/>
          <w:color w:val="auto"/>
        </w:rPr>
        <w:t>Distribution of Accounts</w:t>
      </w:r>
    </w:p>
    <w:p>
      <w:pPr>
        <w:spacing w:after="0" w:line="222" w:lineRule="exact"/>
        <w:rPr>
          <w:sz w:val="20"/>
          <w:szCs w:val="20"/>
          <w:color w:val="auto"/>
        </w:rPr>
      </w:pPr>
    </w:p>
    <w:p>
      <w:pPr>
        <w:jc w:val="both"/>
        <w:ind w:firstLine="1304"/>
        <w:spacing w:after="0" w:line="251" w:lineRule="auto"/>
        <w:tabs>
          <w:tab w:leader="none" w:pos="190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Distribution upon Separation from Service.</w:t>
      </w:r>
      <w:r>
        <w:rPr>
          <w:rFonts w:ascii="Arial" w:cs="Arial" w:eastAsia="Arial" w:hAnsi="Arial"/>
          <w:sz w:val="22"/>
          <w:szCs w:val="22"/>
          <w:color w:val="auto"/>
        </w:rPr>
        <w:t xml:space="preserve"> A Participant shall specify on an Election Form the manner in which the Participant’s Deferral Amount for a Plan Year (and earnings thereon) shall be distributed from the Participant’s Account under the Plan upon the Participant’s Separation from Service. Any election by the Participant as to the distribution of such portion of the Account shall be irrevocable. A Participant may elect, to the extent permitted by the Plan Administrator and set forth on the Election Form, that such portion of the Account be distributed upon a Participant’s Separation from Service either in:</w:t>
      </w:r>
    </w:p>
    <w:p>
      <w:pPr>
        <w:spacing w:after="0" w:line="181" w:lineRule="exact"/>
        <w:rPr>
          <w:rFonts w:ascii="Arial" w:cs="Arial" w:eastAsia="Arial" w:hAnsi="Arial"/>
          <w:sz w:val="22"/>
          <w:szCs w:val="22"/>
          <w:color w:val="auto"/>
        </w:rPr>
      </w:pPr>
    </w:p>
    <w:p>
      <w:pPr>
        <w:ind w:left="1300" w:firstLine="652"/>
        <w:spacing w:after="0" w:line="272" w:lineRule="auto"/>
        <w:tabs>
          <w:tab w:leader="none" w:pos="2393"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xml:space="preserve"> payment in January of the second Plan Year following the Plan Year in which the Participant’s Separation from Service occurs; or</w:t>
      </w:r>
    </w:p>
    <w:p>
      <w:pPr>
        <w:spacing w:after="0" w:line="155" w:lineRule="exact"/>
        <w:rPr>
          <w:rFonts w:ascii="Arial" w:cs="Arial" w:eastAsia="Arial" w:hAnsi="Arial"/>
          <w:sz w:val="22"/>
          <w:szCs w:val="22"/>
          <w:color w:val="auto"/>
        </w:rPr>
      </w:pPr>
    </w:p>
    <w:p>
      <w:pPr>
        <w:jc w:val="both"/>
        <w:ind w:left="1300" w:firstLine="652"/>
        <w:spacing w:after="0" w:line="257" w:lineRule="auto"/>
        <w:tabs>
          <w:tab w:leader="none" w:pos="2563"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Annual Installment</w:t>
      </w:r>
      <w:r>
        <w:rPr>
          <w:rFonts w:ascii="Arial" w:cs="Arial" w:eastAsia="Arial" w:hAnsi="Arial"/>
          <w:sz w:val="22"/>
          <w:szCs w:val="22"/>
          <w:color w:val="auto"/>
        </w:rPr>
        <w:t xml:space="preserve"> payments over a period of two (2) to ten (10) years commencing in January of the second Plan Year following the Plan Year in which the Participant’s Separation from Service occurs, with subsequent installment payments to be made in each January within the applicable period.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If a Participant fails to make a timely payment election on the Election Form for a Plan Year, the Participant's Deferral Amount for such Plan Year (and earnings thereon) shall be distributed in a lump sum in accordance with Section 5(a)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 hereof.</w:t>
      </w:r>
    </w:p>
    <w:p>
      <w:pPr>
        <w:spacing w:after="0" w:line="206" w:lineRule="exact"/>
        <w:rPr>
          <w:sz w:val="20"/>
          <w:szCs w:val="20"/>
          <w:color w:val="auto"/>
        </w:rPr>
      </w:pPr>
    </w:p>
    <w:p>
      <w:pPr>
        <w:ind w:firstLine="1304"/>
        <w:spacing w:after="0" w:line="272" w:lineRule="auto"/>
        <w:tabs>
          <w:tab w:leader="none" w:pos="1867"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Distribution of Account</w:t>
      </w:r>
      <w:r>
        <w:rPr>
          <w:rFonts w:ascii="Arial" w:cs="Arial" w:eastAsia="Arial" w:hAnsi="Arial"/>
          <w:sz w:val="22"/>
          <w:szCs w:val="22"/>
          <w:color w:val="auto"/>
        </w:rPr>
        <w:t>. The Company shall distribute amounts from the Participant’s Account in the manner specified in this Section 5. If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option described in Section 5(a)(i) hereof is applicable, the amount of the lump sum shall be calculated using the valuation of the applicable portion of the Participant’s Account as of the December 31 preceding the date of the payment. If the payment option described in Section 5(a)(ii) hereof is applicable, the amount of each installment shall be calculated using the valuation of the applicable portion of the Participant’s Account as of the December 31 preceding the date of the installment payment divided by the number of installment payments that have not yet been made.</w:t>
      </w:r>
    </w:p>
    <w:p>
      <w:pPr>
        <w:spacing w:after="0" w:line="195" w:lineRule="exact"/>
        <w:rPr>
          <w:sz w:val="20"/>
          <w:szCs w:val="20"/>
          <w:color w:val="auto"/>
        </w:rPr>
      </w:pPr>
    </w:p>
    <w:p>
      <w:pPr>
        <w:jc w:val="both"/>
        <w:ind w:firstLine="1304"/>
        <w:spacing w:after="0" w:line="261" w:lineRule="auto"/>
        <w:tabs>
          <w:tab w:leader="none" w:pos="1788"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Distribution upon Death.</w:t>
      </w:r>
      <w:r>
        <w:rPr>
          <w:rFonts w:ascii="Arial" w:cs="Arial" w:eastAsia="Arial" w:hAnsi="Arial"/>
          <w:sz w:val="21"/>
          <w:szCs w:val="21"/>
          <w:color w:val="auto"/>
        </w:rPr>
        <w:t xml:space="preserve"> Notwithstanding any election made by a Participant or any other provision of this Section 5 to the contrary, if a Participant dies before full distribution of his Account balance, any remaining balance shall be distributed to the Participant’s Beneficiary in a lump sum within 90 days following the date of the Participant's death. The amount of such lump sum distribution shall be calculated using the valuation of the Participant's Account as of the date preceding the date of distribution. Any payment required to be made to a Participant under the Plan that cannot be made due to the Participant’s death shall be made to the Participant’s Beneficiary, subject to applicable law. Each Participant shall have the right to designate one or more Beneficiaries, and to change a Beneficiary designation, from time to time by filing a written notice with the Plan Administrator. In the event that a Beneficiary does not survive the Participant and no successor Beneficiary is selected, or in the event no valid Beneficiary designation has been made, the Participant’s Beneficiary shall be the Participant’s estate.</w:t>
      </w:r>
    </w:p>
    <w:p>
      <w:pPr>
        <w:spacing w:after="0" w:line="168" w:lineRule="exact"/>
        <w:rPr>
          <w:rFonts w:ascii="Arial" w:cs="Arial" w:eastAsia="Arial" w:hAnsi="Arial"/>
          <w:sz w:val="21"/>
          <w:szCs w:val="21"/>
          <w:color w:val="auto"/>
        </w:rPr>
      </w:pPr>
    </w:p>
    <w:p>
      <w:pPr>
        <w:jc w:val="both"/>
        <w:ind w:firstLine="1304"/>
        <w:spacing w:after="0" w:line="263" w:lineRule="auto"/>
        <w:tabs>
          <w:tab w:leader="none" w:pos="1840"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Unforeseeable Emergency</w:t>
      </w:r>
      <w:r>
        <w:rPr>
          <w:rFonts w:ascii="Arial" w:cs="Arial" w:eastAsia="Arial" w:hAnsi="Arial"/>
          <w:sz w:val="21"/>
          <w:szCs w:val="21"/>
          <w:color w:val="auto"/>
        </w:rPr>
        <w:t>. Upon the written request of a Participant, the Plan Administrator may permit the Participant to withdraw some or all of the Participant’s Account for the purpose of enabling the Participant to meet the immediate needs created by an Unforeseeable Emergency. The circumstances that will constitute an Unforeseeable Emergency will depend upon the facts of each case, but in any case, the amounts distributed with respect to an Unforeseeable Emergency shall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that the liquidation of such assets would not itself cause severe financial hardship, or by cessation of deferrals under the Plan.</w:t>
      </w:r>
    </w:p>
    <w:p>
      <w:pPr>
        <w:spacing w:after="0" w:line="169" w:lineRule="exact"/>
        <w:rPr>
          <w:rFonts w:ascii="Arial" w:cs="Arial" w:eastAsia="Arial" w:hAnsi="Arial"/>
          <w:sz w:val="21"/>
          <w:szCs w:val="21"/>
          <w:color w:val="auto"/>
        </w:rPr>
      </w:pPr>
    </w:p>
    <w:p>
      <w:pPr>
        <w:jc w:val="both"/>
        <w:ind w:firstLine="1304"/>
        <w:spacing w:after="0" w:line="251" w:lineRule="auto"/>
        <w:tabs>
          <w:tab w:leader="none" w:pos="1867"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All distributions of a Participant’s Account under the Plan shall be subject to income tax and other withholdings that the Plan Administrator deems necessary or appropriate, and the Plan Administrator may reduce the amount credited to any Participant’s Account to the extent it deems necessary to satisfy tax withholding requirements. Participants or Beneficiaries receiving distributions under the Plan shall bear all taxes on amounts paid under the Plan to the extent that taxes are not withheld thereon, irrespective of whether withholding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u w:val="single" w:color="auto"/>
          <w:color w:val="auto"/>
        </w:rPr>
        <w:t>Administrative Matters</w:t>
      </w:r>
    </w:p>
    <w:p>
      <w:pPr>
        <w:spacing w:after="0" w:line="235" w:lineRule="exact"/>
        <w:rPr>
          <w:sz w:val="20"/>
          <w:szCs w:val="20"/>
          <w:color w:val="auto"/>
        </w:rPr>
      </w:pPr>
    </w:p>
    <w:p>
      <w:pPr>
        <w:ind w:left="1800" w:hanging="496"/>
        <w:spacing w:after="0"/>
        <w:tabs>
          <w:tab w:leader="none" w:pos="180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Claims Process.</w:t>
      </w:r>
    </w:p>
    <w:p>
      <w:pPr>
        <w:spacing w:after="0" w:line="219" w:lineRule="exact"/>
        <w:rPr>
          <w:rFonts w:ascii="Arial" w:cs="Arial" w:eastAsia="Arial" w:hAnsi="Arial"/>
          <w:sz w:val="22"/>
          <w:szCs w:val="22"/>
          <w:color w:val="auto"/>
        </w:rPr>
      </w:pPr>
    </w:p>
    <w:p>
      <w:pPr>
        <w:jc w:val="both"/>
        <w:ind w:firstLine="1628"/>
        <w:spacing w:after="0" w:line="257" w:lineRule="auto"/>
        <w:tabs>
          <w:tab w:leader="none" w:pos="205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To be effective under this procedure, a claim for benefits by a Participant or Beneficiary must be made to the Plan Administrator or its designee in writing, unless the Plan Administrator or its designee waives such writing requirement.</w:t>
      </w:r>
    </w:p>
    <w:p>
      <w:pPr>
        <w:spacing w:after="0" w:line="199" w:lineRule="exact"/>
        <w:rPr>
          <w:rFonts w:ascii="Arial" w:cs="Arial" w:eastAsia="Arial" w:hAnsi="Arial"/>
          <w:sz w:val="22"/>
          <w:szCs w:val="22"/>
          <w:color w:val="auto"/>
        </w:rPr>
      </w:pPr>
    </w:p>
    <w:p>
      <w:pPr>
        <w:jc w:val="both"/>
        <w:ind w:firstLine="1628"/>
        <w:spacing w:after="0" w:line="251" w:lineRule="auto"/>
        <w:tabs>
          <w:tab w:leader="none" w:pos="2135"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If a claim is wholly or partially denied, the Plan Administrator or its designee shall furnish such claimant with written notice of the denial within 90 days after the original claim was filed, unless special circumstances require a longer period (not exceeding an additional 90 days) for adjudication and the claimant is notified in writing of such extension prior to the expiration of the initial 90-day period. A notice of denial shall set forth in a manner calculated to be understood by the claimant (1) the reasons for denial, (2) specific reference to pertinent Plan provisions on which the denial is based, (3) a description of any additional information needed to perfect the claim and an explanation of why such information is necessary, and (4) an explanation of the Plan’s claims procedure.</w:t>
      </w:r>
    </w:p>
    <w:p>
      <w:pPr>
        <w:spacing w:after="0" w:line="205" w:lineRule="exact"/>
        <w:rPr>
          <w:rFonts w:ascii="Arial" w:cs="Arial" w:eastAsia="Arial" w:hAnsi="Arial"/>
          <w:sz w:val="22"/>
          <w:szCs w:val="22"/>
          <w:color w:val="auto"/>
        </w:rPr>
      </w:pPr>
    </w:p>
    <w:p>
      <w:pPr>
        <w:jc w:val="both"/>
        <w:ind w:firstLine="1628"/>
        <w:spacing w:after="0" w:line="253" w:lineRule="auto"/>
        <w:tabs>
          <w:tab w:leader="none" w:pos="2255"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claimant shall have 90 days from receipt of the denial notice in which to make written application for review by the Plan Administrator or its designee. The claimant shall have the right (1) to receive upon request and free of charge, reasonable access to, and copies of all documents, records, and other information relevant to the claim for benefits, and (2) to submit written comments, documents, records, and other information relating to the claim.</w:t>
      </w:r>
    </w:p>
    <w:p>
      <w:pPr>
        <w:spacing w:after="0" w:line="205" w:lineRule="exact"/>
        <w:rPr>
          <w:rFonts w:ascii="Arial" w:cs="Arial" w:eastAsia="Arial" w:hAnsi="Arial"/>
          <w:sz w:val="22"/>
          <w:szCs w:val="22"/>
          <w:color w:val="auto"/>
        </w:rPr>
      </w:pPr>
    </w:p>
    <w:p>
      <w:pPr>
        <w:jc w:val="both"/>
        <w:ind w:firstLine="1628"/>
        <w:spacing w:after="0" w:line="257" w:lineRule="auto"/>
        <w:tabs>
          <w:tab w:leader="none" w:pos="218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Plan Administrator or its designee shall issue a decision within 60 days after receipt of an application for review, unless special circumstances require an extension. In no event will the decision be delayed beyond 120 days after receipt of the application for review.</w:t>
      </w:r>
    </w:p>
    <w:p>
      <w:pPr>
        <w:spacing w:after="0" w:line="199" w:lineRule="exact"/>
        <w:rPr>
          <w:rFonts w:ascii="Arial" w:cs="Arial" w:eastAsia="Arial" w:hAnsi="Arial"/>
          <w:sz w:val="22"/>
          <w:szCs w:val="22"/>
          <w:color w:val="auto"/>
        </w:rPr>
      </w:pPr>
    </w:p>
    <w:p>
      <w:pPr>
        <w:jc w:val="both"/>
        <w:ind w:firstLine="1628"/>
        <w:spacing w:after="0" w:line="264" w:lineRule="auto"/>
        <w:tabs>
          <w:tab w:leader="none" w:pos="218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claimant for benefits whose application for review is totally or partially denied may make a final appeal to the Plan Administrator or designee within 90 days from receipt of the second denial notice. The final request for review must be in writing. The same rights detailed in (iii) above will apply for this appeal.</w:t>
      </w:r>
    </w:p>
    <w:p>
      <w:pPr>
        <w:spacing w:after="0" w:line="191" w:lineRule="exact"/>
        <w:rPr>
          <w:rFonts w:ascii="Arial" w:cs="Arial" w:eastAsia="Arial" w:hAnsi="Arial"/>
          <w:sz w:val="22"/>
          <w:szCs w:val="22"/>
          <w:color w:val="auto"/>
        </w:rPr>
      </w:pPr>
    </w:p>
    <w:p>
      <w:pPr>
        <w:jc w:val="both"/>
        <w:ind w:firstLine="1628"/>
        <w:spacing w:after="0" w:line="257" w:lineRule="auto"/>
        <w:tabs>
          <w:tab w:leader="none" w:pos="2295"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Plan Administrator shall issue a decision on the final appeal within 60 days after the receipt of an final appeal, unless special circumstances require an extension. In no event will the decision be delayed beyond 120 days after receipt of the final appeal.</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The Plan Administrator may establish such additional rules and procedures for processing claims as it deems advisable. All interpretations, determinations,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decisions of the Plan Administrator or its designee under this claims procedure shall be final and conclusive.</w:t>
      </w:r>
    </w:p>
    <w:p>
      <w:pPr>
        <w:spacing w:after="0" w:line="31" w:lineRule="exact"/>
        <w:rPr>
          <w:sz w:val="20"/>
          <w:szCs w:val="20"/>
          <w:color w:val="auto"/>
        </w:rPr>
      </w:pPr>
    </w:p>
    <w:p>
      <w:pPr>
        <w:jc w:val="both"/>
        <w:ind w:firstLine="1304"/>
        <w:spacing w:after="0" w:line="249" w:lineRule="auto"/>
        <w:tabs>
          <w:tab w:leader="none" w:pos="1813"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Incapacity</w:t>
      </w:r>
      <w:r>
        <w:rPr>
          <w:rFonts w:ascii="Arial" w:cs="Arial" w:eastAsia="Arial" w:hAnsi="Arial"/>
          <w:sz w:val="22"/>
          <w:szCs w:val="22"/>
          <w:color w:val="auto"/>
        </w:rPr>
        <w:t>. If the Plan Administrator determines that any person entitled to benefits under the Plan is unable to care for his or her affairs because of illness, accident or other physical and mental incapacity, any payment due (unless a duly qualified guardian or other legal representative has been appointed) may be paid consistent with the terms described herein for the benefit of such person to such person’s spouse, parent, brother, sister, adult child or other party deemed by the Plan Administrator in its sole discretion to ensure proper care for such person.</w:t>
      </w:r>
    </w:p>
    <w:p>
      <w:pPr>
        <w:spacing w:after="0" w:line="180" w:lineRule="exact"/>
        <w:rPr>
          <w:rFonts w:ascii="Arial" w:cs="Arial" w:eastAsia="Arial" w:hAnsi="Arial"/>
          <w:sz w:val="22"/>
          <w:szCs w:val="22"/>
          <w:color w:val="auto"/>
        </w:rPr>
      </w:pPr>
    </w:p>
    <w:p>
      <w:pPr>
        <w:jc w:val="both"/>
        <w:ind w:firstLine="1304"/>
        <w:spacing w:after="0" w:line="257" w:lineRule="auto"/>
        <w:tabs>
          <w:tab w:leader="none" w:pos="1788"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Inability to Locate</w:t>
      </w:r>
      <w:r>
        <w:rPr>
          <w:rFonts w:ascii="Arial" w:cs="Arial" w:eastAsia="Arial" w:hAnsi="Arial"/>
          <w:sz w:val="22"/>
          <w:szCs w:val="22"/>
          <w:color w:val="auto"/>
        </w:rPr>
        <w:t>. If the Plan Administrator is unable to locate a person to whom a payment is due under the Plan for a period of twelve (12) months, commencing with the first day of the month as of which the payment becomes payable, the total amount payable to such person shall be forfeited.</w:t>
      </w:r>
    </w:p>
    <w:p>
      <w:pPr>
        <w:spacing w:after="0" w:line="17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u w:val="single" w:color="auto"/>
          <w:color w:val="auto"/>
        </w:rPr>
        <w:t>Unfunded Status</w:t>
      </w:r>
    </w:p>
    <w:p>
      <w:pPr>
        <w:spacing w:after="0" w:line="23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All Accounts and all rights of Participants to benefits under the Plan are unfunded obligations of the Company. Plan benefits shall be paid from the general assets of the Company, and Participants shall have the status of an unsecured general creditor of the Company with respect to all interests under the Plan. The Plan is a plan of unfunded deferred compensation for purposes of ERISA. Notwithstanding the foregoing, the Company may, but shall not be required to, establish a trust or other funding vehicle under the Plan that does not affect the Plan’s status as a Plan of unfunded deferred compensation under ERISA.</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u w:val="single" w:color="auto"/>
          <w:color w:val="auto"/>
        </w:rPr>
        <w:t>Nontransferability; Successors</w:t>
      </w:r>
    </w:p>
    <w:p>
      <w:pPr>
        <w:spacing w:after="0" w:line="222" w:lineRule="exact"/>
        <w:rPr>
          <w:sz w:val="20"/>
          <w:szCs w:val="20"/>
          <w:color w:val="auto"/>
        </w:rPr>
      </w:pPr>
    </w:p>
    <w:p>
      <w:pPr>
        <w:ind w:right="360" w:firstLine="1296"/>
        <w:spacing w:after="0" w:line="253" w:lineRule="auto"/>
        <w:rPr>
          <w:sz w:val="20"/>
          <w:szCs w:val="20"/>
          <w:color w:val="auto"/>
        </w:rPr>
      </w:pPr>
      <w:r>
        <w:rPr>
          <w:rFonts w:ascii="Arial" w:cs="Arial" w:eastAsia="Arial" w:hAnsi="Arial"/>
          <w:sz w:val="22"/>
          <w:szCs w:val="22"/>
          <w:color w:val="auto"/>
        </w:rPr>
        <w:t>No interest of any person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w:t>
      </w:r>
    </w:p>
    <w:p>
      <w:pPr>
        <w:spacing w:after="0" w:line="189" w:lineRule="exact"/>
        <w:rPr>
          <w:sz w:val="20"/>
          <w:szCs w:val="20"/>
          <w:color w:val="auto"/>
        </w:rPr>
      </w:pPr>
    </w:p>
    <w:p>
      <w:pPr>
        <w:jc w:val="both"/>
        <w:ind w:right="20" w:firstLine="1296"/>
        <w:spacing w:after="0" w:line="272" w:lineRule="auto"/>
        <w:rPr>
          <w:sz w:val="20"/>
          <w:szCs w:val="20"/>
          <w:color w:val="auto"/>
        </w:rPr>
      </w:pPr>
      <w:r>
        <w:rPr>
          <w:rFonts w:ascii="Arial" w:cs="Arial" w:eastAsia="Arial" w:hAnsi="Arial"/>
          <w:sz w:val="22"/>
          <w:szCs w:val="22"/>
          <w:color w:val="auto"/>
        </w:rPr>
        <w:t>The obligations of the Company under the Plan will be binding upon the Company’s successors, transferees and assigns.</w:t>
      </w:r>
    </w:p>
    <w:p>
      <w:pPr>
        <w:spacing w:after="0" w:line="15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u w:val="single" w:color="auto"/>
          <w:color w:val="auto"/>
        </w:rPr>
        <w:t>Limitation of Rights</w:t>
      </w:r>
    </w:p>
    <w:p>
      <w:pPr>
        <w:spacing w:after="0" w:line="22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Nothing in the Plan shall confer upon any Participant the right to continue to be employed by the Company or to serve in the capacity in which the Participant is employed by the Company. Nothing in the Plan shall be interpreted as creating a right of a Participant to receive any amount of Base Salary, Annual Bonus or other compensation or benefit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u w:val="single" w:color="auto"/>
          <w:color w:val="auto"/>
        </w:rPr>
        <w:t>Enforceability</w:t>
      </w:r>
    </w:p>
    <w:p>
      <w:pPr>
        <w:spacing w:after="0" w:line="23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Plan shall be construed, administered and enforced in accordance with ERISA, and to the extent not preempted thereby, the laws of the State of Indiana, regardless of the law that might otherwise govern under applicable principles or provisions of choice or conflict of law doctrines. To the extent that any provision of the Plan or portion thereof shall be invalid or unenforceable, it shall be considered deleted herefrom and the remainder of such provision and the Plan shall be unaffected and shall continue in full force and effect.</w:t>
      </w:r>
    </w:p>
    <w:p>
      <w:pPr>
        <w:spacing w:after="0" w:line="19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u w:val="single" w:color="auto"/>
          <w:color w:val="auto"/>
        </w:rPr>
        <w:t>Effective Date; Amendment and Termination</w:t>
      </w:r>
    </w:p>
    <w:p>
      <w:pPr>
        <w:spacing w:after="0" w:line="22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The Plan, as amended and restated, shall become effective for the 2025 Plan Year and for future Plan Years until terminated by the Board. The Board may amend or terminate the Plan at any time and in any manner; provided that no amendment or termination shall reduce the amount credited to a Participant’s Account at the time of any such amendment or termination, and no amendment shall be effective that shall cause the Plan to fail to meet the requirements of Section 409A. Upon termination of the Plan in accordance with the requirements of Section 409A, (i) all future deferrals of compensation will cease, (ii) all Plan Accounts will continue to receive interest credits (or be invested) as permitted under the Plan, and (iii) all Plan Accounts will be distributed in accordance with the Participant’s elections under the provisions of the Plan, unless the Company determines in its sole discretion that all such amounts shall be distributed upon termination in accordance with the requirements of Section 409A.</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ELI LILLY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APPENDIX A</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GRANDFATHERED AMOUNTS</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Distribution of amounts that were earned and vested (within the meaning of Section 409A) under the Plan prior to 2005 (and earnings thereon) and are exempt from the requirements of Section 409A shall be made in accordance with the Plan terms as in effect on April 19, 2004, as attached below.</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Lilly Deferred Compensation Plan</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Amended and Restated as of April 19, 2004)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u w:val="single" w:color="auto"/>
          <w:color w:val="auto"/>
        </w:rPr>
        <w:t>Establishment of the Plan</w:t>
      </w:r>
      <w:r>
        <w:rPr>
          <w:rFonts w:ascii="Arial" w:cs="Arial" w:eastAsia="Arial" w:hAnsi="Arial"/>
          <w:sz w:val="21"/>
          <w:szCs w:val="21"/>
          <w:b w:val="1"/>
          <w:bCs w:val="1"/>
          <w:color w:val="auto"/>
        </w:rPr>
        <w:t>.</w:t>
      </w:r>
    </w:p>
    <w:p>
      <w:pPr>
        <w:spacing w:after="0" w:line="222" w:lineRule="exact"/>
        <w:rPr>
          <w:sz w:val="20"/>
          <w:szCs w:val="20"/>
          <w:color w:val="auto"/>
        </w:rPr>
      </w:pPr>
    </w:p>
    <w:p>
      <w:pPr>
        <w:ind w:right="460"/>
        <w:spacing w:after="0" w:line="236" w:lineRule="auto"/>
        <w:rPr>
          <w:sz w:val="20"/>
          <w:szCs w:val="20"/>
          <w:color w:val="auto"/>
        </w:rPr>
      </w:pPr>
      <w:r>
        <w:rPr>
          <w:rFonts w:ascii="Arial" w:cs="Arial" w:eastAsia="Arial" w:hAnsi="Arial"/>
          <w:sz w:val="22"/>
          <w:szCs w:val="22"/>
          <w:color w:val="auto"/>
        </w:rPr>
        <w:t>There is hereby established for the benefit of Participants an unfunded plan of voluntarily deferred compensation known as "The Lilly Deferred Compensation Plan."</w:t>
      </w:r>
    </w:p>
    <w:p>
      <w:pPr>
        <w:spacing w:after="0" w:line="20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u w:val="single" w:color="auto"/>
          <w:color w:val="auto"/>
        </w:rPr>
        <w:t>Definitions</w:t>
      </w:r>
      <w:r>
        <w:rPr>
          <w:rFonts w:ascii="Arial" w:cs="Arial" w:eastAsia="Arial" w:hAnsi="Arial"/>
          <w:sz w:val="21"/>
          <w:szCs w:val="21"/>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When used in the Plan, the following terms shall have the definitions set forth in this Section 2:</w:t>
      </w:r>
    </w:p>
    <w:p>
      <w:pPr>
        <w:spacing w:after="0" w:line="233" w:lineRule="exact"/>
        <w:rPr>
          <w:sz w:val="20"/>
          <w:szCs w:val="20"/>
          <w:color w:val="auto"/>
        </w:rPr>
      </w:pPr>
    </w:p>
    <w:p>
      <w:pPr>
        <w:ind w:right="380"/>
        <w:spacing w:after="0" w:line="272" w:lineRule="auto"/>
        <w:rPr>
          <w:sz w:val="20"/>
          <w:szCs w:val="20"/>
          <w:color w:val="auto"/>
        </w:rPr>
      </w:pPr>
      <w:r>
        <w:rPr>
          <w:rFonts w:ascii="Arial" w:cs="Arial" w:eastAsia="Arial" w:hAnsi="Arial"/>
          <w:sz w:val="22"/>
          <w:szCs w:val="22"/>
          <w:u w:val="single" w:color="auto"/>
          <w:color w:val="auto"/>
        </w:rPr>
        <w:t>2.1. Base Salary</w:t>
      </w:r>
      <w:r>
        <w:rPr>
          <w:rFonts w:ascii="Arial" w:cs="Arial" w:eastAsia="Arial" w:hAnsi="Arial"/>
          <w:sz w:val="22"/>
          <w:szCs w:val="22"/>
          <w:color w:val="auto"/>
        </w:rPr>
        <w:t>. The term "Base Salary" means the base salary to which a management employee is entitled for services rendered to the Company as a management employee.</w:t>
      </w:r>
    </w:p>
    <w:p>
      <w:pPr>
        <w:spacing w:after="0" w:line="196" w:lineRule="exact"/>
        <w:rPr>
          <w:sz w:val="20"/>
          <w:szCs w:val="20"/>
          <w:color w:val="auto"/>
        </w:rPr>
      </w:pPr>
    </w:p>
    <w:p>
      <w:pPr>
        <w:ind w:right="100"/>
        <w:spacing w:after="0" w:line="272" w:lineRule="auto"/>
        <w:rPr>
          <w:sz w:val="20"/>
          <w:szCs w:val="20"/>
          <w:color w:val="auto"/>
        </w:rPr>
      </w:pPr>
      <w:r>
        <w:rPr>
          <w:rFonts w:ascii="Arial" w:cs="Arial" w:eastAsia="Arial" w:hAnsi="Arial"/>
          <w:sz w:val="22"/>
          <w:szCs w:val="22"/>
          <w:u w:val="single" w:color="auto"/>
          <w:color w:val="auto"/>
        </w:rPr>
        <w:t>2.2. Base Salary Year</w:t>
      </w:r>
      <w:r>
        <w:rPr>
          <w:rFonts w:ascii="Arial" w:cs="Arial" w:eastAsia="Arial" w:hAnsi="Arial"/>
          <w:sz w:val="22"/>
          <w:szCs w:val="22"/>
          <w:color w:val="auto"/>
        </w:rPr>
        <w:t>. The term "Base Salary Year" means each calendar year in which Base Salary deferred under the Plan is earned by a Participant.</w:t>
      </w:r>
    </w:p>
    <w:p>
      <w:pPr>
        <w:spacing w:after="0" w:line="183" w:lineRule="exact"/>
        <w:rPr>
          <w:sz w:val="20"/>
          <w:szCs w:val="20"/>
          <w:color w:val="auto"/>
        </w:rPr>
      </w:pPr>
    </w:p>
    <w:p>
      <w:pPr>
        <w:ind w:right="180"/>
        <w:spacing w:after="0" w:line="272" w:lineRule="auto"/>
        <w:rPr>
          <w:sz w:val="20"/>
          <w:szCs w:val="20"/>
          <w:color w:val="auto"/>
        </w:rPr>
      </w:pPr>
      <w:r>
        <w:rPr>
          <w:rFonts w:ascii="Arial" w:cs="Arial" w:eastAsia="Arial" w:hAnsi="Arial"/>
          <w:sz w:val="22"/>
          <w:szCs w:val="22"/>
          <w:u w:val="single" w:color="auto"/>
          <w:color w:val="auto"/>
        </w:rPr>
        <w:t>2.3. Beneficiary</w:t>
      </w:r>
      <w:r>
        <w:rPr>
          <w:rFonts w:ascii="Arial" w:cs="Arial" w:eastAsia="Arial" w:hAnsi="Arial"/>
          <w:sz w:val="22"/>
          <w:szCs w:val="22"/>
          <w:color w:val="auto"/>
        </w:rPr>
        <w:t>. The term "Beneficiary" means the beneficiary or beneficiaries (including any contingent beneficiary or beneficiaries) designated pursuant to subsection 6.2 hereof.</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2.4. Board of Directors</w:t>
      </w:r>
      <w:r>
        <w:rPr>
          <w:rFonts w:ascii="Arial" w:cs="Arial" w:eastAsia="Arial" w:hAnsi="Arial"/>
          <w:sz w:val="22"/>
          <w:szCs w:val="22"/>
          <w:color w:val="auto"/>
        </w:rPr>
        <w:t>. The term "Board of Directors" means the Board of Directors of Eli Lilly and Company.</w:t>
      </w:r>
    </w:p>
    <w:p>
      <w:pPr>
        <w:spacing w:after="0" w:line="260" w:lineRule="exact"/>
        <w:rPr>
          <w:sz w:val="20"/>
          <w:szCs w:val="20"/>
          <w:color w:val="auto"/>
        </w:rPr>
      </w:pPr>
    </w:p>
    <w:p>
      <w:pPr>
        <w:ind w:right="200"/>
        <w:spacing w:after="0" w:line="257" w:lineRule="auto"/>
        <w:rPr>
          <w:sz w:val="20"/>
          <w:szCs w:val="20"/>
          <w:color w:val="auto"/>
        </w:rPr>
      </w:pPr>
      <w:r>
        <w:rPr>
          <w:rFonts w:ascii="Arial" w:cs="Arial" w:eastAsia="Arial" w:hAnsi="Arial"/>
          <w:sz w:val="22"/>
          <w:szCs w:val="22"/>
          <w:u w:val="single" w:color="auto"/>
          <w:color w:val="auto"/>
        </w:rPr>
        <w:t>2.5. Bonus</w:t>
      </w:r>
      <w:r>
        <w:rPr>
          <w:rFonts w:ascii="Arial" w:cs="Arial" w:eastAsia="Arial" w:hAnsi="Arial"/>
          <w:sz w:val="22"/>
          <w:szCs w:val="22"/>
          <w:color w:val="auto"/>
        </w:rPr>
        <w:t>. The term "Bonus" means the payment to which an Eligible Employee is entitled pursuant to the Contingent Compensation Plan,the Senior Executive Bonus Plan or the Lilly Executive Bonus Plan (the EVA Bonus Plan)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40" w:right="379" w:bottom="1440" w:gutter="0" w:footer="0" w:header="0"/>
        </w:sectPr>
      </w:pPr>
    </w:p>
    <w:bookmarkStart w:id="193" w:name="page194"/>
    <w:bookmarkEnd w:id="193"/>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other similar compensation plan as may from time to time be designated by the Committee.</w:t>
      </w:r>
    </w:p>
    <w:p>
      <w:pPr>
        <w:spacing w:after="0" w:line="274" w:lineRule="exact"/>
        <w:rPr>
          <w:sz w:val="20"/>
          <w:szCs w:val="20"/>
          <w:color w:val="auto"/>
        </w:rPr>
      </w:pPr>
    </w:p>
    <w:p>
      <w:pPr>
        <w:ind w:right="400"/>
        <w:spacing w:after="0" w:line="272" w:lineRule="auto"/>
        <w:rPr>
          <w:sz w:val="20"/>
          <w:szCs w:val="20"/>
          <w:color w:val="auto"/>
        </w:rPr>
      </w:pPr>
      <w:r>
        <w:rPr>
          <w:rFonts w:ascii="Arial" w:cs="Arial" w:eastAsia="Arial" w:hAnsi="Arial"/>
          <w:sz w:val="22"/>
          <w:szCs w:val="22"/>
          <w:u w:val="single" w:color="auto"/>
          <w:color w:val="auto"/>
        </w:rPr>
        <w:t>2.6. Bonus Year</w:t>
      </w:r>
      <w:r>
        <w:rPr>
          <w:rFonts w:ascii="Arial" w:cs="Arial" w:eastAsia="Arial" w:hAnsi="Arial"/>
          <w:sz w:val="22"/>
          <w:szCs w:val="22"/>
          <w:color w:val="auto"/>
        </w:rPr>
        <w:t>. The term "Bonus Year" means each calendar year in which a Bonus deferred under the Plan is earned by a Participant.</w:t>
      </w:r>
    </w:p>
    <w:p>
      <w:pPr>
        <w:spacing w:after="0" w:line="183"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u w:val="single" w:color="auto"/>
          <w:color w:val="auto"/>
        </w:rPr>
        <w:t>2.7. Committee</w:t>
      </w:r>
      <w:r>
        <w:rPr>
          <w:rFonts w:ascii="Arial" w:cs="Arial" w:eastAsia="Arial" w:hAnsi="Arial"/>
          <w:sz w:val="22"/>
          <w:szCs w:val="22"/>
          <w:color w:val="auto"/>
        </w:rPr>
        <w:t>. The term "Committee" means the committee designated in subsection 9.1 hereof to administer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2.8. Company</w:t>
      </w:r>
      <w:r>
        <w:rPr>
          <w:rFonts w:ascii="Arial" w:cs="Arial" w:eastAsia="Arial" w:hAnsi="Arial"/>
          <w:sz w:val="22"/>
          <w:szCs w:val="22"/>
          <w:color w:val="auto"/>
        </w:rPr>
        <w:t>. The term "Company" means Eli Lilly and Company and its affiliates and subsidiaries.</w:t>
      </w:r>
    </w:p>
    <w:p>
      <w:pPr>
        <w:spacing w:after="0" w:line="247" w:lineRule="exact"/>
        <w:rPr>
          <w:sz w:val="20"/>
          <w:szCs w:val="20"/>
          <w:color w:val="auto"/>
        </w:rPr>
      </w:pPr>
    </w:p>
    <w:p>
      <w:pPr>
        <w:ind w:right="40"/>
        <w:spacing w:after="0" w:line="268" w:lineRule="auto"/>
        <w:rPr>
          <w:sz w:val="20"/>
          <w:szCs w:val="20"/>
          <w:color w:val="auto"/>
        </w:rPr>
      </w:pPr>
      <w:r>
        <w:rPr>
          <w:rFonts w:ascii="Arial" w:cs="Arial" w:eastAsia="Arial" w:hAnsi="Arial"/>
          <w:sz w:val="21"/>
          <w:szCs w:val="21"/>
          <w:u w:val="single" w:color="auto"/>
          <w:color w:val="auto"/>
        </w:rPr>
        <w:t>2.9. Company Credit</w:t>
      </w:r>
      <w:r>
        <w:rPr>
          <w:rFonts w:ascii="Arial" w:cs="Arial" w:eastAsia="Arial" w:hAnsi="Arial"/>
          <w:sz w:val="21"/>
          <w:szCs w:val="21"/>
          <w:color w:val="auto"/>
        </w:rPr>
        <w:t>. The term “Company Credit” means an amount computed and credited each calendar year or part thereof to Participants’ accounts as described in Section 5 at a rate that is equal to one hundred twenty percent (120%) of the applicable federal long-term rate, with compounding (as prescribed under Section 1274(d) of the Internal Revenue Code) that was in effect for the month of December immediately preceding the calendar year.</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2"/>
          <w:szCs w:val="22"/>
          <w:u w:val="single" w:color="auto"/>
          <w:color w:val="auto"/>
        </w:rPr>
        <w:t>2.10. Disability</w:t>
      </w:r>
      <w:r>
        <w:rPr>
          <w:rFonts w:ascii="Arial" w:cs="Arial" w:eastAsia="Arial" w:hAnsi="Arial"/>
          <w:sz w:val="22"/>
          <w:szCs w:val="22"/>
          <w:color w:val="auto"/>
        </w:rPr>
        <w:t>. The term "Disability" means a condition that the Committee determines (i) is attributable to sickness, injury, or disease and (ii) renders a Participant incapable of engaging in any activity for remuneration or profit commensurate with the Participant’s education, experience, and training.</w:t>
      </w:r>
    </w:p>
    <w:p>
      <w:pPr>
        <w:spacing w:after="0" w:line="213" w:lineRule="exact"/>
        <w:rPr>
          <w:sz w:val="20"/>
          <w:szCs w:val="20"/>
          <w:color w:val="auto"/>
        </w:rPr>
      </w:pPr>
    </w:p>
    <w:p>
      <w:pPr>
        <w:ind w:right="460"/>
        <w:spacing w:after="0" w:line="272" w:lineRule="auto"/>
        <w:rPr>
          <w:sz w:val="20"/>
          <w:szCs w:val="20"/>
          <w:color w:val="auto"/>
        </w:rPr>
      </w:pPr>
      <w:r>
        <w:rPr>
          <w:rFonts w:ascii="Arial" w:cs="Arial" w:eastAsia="Arial" w:hAnsi="Arial"/>
          <w:sz w:val="22"/>
          <w:szCs w:val="22"/>
          <w:u w:val="single" w:color="auto"/>
          <w:color w:val="auto"/>
        </w:rPr>
        <w:t>2.11. Eligible Employee</w:t>
      </w:r>
      <w:r>
        <w:rPr>
          <w:rFonts w:ascii="Arial" w:cs="Arial" w:eastAsia="Arial" w:hAnsi="Arial"/>
          <w:sz w:val="22"/>
          <w:szCs w:val="22"/>
          <w:color w:val="auto"/>
        </w:rPr>
        <w:t>. The term "Eligible Employee" means a management employee of the Company who is designated by the Committee as eligible to defer a Bonus earned in the following year.</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2.12. Lilly</w:t>
      </w:r>
      <w:r>
        <w:rPr>
          <w:rFonts w:ascii="Arial" w:cs="Arial" w:eastAsia="Arial" w:hAnsi="Arial"/>
          <w:sz w:val="22"/>
          <w:szCs w:val="22"/>
          <w:color w:val="auto"/>
        </w:rPr>
        <w:t>. The term "Lilly" means Eli Lilly and Company.</w:t>
      </w:r>
    </w:p>
    <w:p>
      <w:pPr>
        <w:spacing w:after="0" w:line="260" w:lineRule="exact"/>
        <w:rPr>
          <w:sz w:val="20"/>
          <w:szCs w:val="20"/>
          <w:color w:val="auto"/>
        </w:rPr>
      </w:pPr>
    </w:p>
    <w:p>
      <w:pPr>
        <w:jc w:val="both"/>
        <w:ind w:right="40"/>
        <w:spacing w:after="0" w:line="264" w:lineRule="auto"/>
        <w:rPr>
          <w:sz w:val="20"/>
          <w:szCs w:val="20"/>
          <w:color w:val="auto"/>
        </w:rPr>
      </w:pPr>
      <w:r>
        <w:rPr>
          <w:rFonts w:ascii="Arial" w:cs="Arial" w:eastAsia="Arial" w:hAnsi="Arial"/>
          <w:sz w:val="22"/>
          <w:szCs w:val="22"/>
          <w:u w:val="single" w:color="auto"/>
          <w:color w:val="auto"/>
        </w:rPr>
        <w:t>2.13. Participant</w:t>
      </w:r>
      <w:r>
        <w:rPr>
          <w:rFonts w:ascii="Arial" w:cs="Arial" w:eastAsia="Arial" w:hAnsi="Arial"/>
          <w:sz w:val="22"/>
          <w:szCs w:val="22"/>
          <w:color w:val="auto"/>
        </w:rPr>
        <w:t>. The term "Participant" means an Eligible Employee who has elected to defer all or part of a Bonus pursuant to the Plan in accordance with Section 3.1 hereof or an SEC Executive Officer who has elected to defer all or part of Base Salary pursuant to the Plan in accordance with Section 3.2 hereof.</w:t>
      </w:r>
    </w:p>
    <w:p>
      <w:pPr>
        <w:spacing w:after="0" w:line="191" w:lineRule="exact"/>
        <w:rPr>
          <w:sz w:val="20"/>
          <w:szCs w:val="20"/>
          <w:color w:val="auto"/>
        </w:rPr>
      </w:pPr>
    </w:p>
    <w:p>
      <w:pPr>
        <w:ind w:right="460"/>
        <w:spacing w:after="0" w:line="272" w:lineRule="auto"/>
        <w:rPr>
          <w:sz w:val="20"/>
          <w:szCs w:val="20"/>
          <w:color w:val="auto"/>
        </w:rPr>
      </w:pPr>
      <w:r>
        <w:rPr>
          <w:rFonts w:ascii="Arial" w:cs="Arial" w:eastAsia="Arial" w:hAnsi="Arial"/>
          <w:sz w:val="22"/>
          <w:szCs w:val="22"/>
          <w:u w:val="single" w:color="auto"/>
          <w:color w:val="auto"/>
        </w:rPr>
        <w:t>2.14. Plan</w:t>
      </w:r>
      <w:r>
        <w:rPr>
          <w:rFonts w:ascii="Arial" w:cs="Arial" w:eastAsia="Arial" w:hAnsi="Arial"/>
          <w:sz w:val="22"/>
          <w:szCs w:val="22"/>
          <w:color w:val="auto"/>
        </w:rPr>
        <w:t>. The term "Plan" means "The Lilly Deferred Compensation Plan" as set forth herein and as it may be amended from time to time.</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u w:val="single" w:color="auto"/>
          <w:color w:val="auto"/>
        </w:rPr>
        <w:t>2.15. Retirement</w:t>
      </w:r>
      <w:r>
        <w:rPr>
          <w:rFonts w:ascii="Arial" w:cs="Arial" w:eastAsia="Arial" w:hAnsi="Arial"/>
          <w:sz w:val="22"/>
          <w:szCs w:val="22"/>
          <w:color w:val="auto"/>
        </w:rPr>
        <w:t>. The term "Retirement" means the first day of the month next following the Participant's last day of work for the Company, but only if such first day of the month occurs on or after the first to occur of (i) the day on which the Participant attains age 65 or (ii) the day on which the Participant is eligible to commence receiving a monthly retirement benefit under a retirement plan or program maintained by the Company and covering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80"/>
          </w:cols>
          <w:pgMar w:left="320" w:top="1440" w:right="499" w:bottom="1440" w:gutter="0" w:footer="0" w:header="0"/>
        </w:sectPr>
      </w:pPr>
    </w:p>
    <w:bookmarkStart w:id="194" w:name="page195"/>
    <w:bookmarkEnd w:id="194"/>
    <w:p>
      <w:pPr>
        <w:spacing w:after="0" w:line="388" w:lineRule="exact"/>
        <w:rPr>
          <w:sz w:val="20"/>
          <w:szCs w:val="20"/>
          <w:color w:val="auto"/>
        </w:rPr>
      </w:pPr>
    </w:p>
    <w:p>
      <w:pPr>
        <w:ind w:right="40"/>
        <w:spacing w:after="0" w:line="285" w:lineRule="auto"/>
        <w:rPr>
          <w:sz w:val="20"/>
          <w:szCs w:val="20"/>
          <w:color w:val="auto"/>
        </w:rPr>
      </w:pPr>
      <w:r>
        <w:rPr>
          <w:rFonts w:ascii="Arial" w:cs="Arial" w:eastAsia="Arial" w:hAnsi="Arial"/>
          <w:sz w:val="22"/>
          <w:szCs w:val="22"/>
          <w:u w:val="single" w:color="auto"/>
          <w:color w:val="auto"/>
        </w:rPr>
        <w:t>2.16. SEC Executive Officers</w:t>
      </w:r>
      <w:r>
        <w:rPr>
          <w:rFonts w:ascii="Arial" w:cs="Arial" w:eastAsia="Arial" w:hAnsi="Arial"/>
          <w:sz w:val="22"/>
          <w:szCs w:val="22"/>
          <w:color w:val="auto"/>
        </w:rPr>
        <w:t>. The term "SEC Executive Officers" shall mean those officers and employees from time to time designated as Executive Officers for purposes of the proxy statement and Form 10-K.</w:t>
      </w:r>
    </w:p>
    <w:p>
      <w:pPr>
        <w:spacing w:after="0" w:line="16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u w:val="single" w:color="auto"/>
          <w:color w:val="auto"/>
        </w:rPr>
        <w:t>Participation</w:t>
      </w:r>
      <w:r>
        <w:rPr>
          <w:rFonts w:ascii="Arial" w:cs="Arial" w:eastAsia="Arial" w:hAnsi="Arial"/>
          <w:sz w:val="21"/>
          <w:szCs w:val="21"/>
          <w:b w:val="1"/>
          <w:bCs w:val="1"/>
          <w:color w:val="auto"/>
        </w:rPr>
        <w:t>.</w:t>
      </w:r>
    </w:p>
    <w:p>
      <w:pPr>
        <w:spacing w:after="0" w:line="249"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u w:val="single" w:color="auto"/>
          <w:color w:val="auto"/>
        </w:rPr>
        <w:t>3.1. Bonuses</w:t>
      </w:r>
      <w:r>
        <w:rPr>
          <w:rFonts w:ascii="Arial" w:cs="Arial" w:eastAsia="Arial" w:hAnsi="Arial"/>
          <w:sz w:val="22"/>
          <w:szCs w:val="22"/>
          <w:color w:val="auto"/>
        </w:rPr>
        <w:t>. Prior to the beginning of each Bonus Year, the Committee shall select those Eligible Employees who may elect to defer Bonuses pursuant to the Plan. Upon selection by the Committee and before the beginning of the applicable Bonus Year, an Eligible Employee may defer the receipt of a Bonus pursuant to the Plan by filing a written election with the Committee, in a form satisfactory to the Committee, that</w:t>
      </w:r>
    </w:p>
    <w:p>
      <w:pPr>
        <w:spacing w:after="0" w:line="199" w:lineRule="exact"/>
        <w:rPr>
          <w:sz w:val="20"/>
          <w:szCs w:val="20"/>
          <w:color w:val="auto"/>
        </w:rPr>
      </w:pPr>
    </w:p>
    <w:p>
      <w:pPr>
        <w:ind w:left="660" w:right="540" w:hanging="328"/>
        <w:spacing w:after="0" w:line="252" w:lineRule="auto"/>
        <w:tabs>
          <w:tab w:leader="none" w:pos="58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defers payment of a designated amount (of One Thousand Dollars ($1,000) or more) or percentage of the Bonus, if any, to be earned in the Bonus Year, and</w:t>
      </w:r>
    </w:p>
    <w:p>
      <w:pPr>
        <w:spacing w:after="0" w:line="1" w:lineRule="exact"/>
        <w:rPr>
          <w:rFonts w:ascii="Arial" w:cs="Arial" w:eastAsia="Arial" w:hAnsi="Arial"/>
          <w:sz w:val="22"/>
          <w:szCs w:val="22"/>
          <w:color w:val="auto"/>
        </w:rPr>
      </w:pPr>
    </w:p>
    <w:p>
      <w:pPr>
        <w:ind w:left="540" w:hanging="293"/>
        <w:spacing w:after="0"/>
        <w:tabs>
          <w:tab w:leader="none" w:pos="5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specifies the payment option selected by the Participant pursuant to subsection 6.1 hereof.</w:t>
      </w:r>
    </w:p>
    <w:p>
      <w:pPr>
        <w:spacing w:after="0" w:line="227"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The amount deferred may not exceed the amount of the Bonus. Except as provided in subsections 6.1 and 6.3 hereof, any election made pursuant to this Section 3 (including any election made pursuant to paragraphs (i) and (ii), above) with respect to a Bonus Year shall be irrevocable when made.</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Selection of an Eligible Employee for deferral of a Bonus during one year does not confer upon the Eligible Employee a right to defer Bonuses for subsequent years. The Eligible Employees who shall be permitted to defer Bonuses pursuant to the Plan shall be selected annually by the Committee. If an Eligible Employee is also an SEC Executive Officer as of the beginning of the Bonus Year, the Eligible Employee may also defer the receipt of Base Salary as provided in Section 3.2.</w:t>
      </w:r>
    </w:p>
    <w:p>
      <w:pPr>
        <w:spacing w:after="0" w:line="180"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u w:val="single" w:color="auto"/>
          <w:color w:val="auto"/>
        </w:rPr>
        <w:t>3.2. Base Salary</w:t>
      </w:r>
      <w:r>
        <w:rPr>
          <w:rFonts w:ascii="Arial" w:cs="Arial" w:eastAsia="Arial" w:hAnsi="Arial"/>
          <w:sz w:val="22"/>
          <w:szCs w:val="22"/>
          <w:color w:val="auto"/>
        </w:rPr>
        <w:t>. Subject to the right of the Committee to limit deferrals described below, prior to the beginning of each Compensation Year, an SEC Executive Officer may defer the receipt of up to one hundred percent (100%) of Base Salary pursuant to the Plan by filing a written election with the Committee, in a form satisfactory to the Committee, that</w:t>
      </w:r>
    </w:p>
    <w:p>
      <w:pPr>
        <w:spacing w:after="0" w:line="216" w:lineRule="exact"/>
        <w:rPr>
          <w:sz w:val="20"/>
          <w:szCs w:val="20"/>
          <w:color w:val="auto"/>
        </w:rPr>
      </w:pPr>
    </w:p>
    <w:p>
      <w:pPr>
        <w:ind w:left="980" w:hanging="324"/>
        <w:spacing w:after="0" w:line="252" w:lineRule="auto"/>
        <w:tabs>
          <w:tab w:leader="none" w:pos="90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defers payment of a designated amount of One Thousand Dollars ($1,000) or more or a percentage of Base Salary, and</w:t>
      </w:r>
    </w:p>
    <w:p>
      <w:pPr>
        <w:spacing w:after="0" w:line="1" w:lineRule="exact"/>
        <w:rPr>
          <w:rFonts w:ascii="Arial" w:cs="Arial" w:eastAsia="Arial" w:hAnsi="Arial"/>
          <w:sz w:val="22"/>
          <w:szCs w:val="22"/>
          <w:color w:val="auto"/>
        </w:rPr>
      </w:pPr>
    </w:p>
    <w:p>
      <w:pPr>
        <w:ind w:left="960" w:hanging="304"/>
        <w:spacing w:after="0"/>
        <w:tabs>
          <w:tab w:leader="none" w:pos="9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specifies the payment option selected by the Participation pursuant to subsection 6.1 hereof.</w:t>
      </w:r>
    </w:p>
    <w:p>
      <w:pPr>
        <w:spacing w:after="0" w:line="200" w:lineRule="exact"/>
        <w:rPr>
          <w:sz w:val="20"/>
          <w:szCs w:val="20"/>
          <w:color w:val="auto"/>
        </w:rPr>
      </w:pPr>
    </w:p>
    <w:p>
      <w:pPr>
        <w:jc w:val="both"/>
        <w:ind w:right="20" w:hanging="107"/>
        <w:spacing w:after="0" w:line="257" w:lineRule="auto"/>
        <w:rPr>
          <w:sz w:val="20"/>
          <w:szCs w:val="20"/>
          <w:color w:val="auto"/>
        </w:rPr>
      </w:pPr>
      <w:r>
        <w:rPr>
          <w:rFonts w:ascii="Arial" w:cs="Arial" w:eastAsia="Arial" w:hAnsi="Arial"/>
          <w:sz w:val="22"/>
          <w:szCs w:val="22"/>
          <w:color w:val="auto"/>
        </w:rPr>
        <w:t>e amount deferred may not exceed the amount of Base Salary. Except as provided in subsections 6.1 and 6.3 hereof, any election made pursuant to this Section 3 (including any election made pursuant to paragraphs (i) and (ii), above) with respect to a Bonus Year shall be irrevocable when made and shall not be affected by the Participant's ceasing to be an SEC Executive Officer after the beginning of the Bonus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45" w:lineRule="exact"/>
        <w:rPr>
          <w:sz w:val="20"/>
          <w:szCs w:val="20"/>
          <w:color w:val="auto"/>
        </w:rPr>
      </w:pPr>
    </w:p>
    <w:p>
      <w:pPr>
        <w:ind w:right="400"/>
        <w:spacing w:after="0" w:line="285" w:lineRule="auto"/>
        <w:rPr>
          <w:sz w:val="20"/>
          <w:szCs w:val="20"/>
          <w:color w:val="auto"/>
        </w:rPr>
      </w:pPr>
      <w:r>
        <w:rPr>
          <w:rFonts w:ascii="Arial" w:cs="Arial" w:eastAsia="Arial" w:hAnsi="Arial"/>
          <w:sz w:val="22"/>
          <w:szCs w:val="22"/>
          <w:color w:val="auto"/>
        </w:rPr>
        <w:t>The Committee reserves the right to limit the amount of Deferrals of Base Salary to assure that the Company has sufficient funds to cover taxes, benefit payments, and other necessary and appropriate deductions.</w:t>
      </w:r>
    </w:p>
    <w:p>
      <w:pPr>
        <w:spacing w:after="0" w:line="16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u w:val="single" w:color="auto"/>
          <w:color w:val="auto"/>
        </w:rPr>
        <w:t>Individual Account</w:t>
      </w:r>
      <w:r>
        <w:rPr>
          <w:rFonts w:ascii="Arial" w:cs="Arial" w:eastAsia="Arial" w:hAnsi="Arial"/>
          <w:sz w:val="21"/>
          <w:szCs w:val="21"/>
          <w:b w:val="1"/>
          <w:bCs w:val="1"/>
          <w:color w:val="auto"/>
        </w:rPr>
        <w:t>.</w:t>
      </w:r>
    </w:p>
    <w:p>
      <w:pPr>
        <w:spacing w:after="0" w:line="249"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The Treasurer of Lilly shall maintain an account in the name of each Participant. In the year following the Bonus Year or Base Salary Year, each Participant’s account shall be credited, as of the first day of the month in which Bonuses or Base Salary are paid, with the amount that the Participant has elected to defer hereunder. Each Participant shall be given an annual statement,</w:t>
      </w:r>
    </w:p>
    <w:p>
      <w:pPr>
        <w:spacing w:after="0" w:line="1" w:lineRule="exact"/>
        <w:rPr>
          <w:sz w:val="20"/>
          <w:szCs w:val="20"/>
          <w:color w:val="auto"/>
        </w:rPr>
      </w:pPr>
    </w:p>
    <w:p>
      <w:pPr>
        <w:ind w:right="600"/>
        <w:spacing w:after="0" w:line="253" w:lineRule="auto"/>
        <w:rPr>
          <w:sz w:val="20"/>
          <w:szCs w:val="20"/>
          <w:color w:val="auto"/>
        </w:rPr>
      </w:pPr>
      <w:r>
        <w:rPr>
          <w:rFonts w:ascii="Arial" w:cs="Arial" w:eastAsia="Arial" w:hAnsi="Arial"/>
          <w:sz w:val="22"/>
          <w:szCs w:val="22"/>
          <w:color w:val="auto"/>
        </w:rPr>
        <w:t>as of December 31 of each year, showing for each year (i) the amount of Bonuses or Base Salary deferred and (ii) the amount of the Company Credit to the Participant’s account.</w:t>
      </w:r>
    </w:p>
    <w:p>
      <w:pPr>
        <w:spacing w:after="0" w:line="20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u w:val="single" w:color="auto"/>
          <w:color w:val="auto"/>
        </w:rPr>
        <w:t>Accrual of Company Credit</w:t>
      </w:r>
      <w:r>
        <w:rPr>
          <w:rFonts w:ascii="Arial" w:cs="Arial" w:eastAsia="Arial" w:hAnsi="Arial"/>
          <w:sz w:val="21"/>
          <w:szCs w:val="21"/>
          <w:b w:val="1"/>
          <w:bCs w:val="1"/>
          <w:color w:val="auto"/>
        </w:rPr>
        <w:t>.</w:t>
      </w:r>
    </w:p>
    <w:p>
      <w:pPr>
        <w:spacing w:after="0" w:line="24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Treasurer of Lilly shall determine the applicable annual rate of Company Credit on or before December 31 of each calendar year. This rate shall be effective for the following calendar year. The Company Credit shall accrue monthly, at one-twelfth of the applicable annual rate, on all amounts credited to the Participant's account, including the Company Credits for prior years. The Company Credit shall not accrue on any amount distributed to the Participant (or to the Participant’s Beneficiary) during the month for which the accrual is determined, except where an amount is distributed to a Beneficiary in the month of the Participant's death. The Company Credit for each year shall be credited to each Participant’s account as of December 31 of that year and shall be compounded annually.</w:t>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u w:val="single" w:color="auto"/>
          <w:color w:val="auto"/>
        </w:rPr>
        <w:t>Payment</w:t>
      </w:r>
      <w:r>
        <w:rPr>
          <w:rFonts w:ascii="Arial" w:cs="Arial" w:eastAsia="Arial" w:hAnsi="Arial"/>
          <w:sz w:val="21"/>
          <w:szCs w:val="21"/>
          <w:b w:val="1"/>
          <w:bCs w:val="1"/>
          <w:color w:val="auto"/>
        </w:rPr>
        <w:t>.</w:t>
      </w:r>
    </w:p>
    <w:p>
      <w:pPr>
        <w:spacing w:after="0" w:line="249"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u w:val="single" w:color="auto"/>
          <w:color w:val="auto"/>
        </w:rPr>
        <w:t>6.1. Payment Options</w:t>
      </w:r>
      <w:r>
        <w:rPr>
          <w:rFonts w:ascii="Arial" w:cs="Arial" w:eastAsia="Arial" w:hAnsi="Arial"/>
          <w:sz w:val="22"/>
          <w:szCs w:val="22"/>
          <w:color w:val="auto"/>
        </w:rPr>
        <w:t>. The Participant shall select a payment election from the payment options described below. A Participant may elect that his final payment election control over all prior payment elections. The payment option selected by a Participant shall provide for payment to the Participant of the amount credited to the Participant’s account in</w:t>
      </w:r>
    </w:p>
    <w:p>
      <w:pPr>
        <w:spacing w:after="0" w:line="216" w:lineRule="exact"/>
        <w:rPr>
          <w:sz w:val="20"/>
          <w:szCs w:val="20"/>
          <w:color w:val="auto"/>
        </w:rPr>
      </w:pPr>
    </w:p>
    <w:p>
      <w:pPr>
        <w:ind w:left="980" w:right="100" w:hanging="324"/>
        <w:spacing w:after="0" w:line="252" w:lineRule="auto"/>
        <w:tabs>
          <w:tab w:leader="none" w:pos="114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lump sum in January of the second calendar year following the calendar year in which the Participant’s employment terminates by reason of Retirement or Disability; or</w:t>
      </w:r>
    </w:p>
    <w:p>
      <w:pPr>
        <w:spacing w:after="0" w:line="1" w:lineRule="exact"/>
        <w:rPr>
          <w:rFonts w:ascii="Arial" w:cs="Arial" w:eastAsia="Arial" w:hAnsi="Arial"/>
          <w:sz w:val="22"/>
          <w:szCs w:val="22"/>
          <w:color w:val="auto"/>
        </w:rPr>
      </w:pPr>
    </w:p>
    <w:p>
      <w:pPr>
        <w:ind w:left="980" w:hanging="324"/>
        <w:spacing w:after="0" w:line="248" w:lineRule="auto"/>
        <w:tabs>
          <w:tab w:leader="none" w:pos="113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annual installments over a period of two to ten years commencing in January of the second calendar year following the calendar year in which the Participant’s employment terminates by reason of Retirement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40" w:right="379" w:bottom="1440" w:gutter="0" w:footer="0" w:header="0"/>
        </w:sectPr>
      </w:pPr>
    </w:p>
    <w:bookmarkStart w:id="196" w:name="page197"/>
    <w:bookmarkEnd w:id="196"/>
    <w:p>
      <w:pPr>
        <w:spacing w:after="0" w:line="145" w:lineRule="exact"/>
        <w:rPr>
          <w:sz w:val="20"/>
          <w:szCs w:val="20"/>
          <w:color w:val="auto"/>
        </w:rPr>
      </w:pPr>
    </w:p>
    <w:p>
      <w:pPr>
        <w:ind w:hanging="95"/>
        <w:spacing w:after="0" w:line="248" w:lineRule="auto"/>
        <w:rPr>
          <w:sz w:val="20"/>
          <w:szCs w:val="20"/>
          <w:color w:val="auto"/>
        </w:rPr>
      </w:pPr>
      <w:r>
        <w:rPr>
          <w:rFonts w:ascii="Arial" w:cs="Arial" w:eastAsia="Arial" w:hAnsi="Arial"/>
          <w:sz w:val="22"/>
          <w:szCs w:val="22"/>
          <w:color w:val="auto"/>
        </w:rPr>
        <w:t>vided, that in no event shall a lump sum be paid or installment payments begin under any payment option before the first January that begins after any Bonus that has been deferred under the payment option has been determined. The Company shall pay the aggregate amounts deferred, together with a proportionate part of the aggregate Company Credit accrued to the date (or dates) of payment, in the manner and on the date(s) specified by the Participant. If a payment option described in paragraph (i), above, has been elected, the amount of the lump sum shall be equal to the amount credited to the Participant's account as of the December 31 next preceding the date of the payment. If the payment option described in paragraph (ii), above, has been elected, the amount of each installment shall be equal to the amount credited to the Participant's account as of the December 31 next preceding the date of the installment payment divided by the number of installment payments that have not yet been made. If the Participant fails to elect a payment option, the amount credited to the Participant’s account shall be distributed in a lump sum in accordance with the payment option described in paragraph (i), above. If the amount credited to the Participant’s account is less than $25,000 at any time following the year in which the Participant's employment terminates by reason of Retirement of Disability, the Committee, in its sole discretion, may pay out the amount credited to the Participant's account in a lump sum.</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22"/>
          <w:szCs w:val="22"/>
          <w:u w:val="single" w:color="auto"/>
          <w:color w:val="auto"/>
        </w:rPr>
        <w:t>6.2. Payment upon Death</w:t>
      </w:r>
      <w:r>
        <w:rPr>
          <w:rFonts w:ascii="Arial" w:cs="Arial" w:eastAsia="Arial" w:hAnsi="Arial"/>
          <w:sz w:val="22"/>
          <w:szCs w:val="22"/>
          <w:color w:val="auto"/>
        </w:rPr>
        <w:t>. Within a reasonable period of time following the death of a Participant, the balance in the Participant’s account shall be paid in a lump sum to the</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22"/>
          <w:szCs w:val="22"/>
          <w:color w:val="auto"/>
        </w:rPr>
        <w:t>Participant’s Beneficiary. For purposes of this subsection 6.2, the balance in the Participant’s account shall be determined as of the date of payment. A Participant may designate the Beneficiary, in writing, in a form acceptable to the Committee, and filed with the Committee before the Participant’s death. A Participant may, before the Participant’s death, revoke a prior designation of Beneficiary and may also designate a new Beneficiary without the consent of the previously designated Beneficiary, provided that such revocation and new designation (if any) are in writing, in a form acceptable to the Committee, and filed with the Committee before the Participant’s death. If the Participant does not designate a Beneficiary, or if no designated Beneficiary survives the Participant, any amount not distributed to the Participant during the Participant’s life shall be paid to the Participant’s estate in a lump sum in accordance with this subsection 6.2.</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u w:val="single" w:color="auto"/>
          <w:color w:val="auto"/>
        </w:rPr>
        <w:t>6.3. Resignation or Dismissal</w:t>
      </w:r>
      <w:r>
        <w:rPr>
          <w:rFonts w:ascii="Arial" w:cs="Arial" w:eastAsia="Arial" w:hAnsi="Arial"/>
          <w:sz w:val="22"/>
          <w:szCs w:val="22"/>
          <w:color w:val="auto"/>
        </w:rPr>
        <w:t>. Within a reasonable time following termination of a Participant's employment by resignation or dismissal, the balance in the Participant’s account shall be paid in a lump sum to the Participant. For purposes of this subsection 6.3, the balance in the Participant’s account shall be determined as of a date determined by the Cormittee in its sole discretion.</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u w:val="single" w:color="auto"/>
          <w:color w:val="auto"/>
        </w:rPr>
        <w:t>6.4. Payment on Unforeseeable Emergency</w:t>
      </w:r>
      <w:r>
        <w:rPr>
          <w:rFonts w:ascii="Arial" w:cs="Arial" w:eastAsia="Arial" w:hAnsi="Arial"/>
          <w:sz w:val="22"/>
          <w:szCs w:val="22"/>
          <w:color w:val="auto"/>
        </w:rPr>
        <w:t>. The Administrator may, in its sole discretion, direct payment to a Participant of all or of any portion of the Participant’s Account balance, notwithstanding an election under Section 6.1. above, at any time that it determines that such Participant has an unforeseeable emergency and then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45" w:lineRule="exact"/>
        <w:rPr>
          <w:sz w:val="20"/>
          <w:szCs w:val="20"/>
          <w:color w:val="auto"/>
        </w:rPr>
      </w:pPr>
    </w:p>
    <w:p>
      <w:pPr>
        <w:ind w:left="100" w:right="140"/>
        <w:spacing w:after="0" w:line="251" w:lineRule="auto"/>
        <w:rPr>
          <w:sz w:val="20"/>
          <w:szCs w:val="20"/>
          <w:color w:val="auto"/>
        </w:rPr>
      </w:pPr>
      <w:r>
        <w:rPr>
          <w:rFonts w:ascii="Arial" w:cs="Arial" w:eastAsia="Arial" w:hAnsi="Arial"/>
          <w:sz w:val="22"/>
          <w:szCs w:val="22"/>
          <w:color w:val="auto"/>
        </w:rPr>
        <w:t>the extent reasonably necessary to meet the emergency. For purposes of this rule, "unforeseeable emergency" means severe financial hardship to the Participant resulting from a sudden and unexpected illness or accident of the Participant or of a dependent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 --</w:t>
      </w:r>
    </w:p>
    <w:p>
      <w:pPr>
        <w:spacing w:after="0" w:line="222" w:lineRule="exact"/>
        <w:rPr>
          <w:sz w:val="20"/>
          <w:szCs w:val="20"/>
          <w:color w:val="auto"/>
        </w:rPr>
      </w:pPr>
    </w:p>
    <w:p>
      <w:pPr>
        <w:ind w:left="1240" w:hanging="484"/>
        <w:spacing w:after="0"/>
        <w:tabs>
          <w:tab w:leader="none" w:pos="12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Through reimbursement or compensation by insurance or otherwise,</w:t>
      </w:r>
    </w:p>
    <w:p>
      <w:pPr>
        <w:spacing w:after="0" w:line="23" w:lineRule="exact"/>
        <w:rPr>
          <w:rFonts w:ascii="Arial" w:cs="Arial" w:eastAsia="Arial" w:hAnsi="Arial"/>
          <w:sz w:val="22"/>
          <w:szCs w:val="22"/>
          <w:color w:val="auto"/>
        </w:rPr>
      </w:pPr>
    </w:p>
    <w:p>
      <w:pPr>
        <w:ind w:left="1240" w:right="600" w:hanging="484"/>
        <w:spacing w:after="0" w:line="243" w:lineRule="auto"/>
        <w:tabs>
          <w:tab w:leader="none" w:pos="129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By liquidation of the Participant’s assets, to the extent the liquidation of such assets would not itself cause severe financial hardship, or</w:t>
      </w:r>
    </w:p>
    <w:p>
      <w:pPr>
        <w:ind w:left="1340" w:hanging="584"/>
        <w:spacing w:after="0"/>
        <w:tabs>
          <w:tab w:leader="none" w:pos="13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By cessation of deferrals under the Plan.</w:t>
      </w:r>
    </w:p>
    <w:p>
      <w:pPr>
        <w:spacing w:after="0" w:line="227" w:lineRule="exact"/>
        <w:rPr>
          <w:sz w:val="20"/>
          <w:szCs w:val="20"/>
          <w:color w:val="auto"/>
        </w:rPr>
      </w:pPr>
    </w:p>
    <w:p>
      <w:pPr>
        <w:ind w:left="100" w:right="220" w:hanging="107"/>
        <w:spacing w:after="0" w:line="285" w:lineRule="auto"/>
        <w:rPr>
          <w:sz w:val="20"/>
          <w:szCs w:val="20"/>
          <w:color w:val="auto"/>
        </w:rPr>
      </w:pPr>
      <w:r>
        <w:rPr>
          <w:rFonts w:ascii="Arial" w:cs="Arial" w:eastAsia="Arial" w:hAnsi="Arial"/>
          <w:sz w:val="22"/>
          <w:szCs w:val="22"/>
          <w:color w:val="auto"/>
        </w:rPr>
        <w:t>amples of what are not considered to be unforeseeable emergencies include the need to send a Participant’s child to college or the desire to purchase a home.</w:t>
      </w:r>
    </w:p>
    <w:p>
      <w:pPr>
        <w:spacing w:after="0" w:line="169" w:lineRule="exact"/>
        <w:rPr>
          <w:sz w:val="20"/>
          <w:szCs w:val="20"/>
          <w:color w:val="auto"/>
        </w:rPr>
      </w:pPr>
    </w:p>
    <w:p>
      <w:pPr>
        <w:ind w:left="100"/>
        <w:spacing w:after="0"/>
        <w:tabs>
          <w:tab w:leader="none" w:pos="2319" w:val="left"/>
        </w:tabs>
        <w:rPr>
          <w:sz w:val="20"/>
          <w:szCs w:val="20"/>
          <w:color w:val="auto"/>
        </w:rPr>
      </w:pPr>
      <w:r>
        <w:rPr>
          <w:rFonts w:ascii="Arial" w:cs="Arial" w:eastAsia="Arial" w:hAnsi="Arial"/>
          <w:sz w:val="22"/>
          <w:szCs w:val="22"/>
          <w:u w:val="single" w:color="auto"/>
          <w:color w:val="auto"/>
        </w:rPr>
        <w:t>6.5. Cash Payments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All payments under the Plan shall be made in cash.</w:t>
      </w:r>
    </w:p>
    <w:p>
      <w:pPr>
        <w:spacing w:after="0" w:line="245" w:lineRule="exact"/>
        <w:rPr>
          <w:sz w:val="20"/>
          <w:szCs w:val="20"/>
          <w:color w:val="auto"/>
        </w:rPr>
      </w:pPr>
    </w:p>
    <w:p>
      <w:pPr>
        <w:ind w:left="100"/>
        <w:spacing w:after="0"/>
        <w:tabs>
          <w:tab w:leader="none" w:pos="1339"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u w:val="single" w:color="auto"/>
          <w:color w:val="auto"/>
        </w:rPr>
        <w:t>Prohibition Against Transfer</w:t>
      </w:r>
      <w:r>
        <w:rPr>
          <w:rFonts w:ascii="Arial" w:cs="Arial" w:eastAsia="Arial" w:hAnsi="Arial"/>
          <w:sz w:val="21"/>
          <w:szCs w:val="21"/>
          <w:b w:val="1"/>
          <w:bCs w:val="1"/>
          <w:color w:val="auto"/>
        </w:rPr>
        <w:t>.</w:t>
      </w:r>
    </w:p>
    <w:p>
      <w:pPr>
        <w:spacing w:after="0" w:line="249" w:lineRule="exact"/>
        <w:rPr>
          <w:sz w:val="20"/>
          <w:szCs w:val="20"/>
          <w:color w:val="auto"/>
        </w:rPr>
      </w:pPr>
    </w:p>
    <w:p>
      <w:pPr>
        <w:ind w:left="100" w:right="40"/>
        <w:spacing w:after="0" w:line="252" w:lineRule="auto"/>
        <w:rPr>
          <w:sz w:val="20"/>
          <w:szCs w:val="20"/>
          <w:color w:val="auto"/>
        </w:rPr>
      </w:pPr>
      <w:r>
        <w:rPr>
          <w:rFonts w:ascii="Arial" w:cs="Arial" w:eastAsia="Arial" w:hAnsi="Arial"/>
          <w:sz w:val="22"/>
          <w:szCs w:val="22"/>
          <w:color w:val="auto"/>
        </w:rPr>
        <w:t>The right of a Participant to receive payments under the Plan may not be transferred except by will or applicable laws of descent and distribution. A Participant may not assign, sell, pledge, or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otherwise transfer any amount to which he is entitled hereunder prior to transfer or payment thereof to the Participant.</w:t>
      </w:r>
    </w:p>
    <w:p>
      <w:pPr>
        <w:spacing w:after="0" w:line="250" w:lineRule="exact"/>
        <w:rPr>
          <w:sz w:val="20"/>
          <w:szCs w:val="20"/>
          <w:color w:val="auto"/>
        </w:rPr>
      </w:pPr>
    </w:p>
    <w:p>
      <w:pPr>
        <w:ind w:left="100"/>
        <w:spacing w:after="0"/>
        <w:tabs>
          <w:tab w:leader="none" w:pos="1339"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u w:val="single" w:color="auto"/>
          <w:color w:val="auto"/>
        </w:rPr>
        <w:t>Participant’s Rights Unsecured</w:t>
      </w:r>
      <w:r>
        <w:rPr>
          <w:rFonts w:ascii="Arial" w:cs="Arial" w:eastAsia="Arial" w:hAnsi="Arial"/>
          <w:sz w:val="21"/>
          <w:szCs w:val="21"/>
          <w:b w:val="1"/>
          <w:bCs w:val="1"/>
          <w:color w:val="auto"/>
        </w:rPr>
        <w:t>.</w:t>
      </w:r>
    </w:p>
    <w:p>
      <w:pPr>
        <w:spacing w:after="0" w:line="249" w:lineRule="exact"/>
        <w:rPr>
          <w:sz w:val="20"/>
          <w:szCs w:val="20"/>
          <w:color w:val="auto"/>
        </w:rPr>
      </w:pPr>
    </w:p>
    <w:p>
      <w:pPr>
        <w:ind w:left="100" w:right="280"/>
        <w:spacing w:after="0" w:line="272" w:lineRule="auto"/>
        <w:rPr>
          <w:sz w:val="20"/>
          <w:szCs w:val="20"/>
          <w:color w:val="auto"/>
        </w:rPr>
      </w:pPr>
      <w:r>
        <w:rPr>
          <w:rFonts w:ascii="Arial" w:cs="Arial" w:eastAsia="Arial" w:hAnsi="Arial"/>
          <w:sz w:val="22"/>
          <w:szCs w:val="22"/>
          <w:color w:val="auto"/>
        </w:rPr>
        <w:t>The Plan is unfunded. The right of any Participant to receive payments under the Plan shall be an unsecured claim against the general assets of the Company.</w:t>
      </w:r>
    </w:p>
    <w:p>
      <w:pPr>
        <w:spacing w:after="0" w:line="181" w:lineRule="exact"/>
        <w:rPr>
          <w:sz w:val="20"/>
          <w:szCs w:val="20"/>
          <w:color w:val="auto"/>
        </w:rPr>
      </w:pPr>
    </w:p>
    <w:p>
      <w:pPr>
        <w:ind w:left="100"/>
        <w:spacing w:after="0"/>
        <w:tabs>
          <w:tab w:leader="none" w:pos="1339"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u w:val="single" w:color="auto"/>
          <w:color w:val="auto"/>
        </w:rPr>
        <w:t>Administration</w:t>
      </w:r>
      <w:r>
        <w:rPr>
          <w:rFonts w:ascii="Arial" w:cs="Arial" w:eastAsia="Arial" w:hAnsi="Arial"/>
          <w:sz w:val="21"/>
          <w:szCs w:val="21"/>
          <w:b w:val="1"/>
          <w:bCs w:val="1"/>
          <w:color w:val="auto"/>
        </w:rPr>
        <w:t>.</w:t>
      </w:r>
    </w:p>
    <w:p>
      <w:pPr>
        <w:spacing w:after="0" w:line="249" w:lineRule="exact"/>
        <w:rPr>
          <w:sz w:val="20"/>
          <w:szCs w:val="20"/>
          <w:color w:val="auto"/>
        </w:rPr>
      </w:pPr>
    </w:p>
    <w:p>
      <w:pPr>
        <w:ind w:left="100" w:right="200" w:hanging="100"/>
        <w:spacing w:after="0" w:line="264" w:lineRule="auto"/>
        <w:tabs>
          <w:tab w:leader="none" w:pos="112" w:val="left"/>
        </w:tabs>
        <w:numPr>
          <w:ilvl w:val="0"/>
          <w:numId w:val="15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The Plan shall be administered by the Compensation and Management Development Committee of the Board of Directors,the members of which shall be selected by the Board of Directors from among its members. No member of the Committee may be a salaried employee of the Company.</w:t>
      </w:r>
    </w:p>
    <w:p>
      <w:pPr>
        <w:spacing w:after="0" w:line="191" w:lineRule="exact"/>
        <w:rPr>
          <w:rFonts w:ascii="Arial" w:cs="Arial" w:eastAsia="Arial" w:hAnsi="Arial"/>
          <w:sz w:val="22"/>
          <w:szCs w:val="22"/>
          <w:u w:val="single" w:color="auto"/>
          <w:color w:val="auto"/>
        </w:rPr>
      </w:pPr>
    </w:p>
    <w:p>
      <w:pPr>
        <w:ind w:left="100"/>
        <w:spacing w:after="0"/>
        <w:rPr>
          <w:rFonts w:ascii="Arial" w:cs="Arial" w:eastAsia="Arial" w:hAnsi="Arial"/>
          <w:sz w:val="22"/>
          <w:szCs w:val="22"/>
          <w:u w:val="single" w:color="auto"/>
          <w:color w:val="auto"/>
        </w:rPr>
      </w:pPr>
      <w:r>
        <w:rPr>
          <w:rFonts w:ascii="Arial" w:cs="Arial" w:eastAsia="Arial" w:hAnsi="Arial"/>
          <w:sz w:val="22"/>
          <w:szCs w:val="22"/>
          <w:u w:val="single" w:color="auto"/>
          <w:color w:val="auto"/>
        </w:rPr>
        <w:t>9.2. Powers of the Committee</w:t>
      </w:r>
      <w:r>
        <w:rPr>
          <w:rFonts w:ascii="Arial" w:cs="Arial" w:eastAsia="Arial" w:hAnsi="Arial"/>
          <w:sz w:val="22"/>
          <w:szCs w:val="22"/>
          <w:color w:val="auto"/>
        </w:rPr>
        <w:t>. The Committee's powers shall include, but not be limited to, the power</w:t>
      </w:r>
    </w:p>
    <w:p>
      <w:pPr>
        <w:spacing w:after="0" w:line="23" w:lineRule="exact"/>
        <w:rPr>
          <w:rFonts w:ascii="Arial" w:cs="Arial" w:eastAsia="Arial" w:hAnsi="Arial"/>
          <w:sz w:val="22"/>
          <w:szCs w:val="22"/>
          <w:u w:val="single" w:color="auto"/>
          <w:color w:val="auto"/>
        </w:rPr>
      </w:pPr>
    </w:p>
    <w:p>
      <w:pPr>
        <w:ind w:left="1180" w:hanging="424"/>
        <w:spacing w:after="0"/>
        <w:tabs>
          <w:tab w:leader="none" w:pos="11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to select Eligible Employees for participation in the Plan,</w:t>
      </w:r>
    </w:p>
    <w:p>
      <w:pPr>
        <w:spacing w:after="0" w:line="3" w:lineRule="exact"/>
        <w:rPr>
          <w:rFonts w:ascii="Arial" w:cs="Arial" w:eastAsia="Arial" w:hAnsi="Arial"/>
          <w:sz w:val="22"/>
          <w:szCs w:val="22"/>
          <w:color w:val="auto"/>
        </w:rPr>
      </w:pPr>
    </w:p>
    <w:p>
      <w:pPr>
        <w:ind w:left="1080" w:right="100" w:hanging="324"/>
        <w:spacing w:after="0" w:line="266" w:lineRule="auto"/>
        <w:tabs>
          <w:tab w:leader="none" w:pos="123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to interpret the terms and provisions of the Plan and to determine any and all questions arising under the Plan, including, without limitation,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20"/>
          </w:cols>
          <w:pgMar w:left="220" w:top="1440" w:right="359" w:bottom="1440" w:gutter="0" w:footer="0" w:header="0"/>
        </w:sectPr>
      </w:pPr>
    </w:p>
    <w:bookmarkStart w:id="198" w:name="page199"/>
    <w:bookmarkEnd w:id="198"/>
    <w:p>
      <w:pPr>
        <w:spacing w:after="0" w:line="1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remedy possible ambiguities, inconsistencies, or omissions by a general rule or particular decision,</w:t>
      </w:r>
    </w:p>
    <w:p>
      <w:pPr>
        <w:spacing w:after="0" w:line="31" w:lineRule="exact"/>
        <w:rPr>
          <w:sz w:val="20"/>
          <w:szCs w:val="20"/>
          <w:color w:val="auto"/>
        </w:rPr>
      </w:pPr>
    </w:p>
    <w:p>
      <w:pPr>
        <w:ind w:left="1000" w:hanging="344"/>
        <w:spacing w:after="0"/>
        <w:tabs>
          <w:tab w:leader="none" w:pos="10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adopt rules consistent with the Plan, and</w:t>
      </w:r>
    </w:p>
    <w:p>
      <w:pPr>
        <w:spacing w:after="0" w:line="10" w:lineRule="exact"/>
        <w:rPr>
          <w:rFonts w:ascii="Arial" w:cs="Arial" w:eastAsia="Arial" w:hAnsi="Arial"/>
          <w:sz w:val="22"/>
          <w:szCs w:val="22"/>
          <w:color w:val="auto"/>
        </w:rPr>
      </w:pPr>
    </w:p>
    <w:p>
      <w:pPr>
        <w:ind w:left="980" w:right="300" w:hanging="324"/>
        <w:spacing w:after="0" w:line="253" w:lineRule="auto"/>
        <w:tabs>
          <w:tab w:leader="none" w:pos="101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limit the deferrals of SEC Executive Officers to assure that the Company has sufficient funds to cover taxes, benefit payments, and other necessary or appropriate deductions.</w:t>
      </w:r>
    </w:p>
    <w:p>
      <w:pPr>
        <w:spacing w:after="0" w:line="203" w:lineRule="exact"/>
        <w:rPr>
          <w:sz w:val="20"/>
          <w:szCs w:val="20"/>
          <w:color w:val="auto"/>
        </w:rPr>
      </w:pPr>
    </w:p>
    <w:p>
      <w:pPr>
        <w:jc w:val="both"/>
        <w:ind w:right="40"/>
        <w:spacing w:after="0" w:line="264" w:lineRule="auto"/>
        <w:rPr>
          <w:sz w:val="20"/>
          <w:szCs w:val="20"/>
          <w:color w:val="auto"/>
        </w:rPr>
      </w:pPr>
      <w:r>
        <w:rPr>
          <w:rFonts w:ascii="Arial" w:cs="Arial" w:eastAsia="Arial" w:hAnsi="Arial"/>
          <w:sz w:val="22"/>
          <w:szCs w:val="22"/>
          <w:u w:val="single" w:color="auto"/>
          <w:color w:val="auto"/>
        </w:rPr>
        <w:t>9.3. Finality of Committee Determinations</w:t>
      </w:r>
      <w:r>
        <w:rPr>
          <w:rFonts w:ascii="Arial" w:cs="Arial" w:eastAsia="Arial" w:hAnsi="Arial"/>
          <w:sz w:val="22"/>
          <w:szCs w:val="22"/>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91" w:lineRule="exact"/>
        <w:rPr>
          <w:sz w:val="20"/>
          <w:szCs w:val="20"/>
          <w:color w:val="auto"/>
        </w:rPr>
      </w:pPr>
    </w:p>
    <w:p>
      <w:pPr>
        <w:spacing w:after="0" w:line="249" w:lineRule="auto"/>
        <w:rPr>
          <w:sz w:val="20"/>
          <w:szCs w:val="20"/>
          <w:color w:val="auto"/>
        </w:rPr>
      </w:pPr>
      <w:r>
        <w:rPr>
          <w:rFonts w:ascii="Arial" w:cs="Arial" w:eastAsia="Arial" w:hAnsi="Arial"/>
          <w:sz w:val="22"/>
          <w:szCs w:val="22"/>
          <w:u w:val="single" w:color="auto"/>
          <w:color w:val="auto"/>
        </w:rPr>
        <w:t>9.4. Claims Procedures</w:t>
      </w:r>
      <w:r>
        <w:rPr>
          <w:rFonts w:ascii="Arial" w:cs="Arial" w:eastAsia="Arial" w:hAnsi="Arial"/>
          <w:sz w:val="22"/>
          <w:szCs w:val="22"/>
          <w:color w:val="auto"/>
        </w:rPr>
        <w:t>. Any person making a claim for benefits hereunder shall submit the claim in writing to the Committee. If the Committee denies the claim in whole or in part, it shall issue to the claimant a written notice explaining the reason for the denial and identifying any additional information or documentation that might enable the claimant to perfect the claim. The claimant may, within 60 days of receiving a written notice of denial, submit a written request for reconsideration to the Committee, together with a written explanation of the basis of the request. The Committee shall consider any such request and shall provide the claimant with a written decision together with a written explanation thereof. All interpretations, determinations, and decisions of the committee in respect of any claim shall be final and conclusive.</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22"/>
          <w:szCs w:val="22"/>
          <w:u w:val="single" w:color="auto"/>
          <w:color w:val="auto"/>
        </w:rPr>
        <w:t>9.5. Withholding</w:t>
      </w:r>
      <w:r>
        <w:rPr>
          <w:rFonts w:ascii="Arial" w:cs="Arial" w:eastAsia="Arial" w:hAnsi="Arial"/>
          <w:sz w:val="22"/>
          <w:szCs w:val="22"/>
          <w:color w:val="auto"/>
        </w:rPr>
        <w:t>. The Company shall have the right to deduct from all payments hereunder any taxes required by law to be withheld from such payments. The recipients of such payments shall bear all taxes on amounts paid under the Plan to the extent that no taxes are withheld thereon, irrespective of whether withholding is required.</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22"/>
          <w:szCs w:val="22"/>
          <w:u w:val="single" w:color="auto"/>
          <w:color w:val="auto"/>
        </w:rPr>
        <w:t>9.6. Incapacity</w:t>
      </w:r>
      <w:r>
        <w:rPr>
          <w:rFonts w:ascii="Arial" w:cs="Arial" w:eastAsia="Arial" w:hAnsi="Arial"/>
          <w:sz w:val="22"/>
          <w:szCs w:val="22"/>
          <w:color w:val="auto"/>
        </w:rPr>
        <w:t>. If the Committee determines that any person entitled to benefits under the Plan is unable to care for his or her affairs because of illness or accident, any payment due (unless a duly qualified guardian or other legal representative has been appointed) may be paid for the benefit of such person to such person's spouse, parent, brother, sister,or other party deemed by the Committee to have incurred expenses for such person.</w:t>
      </w:r>
    </w:p>
    <w:p>
      <w:pPr>
        <w:spacing w:after="0" w:line="199"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u w:val="single" w:color="auto"/>
          <w:color w:val="auto"/>
        </w:rPr>
        <w:t>9.7. Inability to Locate</w:t>
      </w:r>
      <w:r>
        <w:rPr>
          <w:rFonts w:ascii="Arial" w:cs="Arial" w:eastAsia="Arial" w:hAnsi="Arial"/>
          <w:sz w:val="22"/>
          <w:szCs w:val="22"/>
          <w:color w:val="auto"/>
        </w:rPr>
        <w:t>. If the Committee is unable to locate a person to whom a payment is due under the Plan for a period of twelve (12) months, commencing with the first day of the month as of which the payment becomes payable, the total amount payable to such person shall be forfeited.</w:t>
      </w:r>
    </w:p>
    <w:p>
      <w:pPr>
        <w:spacing w:after="0" w:line="200" w:lineRule="exact"/>
        <w:rPr>
          <w:sz w:val="20"/>
          <w:szCs w:val="20"/>
          <w:color w:val="auto"/>
        </w:rPr>
      </w:pPr>
    </w:p>
    <w:p>
      <w:pPr>
        <w:ind w:right="340"/>
        <w:spacing w:after="0" w:line="285" w:lineRule="auto"/>
        <w:rPr>
          <w:sz w:val="20"/>
          <w:szCs w:val="20"/>
          <w:color w:val="auto"/>
        </w:rPr>
      </w:pPr>
      <w:r>
        <w:rPr>
          <w:rFonts w:ascii="Arial" w:cs="Arial" w:eastAsia="Arial" w:hAnsi="Arial"/>
          <w:sz w:val="22"/>
          <w:szCs w:val="22"/>
          <w:u w:val="single" w:color="auto"/>
          <w:color w:val="auto"/>
        </w:rPr>
        <w:t>9.8. Legal Holidays</w:t>
      </w:r>
      <w:r>
        <w:rPr>
          <w:rFonts w:ascii="Arial" w:cs="Arial" w:eastAsia="Arial" w:hAnsi="Arial"/>
          <w:sz w:val="22"/>
          <w:szCs w:val="22"/>
          <w:color w:val="auto"/>
        </w:rPr>
        <w:t>. If any day on (or on or before) which action under the Plan must be taken falls on a Saturday, Sunday,or legal holiday, such action may be taken on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80"/>
          </w:cols>
          <w:pgMar w:left="320" w:top="1440" w:right="399" w:bottom="1440" w:gutter="0" w:footer="0" w:header="0"/>
        </w:sectPr>
      </w:pPr>
    </w:p>
    <w:bookmarkStart w:id="199" w:name="page200"/>
    <w:bookmarkEnd w:id="199"/>
    <w:p>
      <w:pPr>
        <w:spacing w:after="0" w:line="145" w:lineRule="exact"/>
        <w:rPr>
          <w:sz w:val="20"/>
          <w:szCs w:val="20"/>
          <w:color w:val="auto"/>
        </w:rPr>
      </w:pPr>
    </w:p>
    <w:p>
      <w:pPr>
        <w:ind w:right="120" w:hanging="107"/>
        <w:spacing w:after="0" w:line="285" w:lineRule="auto"/>
        <w:rPr>
          <w:sz w:val="20"/>
          <w:szCs w:val="20"/>
          <w:color w:val="auto"/>
        </w:rPr>
      </w:pPr>
      <w:r>
        <w:rPr>
          <w:rFonts w:ascii="Arial" w:cs="Arial" w:eastAsia="Arial" w:hAnsi="Arial"/>
          <w:sz w:val="22"/>
          <w:szCs w:val="22"/>
          <w:color w:val="auto"/>
        </w:rPr>
        <w:t>re) the next succeeding day that is not a Saturday, Sunday,or legal holiday; provided, that this subsection 9.8 shall not permit any action that must be taken in one calendar year to be taken in any subsequent calendar year.</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u w:val="single" w:color="auto"/>
          <w:color w:val="auto"/>
        </w:rPr>
        <w:t>No Employment Rights</w:t>
      </w:r>
      <w:r>
        <w:rPr>
          <w:rFonts w:ascii="Arial" w:cs="Arial" w:eastAsia="Arial" w:hAnsi="Arial"/>
          <w:sz w:val="21"/>
          <w:szCs w:val="21"/>
          <w:b w:val="1"/>
          <w:bCs w:val="1"/>
          <w:color w:val="auto"/>
        </w:rPr>
        <w:t>.</w:t>
      </w: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No provision of the Plan or any action taken hereunder by the Company, the Board of Directors, or the Committee shall give any person any right to be retained in the employ of the Company, and the right and power of the Company to dismiss or discharge any Participant is specifically reserved.</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u w:val="single" w:color="auto"/>
          <w:color w:val="auto"/>
        </w:rPr>
        <w:t>Amendment, Suspension, and Termination</w:t>
      </w:r>
      <w:r>
        <w:rPr>
          <w:rFonts w:ascii="Arial" w:cs="Arial" w:eastAsia="Arial" w:hAnsi="Arial"/>
          <w:sz w:val="21"/>
          <w:szCs w:val="21"/>
          <w:b w:val="1"/>
          <w:bCs w:val="1"/>
          <w:color w:val="auto"/>
        </w:rPr>
        <w:t>.</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Board of Directors shall have the right to amend, suspend, or terminate the Plan at any time. The Committee shall also have the right to amend the Plan, except for subsection 9.1 hereof and this Section 11.</w:t>
      </w:r>
    </w:p>
    <w:p>
      <w:pPr>
        <w:spacing w:after="0" w:line="20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u w:val="single" w:color="auto"/>
          <w:color w:val="auto"/>
        </w:rPr>
        <w:t>Applicable Law</w:t>
      </w:r>
      <w:r>
        <w:rPr>
          <w:rFonts w:ascii="Arial" w:cs="Arial" w:eastAsia="Arial" w:hAnsi="Arial"/>
          <w:sz w:val="21"/>
          <w:szCs w:val="21"/>
          <w:b w:val="1"/>
          <w:bCs w:val="1"/>
          <w:color w:val="auto"/>
        </w:rPr>
        <w:t>.</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shall be governed by, and construed in accordance with, the laws of the State of Indiana, except to the extent that such laws are preempted by Federal law.</w:t>
      </w:r>
    </w:p>
    <w:p>
      <w:pPr>
        <w:spacing w:after="0" w:line="20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u w:val="single" w:color="auto"/>
          <w:color w:val="auto"/>
        </w:rPr>
        <w:t>Effective Date</w:t>
      </w:r>
      <w:r>
        <w:rPr>
          <w:rFonts w:ascii="Arial" w:cs="Arial" w:eastAsia="Arial" w:hAnsi="Arial"/>
          <w:sz w:val="21"/>
          <w:szCs w:val="21"/>
          <w:b w:val="1"/>
          <w:bCs w:val="1"/>
          <w:color w:val="auto"/>
        </w:rPr>
        <w:t>.</w:t>
      </w:r>
    </w:p>
    <w:p>
      <w:pPr>
        <w:spacing w:after="0" w:line="23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This amendment and restatement of the Plan is effective as of January 1, 2004. Nothing herein shall invalidate or adversely affect any previous election, designation, deferral, or accrual in accordance with the terms of the Plan that were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Exhibit 10.8 The Lilly Director’s Deferral Plan, as amended</w:t>
      </w:r>
    </w:p>
    <w:p>
      <w:pPr>
        <w:spacing w:after="0" w:line="25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ELI LILLY AND COMPANY</w:t>
      </w:r>
    </w:p>
    <w:p>
      <w:pPr>
        <w:spacing w:after="0" w:line="247" w:lineRule="exact"/>
        <w:rPr>
          <w:sz w:val="20"/>
          <w:szCs w:val="20"/>
          <w:color w:val="auto"/>
        </w:rPr>
      </w:pPr>
    </w:p>
    <w:p>
      <w:pPr>
        <w:jc w:val="center"/>
        <w:ind w:right="2100"/>
        <w:spacing w:after="0"/>
        <w:rPr>
          <w:sz w:val="20"/>
          <w:szCs w:val="20"/>
          <w:color w:val="auto"/>
        </w:rPr>
      </w:pPr>
      <w:r>
        <w:rPr>
          <w:rFonts w:ascii="Arial" w:cs="Arial" w:eastAsia="Arial" w:hAnsi="Arial"/>
          <w:sz w:val="22"/>
          <w:szCs w:val="22"/>
          <w:b w:val="1"/>
          <w:bCs w:val="1"/>
          <w:u w:val="single" w:color="auto"/>
          <w:color w:val="auto"/>
        </w:rPr>
        <w:t>THE LILLY DIRECTORS' DEFERRAL PLAN</w:t>
      </w:r>
    </w:p>
    <w:p>
      <w:pPr>
        <w:spacing w:after="0" w:line="26" w:lineRule="exact"/>
        <w:rPr>
          <w:sz w:val="20"/>
          <w:szCs w:val="20"/>
          <w:color w:val="auto"/>
        </w:rPr>
      </w:pPr>
    </w:p>
    <w:p>
      <w:pPr>
        <w:jc w:val="center"/>
        <w:ind w:right="2100"/>
        <w:spacing w:after="0"/>
        <w:rPr>
          <w:sz w:val="20"/>
          <w:szCs w:val="20"/>
          <w:color w:val="auto"/>
        </w:rPr>
      </w:pPr>
      <w:r>
        <w:rPr>
          <w:rFonts w:ascii="Arial" w:cs="Arial" w:eastAsia="Arial" w:hAnsi="Arial"/>
          <w:sz w:val="22"/>
          <w:szCs w:val="22"/>
          <w:b w:val="1"/>
          <w:bCs w:val="1"/>
          <w:u w:val="single" w:color="auto"/>
          <w:color w:val="auto"/>
        </w:rPr>
        <w:t>(as Amended and Restated Effective January 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Preamble</w:t>
      </w:r>
    </w:p>
    <w:p>
      <w:pPr>
        <w:spacing w:after="0" w:line="22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The Lilly Directors’ Deferral Plan has been established by the Company for the purpose of providing an opportunity for Directors of the Company who are not salaried employees of the Company to voluntarily defer receipt of some or all of their meeting fees and retainer and to share in the long-term growth of the Company by acquiring, on a deferred basis, an ownership interest in the Company. Subject to adjustment as provided in Section 5(f), and contingent upon receiving approval of the Company’s shareholders, effective January 1, 2017, the aggregate number of shares of Eli Lilly and Company common stock that may be issued or transferred under this Plan is 1,500,000. For the period beginning April 29, 2003, and ending December 31, 2016, the aggregate number of authorized shares was 750,000. Shares issued under the Plan may be authorized and unissued shares or treasury shares.</w:t>
      </w:r>
    </w:p>
    <w:p>
      <w:pPr>
        <w:spacing w:after="0" w:line="197" w:lineRule="exact"/>
        <w:rPr>
          <w:sz w:val="20"/>
          <w:szCs w:val="20"/>
          <w:color w:val="auto"/>
        </w:rPr>
      </w:pPr>
    </w:p>
    <w:p>
      <w:pPr>
        <w:jc w:val="both"/>
        <w:ind w:firstLine="1083"/>
        <w:spacing w:after="0" w:line="257" w:lineRule="auto"/>
        <w:rPr>
          <w:sz w:val="20"/>
          <w:szCs w:val="20"/>
          <w:color w:val="auto"/>
        </w:rPr>
      </w:pPr>
      <w:r>
        <w:rPr>
          <w:rFonts w:ascii="Arial" w:cs="Arial" w:eastAsia="Arial" w:hAnsi="Arial"/>
          <w:sz w:val="22"/>
          <w:szCs w:val="22"/>
          <w:color w:val="auto"/>
        </w:rPr>
        <w:t>The Plan constitutes a plan of unfunded deferred compensation and is intended to comply with the requirements of Section 409A. Notwithstanding any other provision of this Plan, this Plan shall be interpreted, operated and administered in a manner consistent with these intentions.</w:t>
      </w:r>
    </w:p>
    <w:p>
      <w:pPr>
        <w:spacing w:after="0" w:line="200" w:lineRule="exact"/>
        <w:rPr>
          <w:sz w:val="20"/>
          <w:szCs w:val="20"/>
          <w:color w:val="auto"/>
        </w:rPr>
      </w:pPr>
    </w:p>
    <w:p>
      <w:pPr>
        <w:jc w:val="both"/>
        <w:ind w:firstLine="1296"/>
        <w:spacing w:after="0" w:line="310" w:lineRule="auto"/>
        <w:rPr>
          <w:sz w:val="20"/>
          <w:szCs w:val="20"/>
          <w:color w:val="auto"/>
        </w:rPr>
      </w:pPr>
      <w:r>
        <w:rPr>
          <w:rFonts w:ascii="Arial" w:cs="Arial" w:eastAsia="Arial" w:hAnsi="Arial"/>
          <w:sz w:val="21"/>
          <w:szCs w:val="21"/>
          <w:color w:val="auto"/>
        </w:rPr>
        <w:t>For the rules that apply to the distribution of amounts that are grandfathered for purposes of application of Section 409A (i.e., amounts deferred and applicable earnings under the Plan prior to 2005), see Appendix A.</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amendment and restatement of the Plan is effective January 1, 2025.</w:t>
      </w:r>
    </w:p>
    <w:p>
      <w:pPr>
        <w:spacing w:after="0" w:line="24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u w:val="single" w:color="auto"/>
          <w:color w:val="auto"/>
        </w:rPr>
        <w:t>Definition of Terms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terms used in the Plan shall have the meanings set forth below:</w:t>
      </w:r>
    </w:p>
    <w:p>
      <w:pPr>
        <w:spacing w:after="0" w:line="220" w:lineRule="exact"/>
        <w:rPr>
          <w:sz w:val="20"/>
          <w:szCs w:val="20"/>
          <w:color w:val="auto"/>
        </w:rPr>
      </w:pPr>
    </w:p>
    <w:p>
      <w:pPr>
        <w:jc w:val="both"/>
        <w:ind w:firstLine="1304"/>
        <w:spacing w:after="0" w:line="264" w:lineRule="auto"/>
        <w:tabs>
          <w:tab w:leader="none" w:pos="188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one or more deferred compensation accounts maintained for each Participant under the Plan. A Participant’s Account shall consist of a Deferred Compensation Account and the Deferred Stock Account as described in Section 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5" w:lineRule="exact"/>
        <w:rPr>
          <w:sz w:val="20"/>
          <w:szCs w:val="20"/>
          <w:color w:val="auto"/>
        </w:rPr>
      </w:pPr>
    </w:p>
    <w:p>
      <w:pPr>
        <w:jc w:val="both"/>
        <w:ind w:firstLine="1304"/>
        <w:spacing w:after="0" w:line="282" w:lineRule="auto"/>
        <w:tabs>
          <w:tab w:leader="none" w:pos="1827"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Allocation Date</w:t>
      </w:r>
      <w:r>
        <w:rPr>
          <w:rFonts w:ascii="Arial" w:cs="Arial" w:eastAsia="Arial" w:hAnsi="Arial"/>
          <w:sz w:val="21"/>
          <w:szCs w:val="21"/>
          <w:color w:val="auto"/>
        </w:rPr>
        <w:t>” means the date as of which the annual allocation of Shares described in Section 5(c) is credited to the Deferred Stock Account, which shall be as soon as administratively feasible after the Annual Valuation Date, but in no event later than the last Business Day in November of the applicable Plan Year.</w:t>
      </w:r>
    </w:p>
    <w:p>
      <w:pPr>
        <w:spacing w:after="0" w:line="147" w:lineRule="exact"/>
        <w:rPr>
          <w:rFonts w:ascii="Arial" w:cs="Arial" w:eastAsia="Arial" w:hAnsi="Arial"/>
          <w:sz w:val="21"/>
          <w:szCs w:val="21"/>
          <w:color w:val="auto"/>
        </w:rPr>
      </w:pPr>
    </w:p>
    <w:p>
      <w:pPr>
        <w:ind w:firstLine="1304"/>
        <w:spacing w:after="0" w:line="272" w:lineRule="auto"/>
        <w:tabs>
          <w:tab w:leader="none" w:pos="184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Valuation Date</w:t>
      </w:r>
      <w:r>
        <w:rPr>
          <w:rFonts w:ascii="Arial" w:cs="Arial" w:eastAsia="Arial" w:hAnsi="Arial"/>
          <w:sz w:val="22"/>
          <w:szCs w:val="22"/>
          <w:color w:val="auto"/>
        </w:rPr>
        <w:t>” means the Valuation Date in November of each Plan Year, on which the annual allocation of Shares referenced in Section 5(c) is valued.</w:t>
      </w:r>
    </w:p>
    <w:p>
      <w:pPr>
        <w:spacing w:after="0" w:line="155" w:lineRule="exact"/>
        <w:rPr>
          <w:rFonts w:ascii="Arial" w:cs="Arial" w:eastAsia="Arial" w:hAnsi="Arial"/>
          <w:sz w:val="22"/>
          <w:szCs w:val="22"/>
          <w:color w:val="auto"/>
        </w:rPr>
      </w:pPr>
    </w:p>
    <w:p>
      <w:pPr>
        <w:ind w:right="20" w:firstLine="1304"/>
        <w:spacing w:after="0" w:line="310" w:lineRule="auto"/>
        <w:tabs>
          <w:tab w:leader="none" w:pos="181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Beneficiary</w:t>
      </w:r>
      <w:r>
        <w:rPr>
          <w:rFonts w:ascii="Arial" w:cs="Arial" w:eastAsia="Arial" w:hAnsi="Arial"/>
          <w:sz w:val="21"/>
          <w:szCs w:val="21"/>
          <w:color w:val="auto"/>
        </w:rPr>
        <w:t>” means the person or persons who are designated by the Participant or are otherwise entitled to receive benefits under the Plan in the event of the Participant’s death, as provided in Section 6(d) hereof.</w:t>
      </w:r>
    </w:p>
    <w:p>
      <w:pPr>
        <w:spacing w:after="0" w:line="118" w:lineRule="exact"/>
        <w:rPr>
          <w:rFonts w:ascii="Arial" w:cs="Arial" w:eastAsia="Arial" w:hAnsi="Arial"/>
          <w:sz w:val="21"/>
          <w:szCs w:val="21"/>
          <w:color w:val="auto"/>
        </w:rPr>
      </w:pPr>
    </w:p>
    <w:p>
      <w:pPr>
        <w:ind w:left="1800" w:hanging="496"/>
        <w:spacing w:after="0"/>
        <w:tabs>
          <w:tab w:leader="none" w:pos="18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ind w:left="2020" w:hanging="716"/>
        <w:spacing w:after="0"/>
        <w:tabs>
          <w:tab w:leader="none" w:pos="202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on which the Company’s corporate headquarters are open for</w:t>
      </w:r>
    </w:p>
    <w:p>
      <w:pPr>
        <w:spacing w:after="0" w:line="2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regular business.</w:t>
      </w:r>
    </w:p>
    <w:p>
      <w:pPr>
        <w:spacing w:after="0" w:line="199" w:lineRule="exact"/>
        <w:rPr>
          <w:rFonts w:ascii="Arial" w:cs="Arial" w:eastAsia="Arial" w:hAnsi="Arial"/>
          <w:sz w:val="22"/>
          <w:szCs w:val="22"/>
          <w:color w:val="auto"/>
        </w:rPr>
      </w:pPr>
    </w:p>
    <w:p>
      <w:pPr>
        <w:ind w:left="1860" w:hanging="556"/>
        <w:spacing w:after="0"/>
        <w:tabs>
          <w:tab w:leader="none" w:pos="18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1860" w:hanging="556"/>
        <w:spacing w:after="0"/>
        <w:tabs>
          <w:tab w:leader="none" w:pos="18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Eli Lilly and Company, an Indiana corporation.</w:t>
      </w:r>
    </w:p>
    <w:p>
      <w:pPr>
        <w:spacing w:after="0" w:line="219" w:lineRule="exact"/>
        <w:rPr>
          <w:rFonts w:ascii="Arial" w:cs="Arial" w:eastAsia="Arial" w:hAnsi="Arial"/>
          <w:sz w:val="22"/>
          <w:szCs w:val="22"/>
          <w:color w:val="auto"/>
        </w:rPr>
      </w:pPr>
    </w:p>
    <w:p>
      <w:pPr>
        <w:ind w:firstLine="1304"/>
        <w:spacing w:after="0" w:line="272" w:lineRule="auto"/>
        <w:tabs>
          <w:tab w:leader="none" w:pos="180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Amount</w:t>
      </w:r>
      <w:r>
        <w:rPr>
          <w:rFonts w:ascii="Arial" w:cs="Arial" w:eastAsia="Arial" w:hAnsi="Arial"/>
          <w:sz w:val="22"/>
          <w:szCs w:val="22"/>
          <w:color w:val="auto"/>
        </w:rPr>
        <w:t>” means the amount of a Participant’s Monthly Compensation that is elected by a Participant for deferral under the Plan.</w:t>
      </w:r>
    </w:p>
    <w:p>
      <w:pPr>
        <w:spacing w:after="0" w:line="155" w:lineRule="exact"/>
        <w:rPr>
          <w:rFonts w:ascii="Arial" w:cs="Arial" w:eastAsia="Arial" w:hAnsi="Arial"/>
          <w:sz w:val="22"/>
          <w:szCs w:val="22"/>
          <w:color w:val="auto"/>
        </w:rPr>
      </w:pPr>
    </w:p>
    <w:p>
      <w:pPr>
        <w:jc w:val="both"/>
        <w:ind w:firstLine="1304"/>
        <w:spacing w:after="0" w:line="257" w:lineRule="auto"/>
        <w:tabs>
          <w:tab w:leader="none" w:pos="175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means the bookkeeping account described in Section 5(a)(i). A sub-account shall be established within the Deferred Compensation Account for each Plan Year in which a Deferred Stock Participant elects to defer compensation into the Deferred Compensation Account in accordance with Section 4(a).</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88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Account</w:t>
      </w:r>
      <w:r>
        <w:rPr>
          <w:rFonts w:ascii="Arial" w:cs="Arial" w:eastAsia="Arial" w:hAnsi="Arial"/>
          <w:sz w:val="22"/>
          <w:szCs w:val="22"/>
          <w:color w:val="auto"/>
        </w:rPr>
        <w:t>” means the bookkeeping account described in Section 5(a)(ii). A sub-account shall be established within the Deferred Stock Account for each Plan Year in which a Deferred Stock Participant elects to defer compensation into the Deferred Stock Account in accordance with Section 4(a) or receives allocations of Shares under Section 5, to hold the Shares allocated during such Plan Year.</w:t>
      </w:r>
    </w:p>
    <w:p>
      <w:pPr>
        <w:spacing w:after="0" w:line="188" w:lineRule="exact"/>
        <w:rPr>
          <w:rFonts w:ascii="Arial" w:cs="Arial" w:eastAsia="Arial" w:hAnsi="Arial"/>
          <w:sz w:val="22"/>
          <w:szCs w:val="22"/>
          <w:color w:val="auto"/>
        </w:rPr>
      </w:pPr>
    </w:p>
    <w:p>
      <w:pPr>
        <w:ind w:left="1740" w:hanging="436"/>
        <w:spacing w:after="0"/>
        <w:tabs>
          <w:tab w:leader="none" w:pos="17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Participant</w:t>
      </w:r>
      <w:r>
        <w:rPr>
          <w:rFonts w:ascii="Arial" w:cs="Arial" w:eastAsia="Arial" w:hAnsi="Arial"/>
          <w:sz w:val="22"/>
          <w:szCs w:val="22"/>
          <w:color w:val="auto"/>
        </w:rPr>
        <w:t>” means a Director who is not a salaried employee of the Company.</w:t>
      </w:r>
    </w:p>
    <w:p>
      <w:pPr>
        <w:spacing w:after="0" w:line="219" w:lineRule="exact"/>
        <w:rPr>
          <w:rFonts w:ascii="Arial" w:cs="Arial" w:eastAsia="Arial" w:hAnsi="Arial"/>
          <w:sz w:val="22"/>
          <w:szCs w:val="22"/>
          <w:color w:val="auto"/>
        </w:rPr>
      </w:pPr>
    </w:p>
    <w:p>
      <w:pPr>
        <w:ind w:left="1860" w:hanging="556"/>
        <w:spacing w:after="0"/>
        <w:tabs>
          <w:tab w:leader="none" w:pos="18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 of Directors of the Company.</w:t>
      </w:r>
    </w:p>
    <w:p>
      <w:pPr>
        <w:spacing w:after="0" w:line="219" w:lineRule="exact"/>
        <w:rPr>
          <w:rFonts w:ascii="Arial" w:cs="Arial" w:eastAsia="Arial" w:hAnsi="Arial"/>
          <w:sz w:val="22"/>
          <w:szCs w:val="22"/>
          <w:color w:val="auto"/>
        </w:rPr>
      </w:pPr>
    </w:p>
    <w:p>
      <w:pPr>
        <w:ind w:left="2000" w:hanging="696"/>
        <w:spacing w:after="0"/>
        <w:tabs>
          <w:tab w:leader="none" w:pos="20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Payment Date</w:t>
      </w:r>
      <w:r>
        <w:rPr>
          <w:rFonts w:ascii="Arial" w:cs="Arial" w:eastAsia="Arial" w:hAnsi="Arial"/>
          <w:sz w:val="22"/>
          <w:szCs w:val="22"/>
          <w:color w:val="auto"/>
        </w:rPr>
        <w:t>” means the date as of which the Company pays a cash dividend on</w:t>
      </w:r>
    </w:p>
    <w:p>
      <w:pPr>
        <w:spacing w:after="0" w:line="2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5" w:lineRule="exact"/>
        <w:rPr>
          <w:sz w:val="20"/>
          <w:szCs w:val="20"/>
          <w:color w:val="auto"/>
        </w:rPr>
      </w:pPr>
    </w:p>
    <w:p>
      <w:pPr>
        <w:ind w:firstLine="1304"/>
        <w:spacing w:after="0" w:line="285" w:lineRule="auto"/>
        <w:tabs>
          <w:tab w:leader="none" w:pos="184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Record Date</w:t>
      </w:r>
      <w:r>
        <w:rPr>
          <w:rFonts w:ascii="Arial" w:cs="Arial" w:eastAsia="Arial" w:hAnsi="Arial"/>
          <w:sz w:val="22"/>
          <w:szCs w:val="22"/>
          <w:color w:val="auto"/>
        </w:rPr>
        <w:t>” means the date established by the Board of Directors as the record date for determining shareholders entitled to the dividend with respect to any Dividend Payment Date.</w:t>
      </w:r>
    </w:p>
    <w:p>
      <w:pPr>
        <w:spacing w:after="0" w:line="141" w:lineRule="exact"/>
        <w:rPr>
          <w:rFonts w:ascii="Arial" w:cs="Arial" w:eastAsia="Arial" w:hAnsi="Arial"/>
          <w:sz w:val="22"/>
          <w:szCs w:val="22"/>
          <w:color w:val="auto"/>
        </w:rPr>
      </w:pPr>
    </w:p>
    <w:p>
      <w:pPr>
        <w:jc w:val="both"/>
        <w:ind w:firstLine="1304"/>
        <w:spacing w:after="0" w:line="253" w:lineRule="auto"/>
        <w:tabs>
          <w:tab w:leader="none" w:pos="185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Form</w:t>
      </w:r>
      <w:r>
        <w:rPr>
          <w:rFonts w:ascii="Arial" w:cs="Arial" w:eastAsia="Arial" w:hAnsi="Arial"/>
          <w:sz w:val="22"/>
          <w:szCs w:val="22"/>
          <w:color w:val="auto"/>
        </w:rPr>
        <w:t>” means the written or electronic form or forms provided by the Plan Administrator and completed by the Participant specifying the Participant’s election to defer Monthly Compensation pursuant to Section 4 and setting forth the Participant’s Beneficiary designation and the terms of distribution of the Participant’s Deferred Compensation Account and/or Deferred Stock Account pursuant to Section 6.</w:t>
      </w:r>
    </w:p>
    <w:p>
      <w:pPr>
        <w:spacing w:after="0" w:line="188" w:lineRule="exact"/>
        <w:rPr>
          <w:rFonts w:ascii="Arial" w:cs="Arial" w:eastAsia="Arial" w:hAnsi="Arial"/>
          <w:sz w:val="22"/>
          <w:szCs w:val="22"/>
          <w:color w:val="auto"/>
        </w:rPr>
      </w:pPr>
    </w:p>
    <w:p>
      <w:pPr>
        <w:ind w:right="300" w:firstLine="1304"/>
        <w:spacing w:after="0" w:line="296" w:lineRule="auto"/>
        <w:tabs>
          <w:tab w:leader="none" w:pos="180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Election Form</w:t>
      </w:r>
      <w:r>
        <w:rPr>
          <w:rFonts w:ascii="Arial" w:cs="Arial" w:eastAsia="Arial" w:hAnsi="Arial"/>
          <w:sz w:val="21"/>
          <w:szCs w:val="21"/>
          <w:color w:val="auto"/>
        </w:rPr>
        <w:t>” means the form provided to the Participant by the Plan on which the Participant specifies the Investment Funds in which the Participant’s Account(s) are to be deemed to be invested.</w:t>
      </w:r>
    </w:p>
    <w:p>
      <w:pPr>
        <w:spacing w:after="0" w:line="133" w:lineRule="exact"/>
        <w:rPr>
          <w:rFonts w:ascii="Arial" w:cs="Arial" w:eastAsia="Arial" w:hAnsi="Arial"/>
          <w:sz w:val="21"/>
          <w:szCs w:val="21"/>
          <w:color w:val="auto"/>
        </w:rPr>
      </w:pPr>
    </w:p>
    <w:p>
      <w:pPr>
        <w:ind w:left="1760" w:hanging="456"/>
        <w:spacing w:after="0"/>
        <w:tabs>
          <w:tab w:leader="none" w:pos="176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Fund(s)</w:t>
      </w:r>
      <w:r>
        <w:rPr>
          <w:rFonts w:ascii="Arial" w:cs="Arial" w:eastAsia="Arial" w:hAnsi="Arial"/>
          <w:sz w:val="21"/>
          <w:szCs w:val="21"/>
          <w:color w:val="auto"/>
        </w:rPr>
        <w:t>” means one or more of the funds selected by the Plan Administrator pursuant</w:t>
      </w:r>
    </w:p>
    <w:p>
      <w:pPr>
        <w:spacing w:after="0" w:line="3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to Section 5(e).</w:t>
      </w:r>
    </w:p>
    <w:p>
      <w:pPr>
        <w:spacing w:after="0" w:line="199" w:lineRule="exact"/>
        <w:rPr>
          <w:rFonts w:ascii="Arial" w:cs="Arial" w:eastAsia="Arial" w:hAnsi="Arial"/>
          <w:sz w:val="21"/>
          <w:szCs w:val="21"/>
          <w:color w:val="auto"/>
        </w:rPr>
      </w:pPr>
    </w:p>
    <w:p>
      <w:pPr>
        <w:jc w:val="both"/>
        <w:ind w:firstLine="1304"/>
        <w:spacing w:after="0" w:line="253" w:lineRule="auto"/>
        <w:tabs>
          <w:tab w:leader="none" w:pos="193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Compensation</w:t>
      </w:r>
      <w:r>
        <w:rPr>
          <w:rFonts w:ascii="Arial" w:cs="Arial" w:eastAsia="Arial" w:hAnsi="Arial"/>
          <w:sz w:val="22"/>
          <w:szCs w:val="22"/>
          <w:color w:val="auto"/>
        </w:rPr>
        <w:t>” means the monthly retainer and the aggregate of all other fees and retainers, including, but not limited to,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5 of this Plan.</w:t>
      </w:r>
    </w:p>
    <w:p>
      <w:pPr>
        <w:spacing w:after="0" w:line="178" w:lineRule="exact"/>
        <w:rPr>
          <w:rFonts w:ascii="Arial" w:cs="Arial" w:eastAsia="Arial" w:hAnsi="Arial"/>
          <w:sz w:val="22"/>
          <w:szCs w:val="22"/>
          <w:color w:val="auto"/>
        </w:rPr>
      </w:pPr>
    </w:p>
    <w:p>
      <w:pPr>
        <w:jc w:val="both"/>
        <w:ind w:firstLine="1304"/>
        <w:spacing w:after="0" w:line="264" w:lineRule="auto"/>
        <w:tabs>
          <w:tab w:leader="none" w:pos="182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Deferral Participant</w:t>
      </w:r>
      <w:r>
        <w:rPr>
          <w:rFonts w:ascii="Arial" w:cs="Arial" w:eastAsia="Arial" w:hAnsi="Arial"/>
          <w:sz w:val="22"/>
          <w:szCs w:val="22"/>
          <w:color w:val="auto"/>
        </w:rPr>
        <w:t>” means a Director who is not a salaried employee of the Company and who elects to defer all or part of his or her Monthly Compensation pursuant to the Plan in accordance with Section 4 hereof.</w:t>
      </w:r>
    </w:p>
    <w:p>
      <w:pPr>
        <w:spacing w:after="0" w:line="164" w:lineRule="exact"/>
        <w:rPr>
          <w:rFonts w:ascii="Arial" w:cs="Arial" w:eastAsia="Arial" w:hAnsi="Arial"/>
          <w:sz w:val="22"/>
          <w:szCs w:val="22"/>
          <w:color w:val="auto"/>
        </w:rPr>
      </w:pPr>
    </w:p>
    <w:p>
      <w:pPr>
        <w:ind w:left="1920" w:hanging="616"/>
        <w:spacing w:after="0"/>
        <w:tabs>
          <w:tab w:leader="none" w:pos="19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any current or former Director with an outstanding Account balance in the</w:t>
      </w:r>
    </w:p>
    <w:p>
      <w:pPr>
        <w:spacing w:after="0" w:line="2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Plan.</w:t>
      </w:r>
    </w:p>
    <w:p>
      <w:pPr>
        <w:spacing w:after="0" w:line="199" w:lineRule="exact"/>
        <w:rPr>
          <w:rFonts w:ascii="Arial" w:cs="Arial" w:eastAsia="Arial" w:hAnsi="Arial"/>
          <w:sz w:val="22"/>
          <w:szCs w:val="22"/>
          <w:color w:val="auto"/>
        </w:rPr>
      </w:pPr>
    </w:p>
    <w:p>
      <w:pPr>
        <w:ind w:left="1800" w:hanging="496"/>
        <w:spacing w:after="0"/>
        <w:tabs>
          <w:tab w:leader="none" w:pos="18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Lilly Directors’ Deferral Plan, as amended and restated herein.</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89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Administrator</w:t>
      </w:r>
      <w:r>
        <w:rPr>
          <w:rFonts w:ascii="Arial" w:cs="Arial" w:eastAsia="Arial" w:hAnsi="Arial"/>
          <w:sz w:val="22"/>
          <w:szCs w:val="22"/>
          <w:color w:val="auto"/>
        </w:rPr>
        <w:t>” means the Directors and Corporate Governance Committee of the Board of Directors, or any successor committee of the Board of Directors that is charged with matters relating to the compensation of non-employee directors. Except with respect to Section 5(f) of this Plan, the Plan Administrator may at its discretion delegate any of its responsibilities to one or more individuals provided that such delegation is in accordance with applicable laws.</w:t>
      </w:r>
    </w:p>
    <w:p>
      <w:pPr>
        <w:spacing w:after="0" w:line="178" w:lineRule="exact"/>
        <w:rPr>
          <w:rFonts w:ascii="Arial" w:cs="Arial" w:eastAsia="Arial" w:hAnsi="Arial"/>
          <w:sz w:val="22"/>
          <w:szCs w:val="22"/>
          <w:color w:val="auto"/>
        </w:rPr>
      </w:pPr>
    </w:p>
    <w:p>
      <w:pPr>
        <w:ind w:firstLine="1304"/>
        <w:spacing w:after="0" w:line="285" w:lineRule="auto"/>
        <w:tabs>
          <w:tab w:leader="none" w:pos="182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 from January 1 through December 31 with respect to which compensation eligible for deferral under the Plan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5" w:lineRule="exact"/>
        <w:rPr>
          <w:sz w:val="20"/>
          <w:szCs w:val="20"/>
          <w:color w:val="auto"/>
        </w:rPr>
      </w:pPr>
    </w:p>
    <w:p>
      <w:pPr>
        <w:ind w:right="400" w:firstLine="1304"/>
        <w:spacing w:after="0" w:line="285" w:lineRule="auto"/>
        <w:tabs>
          <w:tab w:leader="none" w:pos="178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of Return</w:t>
      </w:r>
      <w:r>
        <w:rPr>
          <w:rFonts w:ascii="Arial" w:cs="Arial" w:eastAsia="Arial" w:hAnsi="Arial"/>
          <w:sz w:val="22"/>
          <w:szCs w:val="22"/>
          <w:color w:val="auto"/>
        </w:rPr>
        <w:t>” means, for each Investment Fund, an amount equal to the net gain or net loss (expressed as a percentage) on the assets of that Investment Fund.</w:t>
      </w:r>
    </w:p>
    <w:p>
      <w:pPr>
        <w:spacing w:after="0" w:line="168" w:lineRule="exact"/>
        <w:rPr>
          <w:rFonts w:ascii="Arial" w:cs="Arial" w:eastAsia="Arial" w:hAnsi="Arial"/>
          <w:sz w:val="22"/>
          <w:szCs w:val="22"/>
          <w:color w:val="auto"/>
        </w:rPr>
      </w:pPr>
    </w:p>
    <w:p>
      <w:pPr>
        <w:ind w:firstLine="1304"/>
        <w:spacing w:after="0" w:line="272" w:lineRule="auto"/>
        <w:tabs>
          <w:tab w:leader="none" w:pos="186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Treasury regulations and other official guidance promulgated thereunder.</w:t>
      </w:r>
    </w:p>
    <w:p>
      <w:pPr>
        <w:spacing w:after="0" w:line="156" w:lineRule="exact"/>
        <w:rPr>
          <w:sz w:val="20"/>
          <w:szCs w:val="20"/>
          <w:color w:val="auto"/>
        </w:rPr>
      </w:pPr>
    </w:p>
    <w:p>
      <w:pPr>
        <w:ind w:left="1920" w:hanging="616"/>
        <w:spacing w:after="0"/>
        <w:tabs>
          <w:tab w:leader="none" w:pos="192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a “separation from service” within the meaning of Section 409A.</w:t>
      </w:r>
    </w:p>
    <w:p>
      <w:pPr>
        <w:spacing w:after="0" w:line="231" w:lineRule="exact"/>
        <w:rPr>
          <w:rFonts w:ascii="Arial" w:cs="Arial" w:eastAsia="Arial" w:hAnsi="Arial"/>
          <w:sz w:val="21"/>
          <w:szCs w:val="21"/>
          <w:color w:val="auto"/>
        </w:rPr>
      </w:pPr>
    </w:p>
    <w:p>
      <w:pPr>
        <w:ind w:left="1920" w:hanging="616"/>
        <w:spacing w:after="0"/>
        <w:tabs>
          <w:tab w:leader="none" w:pos="192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common stock of the Company.</w:t>
      </w:r>
    </w:p>
    <w:p>
      <w:pPr>
        <w:spacing w:after="0" w:line="233" w:lineRule="exact"/>
        <w:rPr>
          <w:rFonts w:ascii="Arial" w:cs="Arial" w:eastAsia="Arial" w:hAnsi="Arial"/>
          <w:sz w:val="22"/>
          <w:szCs w:val="22"/>
          <w:color w:val="auto"/>
        </w:rPr>
      </w:pPr>
    </w:p>
    <w:p>
      <w:pPr>
        <w:jc w:val="both"/>
        <w:ind w:firstLine="1304"/>
        <w:spacing w:after="0" w:line="251" w:lineRule="auto"/>
        <w:tabs>
          <w:tab w:leader="none" w:pos="192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means a severe financial hardship of a Participant resulting from an illness or accident of such Participant or Beneficiary, such Participant’s spouse or a dependent (as defined in section 152(a) of the Code) of such Participant, loss of such Participant’s property due to casualty, or other similar extraordinary and unforeseeable circumstances arising as a result of events beyond the control of such Participant, each as determined in the manner consistent with Section 409A, and any other event or circumstance within the meaning of the term “unforeseeable emergency” under Section 409A.</w:t>
      </w:r>
    </w:p>
    <w:p>
      <w:pPr>
        <w:spacing w:after="0" w:line="181" w:lineRule="exact"/>
        <w:rPr>
          <w:rFonts w:ascii="Arial" w:cs="Arial" w:eastAsia="Arial" w:hAnsi="Arial"/>
          <w:sz w:val="22"/>
          <w:szCs w:val="22"/>
          <w:color w:val="auto"/>
        </w:rPr>
      </w:pPr>
    </w:p>
    <w:p>
      <w:pPr>
        <w:jc w:val="both"/>
        <w:ind w:firstLine="1304"/>
        <w:spacing w:after="0" w:line="257" w:lineRule="auto"/>
        <w:tabs>
          <w:tab w:leader="none" w:pos="19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Date</w:t>
      </w:r>
      <w:r>
        <w:rPr>
          <w:rFonts w:ascii="Arial" w:cs="Arial" w:eastAsia="Arial" w:hAnsi="Arial"/>
          <w:sz w:val="22"/>
          <w:szCs w:val="22"/>
          <w:color w:val="auto"/>
        </w:rPr>
        <w:t>” means for any month, the third Monday of the month, or if Shares are not traded on the New York Stock Exchange on such third Monday, the next day on which Shares are traded on the New York Stock Exchange.</w:t>
      </w:r>
    </w:p>
    <w:p>
      <w:pPr>
        <w:spacing w:after="0" w:line="17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u w:val="single" w:color="auto"/>
          <w:color w:val="auto"/>
        </w:rPr>
        <w:t>Plan Administrator</w:t>
      </w:r>
    </w:p>
    <w:p>
      <w:pPr>
        <w:spacing w:after="0" w:line="222" w:lineRule="exact"/>
        <w:rPr>
          <w:sz w:val="20"/>
          <w:szCs w:val="20"/>
          <w:color w:val="auto"/>
        </w:rPr>
      </w:pPr>
    </w:p>
    <w:p>
      <w:pPr>
        <w:jc w:val="both"/>
        <w:ind w:firstLine="1304"/>
        <w:spacing w:after="0" w:line="249" w:lineRule="auto"/>
        <w:tabs>
          <w:tab w:leader="none" w:pos="180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Plan Administrator shall have full authority to administer the Plan in accordance with its terms and to exercise all responsibilities and authorities as provided herein, including the discretionary authorities to determine the terms and conditions of deferrals of compensation under the Plan, to determine the terms and conditions of crediting to and distributing from Accounts under the terms of the Plan, and to adopt such rules and regulations for administering the Plan as it may deem necessary or appropriate. The Plan Administrator has the discretionary authority to interpret and construe all provisions of the Plan, to remedy possible ambiguities, inconsistencies, or omissions under the Plan, and to resolve all questions of fact arising under the Plan. The decisions of the Plan Administrator shall be final, binding and conclusive on all parties. No member of the Board, the Plan Administrator nor any officers of the Company shall have any liability for any action or determination taken under the Plan.</w:t>
      </w:r>
    </w:p>
    <w:p>
      <w:pPr>
        <w:spacing w:after="0" w:line="183" w:lineRule="exact"/>
        <w:rPr>
          <w:rFonts w:ascii="Arial" w:cs="Arial" w:eastAsia="Arial" w:hAnsi="Arial"/>
          <w:sz w:val="22"/>
          <w:szCs w:val="22"/>
          <w:color w:val="auto"/>
        </w:rPr>
      </w:pPr>
    </w:p>
    <w:p>
      <w:pPr>
        <w:jc w:val="both"/>
        <w:ind w:firstLine="1304"/>
        <w:spacing w:after="0" w:line="264" w:lineRule="auto"/>
        <w:tabs>
          <w:tab w:leader="none" w:pos="180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Delegation.</w:t>
      </w:r>
      <w:r>
        <w:rPr>
          <w:rFonts w:ascii="Arial" w:cs="Arial" w:eastAsia="Arial" w:hAnsi="Arial"/>
          <w:sz w:val="22"/>
          <w:szCs w:val="22"/>
          <w:color w:val="auto"/>
        </w:rPr>
        <w:t xml:space="preserve"> The appropriate officer(s) of the Company as designated by the Plan Administrator are authorized to act on behalf of the Plan Administrator for the day-to-day administration of the Plan, subject to the authority of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u w:val="single" w:color="auto"/>
          <w:color w:val="auto"/>
        </w:rPr>
        <w:t>Participation</w:t>
      </w:r>
    </w:p>
    <w:p>
      <w:pPr>
        <w:spacing w:after="0" w:line="235" w:lineRule="exact"/>
        <w:rPr>
          <w:sz w:val="20"/>
          <w:szCs w:val="20"/>
          <w:color w:val="auto"/>
        </w:rPr>
      </w:pPr>
    </w:p>
    <w:p>
      <w:pPr>
        <w:ind w:firstLine="1296"/>
        <w:spacing w:after="0" w:line="272" w:lineRule="auto"/>
        <w:rPr>
          <w:sz w:val="20"/>
          <w:szCs w:val="20"/>
          <w:color w:val="auto"/>
        </w:rPr>
      </w:pPr>
      <w:r>
        <w:rPr>
          <w:rFonts w:ascii="Arial" w:cs="Arial" w:eastAsia="Arial" w:hAnsi="Arial"/>
          <w:sz w:val="22"/>
          <w:szCs w:val="22"/>
          <w:color w:val="auto"/>
        </w:rPr>
        <w:t>The Plan Administrator may require a Participant to comply with such terms and conditions as the Plan Administrator may specify in order for the Participant to participate in the Plan.</w:t>
      </w:r>
    </w:p>
    <w:p>
      <w:pPr>
        <w:spacing w:after="0" w:line="15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u w:val="single" w:color="auto"/>
          <w:color w:val="auto"/>
        </w:rPr>
        <w:t>Elections to Participate</w:t>
      </w:r>
    </w:p>
    <w:p>
      <w:pPr>
        <w:spacing w:after="0" w:line="222" w:lineRule="exact"/>
        <w:rPr>
          <w:sz w:val="20"/>
          <w:szCs w:val="20"/>
          <w:color w:val="auto"/>
        </w:rPr>
      </w:pPr>
    </w:p>
    <w:p>
      <w:pPr>
        <w:jc w:val="both"/>
        <w:ind w:firstLine="1304"/>
        <w:spacing w:after="0" w:line="249" w:lineRule="auto"/>
        <w:tabs>
          <w:tab w:leader="none" w:pos="1867"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 A Monthly Deferral Participant in the Plan may file an Election Form with the Plan Administrator on or before the date specified in accordance with Section 4(c) hereof. The Election Form shall permit the Monthly Deferral Participant to specify the Deferral Amount, subject to a minimum annual Deferral Amount of five thousand dollars ($5,000), for the deferral of Monthly Compensation, or such amounts as may be specified by the Plan Administrator in its sole discretion, and whether such Deferral Amount shall be credited in cash to his or her Deferred Compensation Account or in Shares to his or her Deferred Stock Account, pursuant to Section 5(a) hereof. The Election Form shall also set forth the terms of distribution of the Participant’s Account in accordance with Section 6 hereof and the Participant’s Beneficiary designation. All elections to defer compensation under the Plan are irrevocable, and no changes to any Election Form delivered to the Plan Administrator shall be permitted, except as specifically provided under the terms of the Plan.</w:t>
      </w:r>
    </w:p>
    <w:p>
      <w:pPr>
        <w:spacing w:after="0" w:line="183" w:lineRule="exact"/>
        <w:rPr>
          <w:rFonts w:ascii="Arial" w:cs="Arial" w:eastAsia="Arial" w:hAnsi="Arial"/>
          <w:sz w:val="22"/>
          <w:szCs w:val="22"/>
          <w:color w:val="auto"/>
        </w:rPr>
      </w:pPr>
    </w:p>
    <w:p>
      <w:pPr>
        <w:jc w:val="both"/>
        <w:ind w:firstLine="1304"/>
        <w:spacing w:after="0" w:line="257" w:lineRule="auto"/>
        <w:tabs>
          <w:tab w:leader="none" w:pos="1827"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Maximum Deferrals</w:t>
      </w:r>
      <w:r>
        <w:rPr>
          <w:rFonts w:ascii="Arial" w:cs="Arial" w:eastAsia="Arial" w:hAnsi="Arial"/>
          <w:sz w:val="22"/>
          <w:szCs w:val="22"/>
          <w:color w:val="auto"/>
        </w:rPr>
        <w:t>. A Monthly Deferral Participant may elect a Deferral Amount of up to 100% of the Participant’s Monthly Compensation for a Plan Year. One hundred percent (100%) of any annual allocation of Shares earned pursuant to Section 5(c) will be automatically credited to a Deferred Stock Participant’s Deferred Stock Account.</w:t>
      </w:r>
    </w:p>
    <w:p>
      <w:pPr>
        <w:spacing w:after="0" w:line="171" w:lineRule="exact"/>
        <w:rPr>
          <w:rFonts w:ascii="Arial" w:cs="Arial" w:eastAsia="Arial" w:hAnsi="Arial"/>
          <w:sz w:val="22"/>
          <w:szCs w:val="22"/>
          <w:color w:val="auto"/>
        </w:rPr>
      </w:pPr>
    </w:p>
    <w:p>
      <w:pPr>
        <w:ind w:firstLine="1304"/>
        <w:spacing w:after="0" w:line="272" w:lineRule="auto"/>
        <w:tabs>
          <w:tab w:leader="none" w:pos="178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Timing and Effect of Elections</w:t>
      </w:r>
      <w:r>
        <w:rPr>
          <w:rFonts w:ascii="Arial" w:cs="Arial" w:eastAsia="Arial" w:hAnsi="Arial"/>
          <w:sz w:val="22"/>
          <w:szCs w:val="22"/>
          <w:color w:val="auto"/>
        </w:rPr>
        <w:t>. Unless otherwise specified by the Plan Administrator in accordance with the requirements of Section 409A, deferral elections on an Election Form shall be made:</w:t>
      </w:r>
    </w:p>
    <w:p>
      <w:pPr>
        <w:spacing w:after="0" w:line="155" w:lineRule="exact"/>
        <w:rPr>
          <w:rFonts w:ascii="Arial" w:cs="Arial" w:eastAsia="Arial" w:hAnsi="Arial"/>
          <w:sz w:val="22"/>
          <w:szCs w:val="22"/>
          <w:color w:val="auto"/>
        </w:rPr>
      </w:pPr>
    </w:p>
    <w:p>
      <w:pPr>
        <w:jc w:val="both"/>
        <w:ind w:left="1300" w:firstLine="652"/>
        <w:spacing w:after="0" w:line="264" w:lineRule="auto"/>
        <w:tabs>
          <w:tab w:leader="none" w:pos="2567"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In the case of Monthly Compensation or an annual Share allocation not qualifying as “performance-based compensation” within the meaning of Section 409A, prior to the beginning of the Plan Year with respect to which the compensation is earned; and</w:t>
      </w:r>
    </w:p>
    <w:p>
      <w:pPr>
        <w:spacing w:after="0" w:line="164" w:lineRule="exact"/>
        <w:rPr>
          <w:rFonts w:ascii="Arial" w:cs="Arial" w:eastAsia="Arial" w:hAnsi="Arial"/>
          <w:sz w:val="22"/>
          <w:szCs w:val="22"/>
          <w:color w:val="auto"/>
        </w:rPr>
      </w:pPr>
    </w:p>
    <w:p>
      <w:pPr>
        <w:jc w:val="both"/>
        <w:ind w:left="1300" w:firstLine="652"/>
        <w:spacing w:after="0" w:line="253" w:lineRule="auto"/>
        <w:tabs>
          <w:tab w:leader="none" w:pos="2641"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In the case of Monthly Compensation or an annual Share allocation which the Plan Administrator has determined qualifies as “performance-based compensation” within the meaning of Section 409A, no later than June 30th of the applicable Plan Year with respect to which the compensation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Deferral elections shall apply to Monthly Compensation and annual Share allocations with respect to the Plan Year for which the elections are made. Participants will be required to make deferral elections for future Plan Years at such times to be specified by the Plan Administrator in accordance with the foregoing. If a Participant does not file an Election Form with the Plan Administrator on or before the deadline established by the Plan Administrator for deferral elections for a Plan Year, a Participant will be deemed not to have elected to defer Monthly Compensation for such Plan Year, as applicable. Notwithstanding the foregoing, in the first year in which an individual who is newly elected or appointed to serve as a Director becomes eligible to participate in the Plan, such individual may, not later than thirty</w:t>
      </w:r>
    </w:p>
    <w:p>
      <w:pPr>
        <w:spacing w:after="0" w:line="4" w:lineRule="exact"/>
        <w:rPr>
          <w:sz w:val="20"/>
          <w:szCs w:val="20"/>
          <w:color w:val="auto"/>
        </w:rPr>
      </w:pPr>
    </w:p>
    <w:p>
      <w:pPr>
        <w:jc w:val="both"/>
        <w:ind w:firstLine="8"/>
        <w:spacing w:after="0" w:line="248" w:lineRule="auto"/>
        <w:tabs>
          <w:tab w:leader="none" w:pos="45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days after the date he or she becomes eligible to participate in the Plan, elect in accordance with the preceding provisions of this Section 4, to defer the receipt of Monthly Compensation and set forth the terms of distribution of the individual's Account with respect to services to be performed after the filing of the election with the Company.</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u w:val="single" w:color="auto"/>
          <w:color w:val="auto"/>
        </w:rPr>
        <w:t>Accounts and Interest Credits</w:t>
      </w:r>
    </w:p>
    <w:p>
      <w:pPr>
        <w:spacing w:after="0" w:line="235" w:lineRule="exact"/>
        <w:rPr>
          <w:sz w:val="20"/>
          <w:szCs w:val="20"/>
          <w:color w:val="auto"/>
        </w:rPr>
      </w:pPr>
    </w:p>
    <w:p>
      <w:pPr>
        <w:ind w:left="1800" w:hanging="496"/>
        <w:spacing w:after="0"/>
        <w:tabs>
          <w:tab w:leader="none" w:pos="180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Participant Accounts</w:t>
      </w:r>
      <w:r>
        <w:rPr>
          <w:rFonts w:ascii="Arial" w:cs="Arial" w:eastAsia="Arial" w:hAnsi="Arial"/>
          <w:sz w:val="22"/>
          <w:szCs w:val="22"/>
          <w:color w:val="auto"/>
        </w:rPr>
        <w:t>. Accounts shall be maintained for each Participant under the Plan:</w:t>
      </w:r>
    </w:p>
    <w:p>
      <w:pPr>
        <w:spacing w:after="0" w:line="219" w:lineRule="exact"/>
        <w:rPr>
          <w:rFonts w:ascii="Arial" w:cs="Arial" w:eastAsia="Arial" w:hAnsi="Arial"/>
          <w:sz w:val="22"/>
          <w:szCs w:val="22"/>
          <w:color w:val="auto"/>
        </w:rPr>
      </w:pPr>
    </w:p>
    <w:p>
      <w:pPr>
        <w:jc w:val="both"/>
        <w:ind w:left="1300" w:firstLine="652"/>
        <w:spacing w:after="0" w:line="251" w:lineRule="auto"/>
        <w:tabs>
          <w:tab w:leader="none" w:pos="2434"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xml:space="preserve"> – The Company shall maintain a Deferred Compensation Account in the name of each Monthly Deferral Participant who elects to have a Deferral Amount credited in cash pursuant to Section 4 hereof for a given Plan Year. The Deferred Compensation Account shall be denominated in U.S. dollars, rounded to the nearest whole cent. For each month, Deferral Amounts allocated to a Deferred Compensation Account shall be credited to the Deferred Compensation Account as of the last Business Day of the month.</w:t>
      </w:r>
    </w:p>
    <w:p>
      <w:pPr>
        <w:spacing w:after="0" w:line="181" w:lineRule="exact"/>
        <w:rPr>
          <w:rFonts w:ascii="Arial" w:cs="Arial" w:eastAsia="Arial" w:hAnsi="Arial"/>
          <w:sz w:val="22"/>
          <w:szCs w:val="22"/>
          <w:color w:val="auto"/>
        </w:rPr>
      </w:pPr>
    </w:p>
    <w:p>
      <w:pPr>
        <w:jc w:val="both"/>
        <w:ind w:left="1300" w:firstLine="652"/>
        <w:spacing w:after="0" w:line="248" w:lineRule="auto"/>
        <w:tabs>
          <w:tab w:leader="none" w:pos="2468"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Deferred Stock Account</w:t>
      </w:r>
      <w:r>
        <w:rPr>
          <w:rFonts w:ascii="Arial" w:cs="Arial" w:eastAsia="Arial" w:hAnsi="Arial"/>
          <w:sz w:val="22"/>
          <w:szCs w:val="22"/>
          <w:color w:val="auto"/>
        </w:rPr>
        <w:t xml:space="preserve"> – The Company shall maintain a Deferred Stock Account for each Deferred Stock Participant and for each Monthly Deferral Participant who elects to have a Deferral Amount credited in Shares. The Deferred Stock Account shall be denominated in Shares and maintained in fractions rounded to three (3) decimal places. Deferral Amounts intended to be allocated to a Deferred Stock Account shall be credited on a monthly basis, as soon as administratively feasible following the Valuation Date for the applicable month, but in no event later than the last Business Day of such month. The annual allocations of Shares for Deferred Stock Participants described in section (c) below shall be credited to the applicable Deferred Stock Account on the Annual Allocation Date. Shares and, if necessary, fractional Shares, shall be credited based upon the closing price of Shares on the New York Stock Exchange on the Valuation Date for that month. Notwithstanding any other provision of the Plan, Shares allocated to a Deferred Stock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5" w:lineRule="exact"/>
        <w:rPr>
          <w:sz w:val="20"/>
          <w:szCs w:val="20"/>
          <w:color w:val="auto"/>
        </w:rPr>
      </w:pPr>
    </w:p>
    <w:p>
      <w:pPr>
        <w:ind w:left="1300"/>
        <w:spacing w:after="0" w:line="285" w:lineRule="auto"/>
        <w:rPr>
          <w:sz w:val="20"/>
          <w:szCs w:val="20"/>
          <w:color w:val="auto"/>
        </w:rPr>
      </w:pPr>
      <w:r>
        <w:rPr>
          <w:rFonts w:ascii="Arial" w:cs="Arial" w:eastAsia="Arial" w:hAnsi="Arial"/>
          <w:sz w:val="22"/>
          <w:szCs w:val="22"/>
          <w:color w:val="auto"/>
        </w:rPr>
        <w:t>shall be hypothetical and not issued or transferred by the Company until payment is made pursuant to Section 6 hereof.</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Participant’s Account shall consist of book entries only and shall not constitute a separate cash or Share fund or other asset held in trust or as security for the Company’s obligation to pay the amount of the Account to the Participant. The balance of a Participant’s Account shall be adjusted pursuant to this Section 5 and reduced by the amount of applicable tax withholding, distributions and expenses. A Participant’s Account may include sub-accounts as the Company considers necessary or advisable for purposes of maintaining a proper accounting of amounts credited or debited for a Participant under the Plan. A Participant shall receive or have on-line access to a statement of such Participant’s Account no less frequently than once a year following the end of each Plan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-536575</wp:posOffset>
            </wp:positionV>
            <wp:extent cx="463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46355" cy="8255"/>
                    </a:xfrm>
                    <a:prstGeom prst="rect">
                      <a:avLst/>
                    </a:prstGeom>
                    <a:noFill/>
                  </pic:spPr>
                </pic:pic>
              </a:graphicData>
            </a:graphic>
          </wp:anchor>
        </w:drawing>
      </w:r>
    </w:p>
    <w:p>
      <w:pPr>
        <w:spacing w:after="0" w:line="160" w:lineRule="exact"/>
        <w:rPr>
          <w:sz w:val="20"/>
          <w:szCs w:val="20"/>
          <w:color w:val="auto"/>
        </w:rPr>
      </w:pPr>
    </w:p>
    <w:p>
      <w:pPr>
        <w:jc w:val="both"/>
        <w:ind w:firstLine="1304"/>
        <w:spacing w:after="0" w:line="257" w:lineRule="auto"/>
        <w:tabs>
          <w:tab w:leader="none" w:pos="2029" w:val="left"/>
        </w:tabs>
        <w:numPr>
          <w:ilvl w:val="1"/>
          <w:numId w:val="167"/>
        </w:numPr>
        <w:rPr>
          <w:rFonts w:ascii="Arial" w:cs="Arial" w:eastAsia="Arial" w:hAnsi="Arial"/>
          <w:sz w:val="22"/>
          <w:szCs w:val="22"/>
          <w:color w:val="auto"/>
        </w:rPr>
      </w:pPr>
      <w:r>
        <w:rPr>
          <w:rFonts w:ascii="Arial" w:cs="Arial" w:eastAsia="Arial" w:hAnsi="Arial"/>
          <w:sz w:val="22"/>
          <w:szCs w:val="22"/>
          <w:u w:val="single" w:color="auto"/>
          <w:color w:val="auto"/>
        </w:rPr>
        <w:t>Crediting of Deferral Amount</w:t>
      </w:r>
      <w:r>
        <w:rPr>
          <w:rFonts w:ascii="Arial" w:cs="Arial" w:eastAsia="Arial" w:hAnsi="Arial"/>
          <w:sz w:val="22"/>
          <w:szCs w:val="22"/>
          <w:color w:val="auto"/>
        </w:rPr>
        <w:t>. A Participant who has filed an Election Form with the Plan Administrator for the deferral of Monthly Compensation with respect to a Plan Year shall have the Deferral Amount deducted from the applicable compensation and credited to the Participant’s appropriate Account under the Plan. The Deferral Amount so credited shall be reduced by applicable tax withholding, distributions and expenses.</w:t>
      </w:r>
    </w:p>
    <w:p>
      <w:pPr>
        <w:spacing w:after="0" w:line="171" w:lineRule="exact"/>
        <w:rPr>
          <w:rFonts w:ascii="Arial" w:cs="Arial" w:eastAsia="Arial" w:hAnsi="Arial"/>
          <w:sz w:val="22"/>
          <w:szCs w:val="22"/>
          <w:color w:val="auto"/>
        </w:rPr>
      </w:pPr>
    </w:p>
    <w:p>
      <w:pPr>
        <w:jc w:val="both"/>
        <w:ind w:firstLine="1304"/>
        <w:spacing w:after="0" w:line="249" w:lineRule="auto"/>
        <w:tabs>
          <w:tab w:leader="none" w:pos="1788" w:val="left"/>
        </w:tabs>
        <w:numPr>
          <w:ilvl w:val="1"/>
          <w:numId w:val="167"/>
        </w:numPr>
        <w:rPr>
          <w:rFonts w:ascii="Arial" w:cs="Arial" w:eastAsia="Arial" w:hAnsi="Arial"/>
          <w:sz w:val="22"/>
          <w:szCs w:val="22"/>
          <w:color w:val="auto"/>
        </w:rPr>
      </w:pPr>
      <w:r>
        <w:rPr>
          <w:rFonts w:ascii="Arial" w:cs="Arial" w:eastAsia="Arial" w:hAnsi="Arial"/>
          <w:sz w:val="22"/>
          <w:szCs w:val="22"/>
          <w:u w:val="single" w:color="auto"/>
          <w:color w:val="auto"/>
        </w:rPr>
        <w:t>Annual Share Allocation</w:t>
      </w:r>
      <w:r>
        <w:rPr>
          <w:rFonts w:ascii="Arial" w:cs="Arial" w:eastAsia="Arial" w:hAnsi="Arial"/>
          <w:sz w:val="22"/>
          <w:szCs w:val="22"/>
          <w:color w:val="auto"/>
        </w:rPr>
        <w:t>. On the Annual Allocation Date of each Plan Year, there shall be allocated to the Deferred Stock Account of each person who (i) is a Deferred Stock Participant on the Annual Valuation Date of that Plan Year or (ii) was a Deferred Stock Participant at any time subsequent to the last Annual Valuation Date, as part of his or her compensation for service on the Board of Directors, the number of Shares specified from time to time by resolution of the Board of Directors. This allocation shall in no event be more than the lesser of (i) 7,500 Shares or (ii) the number of Shares equal in value to $800,000 minus the director’s total cash compensation for the Plan Year (including for this purpose, but not limited to, any cash compensation deferred into this Plan pursuant to an election under Section 4(a) above), as of the Annual Valuation Date.</w:t>
      </w:r>
    </w:p>
    <w:p>
      <w:pPr>
        <w:spacing w:after="0" w:line="181" w:lineRule="exact"/>
        <w:rPr>
          <w:rFonts w:ascii="Arial" w:cs="Arial" w:eastAsia="Arial" w:hAnsi="Arial"/>
          <w:sz w:val="22"/>
          <w:szCs w:val="22"/>
          <w:color w:val="auto"/>
        </w:rPr>
      </w:pPr>
    </w:p>
    <w:p>
      <w:pPr>
        <w:jc w:val="both"/>
        <w:ind w:firstLine="713"/>
        <w:spacing w:after="0" w:line="251" w:lineRule="auto"/>
        <w:tabs>
          <w:tab w:leader="none" w:pos="1322"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Pre-2025 Interest Credit</w:t>
      </w:r>
      <w:r>
        <w:rPr>
          <w:rFonts w:ascii="Arial" w:cs="Arial" w:eastAsia="Arial" w:hAnsi="Arial"/>
          <w:sz w:val="22"/>
          <w:szCs w:val="22"/>
          <w:color w:val="auto"/>
        </w:rPr>
        <w:t>. Participant Deferred Compensation Accounts shall be credited with interest computed each Plan Year or portion thereof at a rate equal to 120% of the long-term applicable federal rate, with monthly compounding (as prescribed under section 1274(d) of the Code), as in effect for the month of December for the immediately preceding Plan Year through December 31, 2024 (the “Pre-2025 Interest Credit”). The Pre-2025 Interest Credit accrues on Deferral Amounts deferred by a Participant in their Deferred Compensation Accounts through December 31, 2024, and prior earnings thereon of, credited daily to such accounts (the “Pre-2025 Account”). Unless a Participant submits an election contemplated in section 5(f) upon an earlier date, his or her Pre-2025 Account shall continue to accrue the Pre-2025 Interest Credit until December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5" w:lineRule="exact"/>
        <w:rPr>
          <w:sz w:val="20"/>
          <w:szCs w:val="20"/>
          <w:color w:val="auto"/>
        </w:rPr>
      </w:pPr>
    </w:p>
    <w:p>
      <w:pPr>
        <w:jc w:val="both"/>
        <w:ind w:firstLine="740"/>
        <w:spacing w:after="0" w:line="252" w:lineRule="auto"/>
        <w:tabs>
          <w:tab w:leader="none" w:pos="1362" w:val="left"/>
        </w:tabs>
        <w:numPr>
          <w:ilvl w:val="2"/>
          <w:numId w:val="169"/>
        </w:numPr>
        <w:rPr>
          <w:rFonts w:ascii="Arial" w:cs="Arial" w:eastAsia="Arial" w:hAnsi="Arial"/>
          <w:sz w:val="22"/>
          <w:szCs w:val="22"/>
          <w:color w:val="auto"/>
        </w:rPr>
      </w:pPr>
      <w:r>
        <w:rPr>
          <w:rFonts w:ascii="Arial" w:cs="Arial" w:eastAsia="Arial" w:hAnsi="Arial"/>
          <w:sz w:val="22"/>
          <w:szCs w:val="22"/>
          <w:u w:val="single" w:color="auto"/>
          <w:color w:val="auto"/>
        </w:rPr>
        <w:t>Post-2024 Investment Fund(s). T</w:t>
      </w:r>
      <w:r>
        <w:rPr>
          <w:rFonts w:ascii="Arial" w:cs="Arial" w:eastAsia="Arial" w:hAnsi="Arial"/>
          <w:sz w:val="22"/>
          <w:szCs w:val="22"/>
          <w:color w:val="auto"/>
        </w:rPr>
        <w:t>he Plan Administrator shall make available investment options (the “Investment Fund(s)”) that serve as benchmark funds under the Plan after January 1, 2025 (the “Post-2024 Investment Fund(s)”). A Participant’s Account shall not actually be invested in the Investment Funds and the Participant shall not be considered a shareholder of any of the Investment Funds he or she selects by virtue of participation in the Plan. Instead, the Participant shall be considered invested in, and his or her Deferral Amounts deferred after January 1, 2025 shall reflect such Investment Fund’s Rate of Return (the “Post-2025 Account”). A Participant’s election of investments shall be subject to the following rules:</w:t>
      </w:r>
    </w:p>
    <w:p>
      <w:pPr>
        <w:spacing w:after="0" w:line="179" w:lineRule="exact"/>
        <w:rPr>
          <w:rFonts w:ascii="Arial" w:cs="Arial" w:eastAsia="Arial" w:hAnsi="Arial"/>
          <w:sz w:val="22"/>
          <w:szCs w:val="22"/>
          <w:color w:val="auto"/>
        </w:rPr>
      </w:pPr>
    </w:p>
    <w:p>
      <w:pPr>
        <w:ind w:left="1300" w:firstLine="4"/>
        <w:spacing w:after="0" w:line="272" w:lineRule="auto"/>
        <w:tabs>
          <w:tab w:leader="none" w:pos="1565" w:val="left"/>
        </w:tabs>
        <w:numPr>
          <w:ilvl w:val="3"/>
          <w:numId w:val="169"/>
        </w:numPr>
        <w:rPr>
          <w:rFonts w:ascii="Arial" w:cs="Arial" w:eastAsia="Arial" w:hAnsi="Arial"/>
          <w:sz w:val="22"/>
          <w:szCs w:val="22"/>
          <w:color w:val="auto"/>
        </w:rPr>
      </w:pPr>
      <w:r>
        <w:rPr>
          <w:rFonts w:ascii="Arial" w:cs="Arial" w:eastAsia="Arial" w:hAnsi="Arial"/>
          <w:sz w:val="22"/>
          <w:szCs w:val="22"/>
          <w:color w:val="auto"/>
        </w:rPr>
        <w:t>Participants shall make their investment elections on an Investment Election Form provided by the Plan Administrator (an “Investment Election”).</w:t>
      </w:r>
    </w:p>
    <w:p>
      <w:pPr>
        <w:spacing w:after="0" w:line="155" w:lineRule="exact"/>
        <w:rPr>
          <w:rFonts w:ascii="Arial" w:cs="Arial" w:eastAsia="Arial" w:hAnsi="Arial"/>
          <w:sz w:val="22"/>
          <w:szCs w:val="22"/>
          <w:color w:val="auto"/>
        </w:rPr>
      </w:pPr>
    </w:p>
    <w:p>
      <w:pPr>
        <w:jc w:val="both"/>
        <w:ind w:left="1300" w:firstLine="4"/>
        <w:spacing w:after="0" w:line="251" w:lineRule="auto"/>
        <w:tabs>
          <w:tab w:leader="none" w:pos="1600" w:val="left"/>
        </w:tabs>
        <w:numPr>
          <w:ilvl w:val="3"/>
          <w:numId w:val="169"/>
        </w:numPr>
        <w:rPr>
          <w:rFonts w:ascii="Arial" w:cs="Arial" w:eastAsia="Arial" w:hAnsi="Arial"/>
          <w:sz w:val="22"/>
          <w:szCs w:val="22"/>
          <w:color w:val="auto"/>
        </w:rPr>
      </w:pPr>
      <w:r>
        <w:rPr>
          <w:rFonts w:ascii="Arial" w:cs="Arial" w:eastAsia="Arial" w:hAnsi="Arial"/>
          <w:sz w:val="22"/>
          <w:szCs w:val="22"/>
          <w:color w:val="auto"/>
        </w:rPr>
        <w:t>The Investment Election Form completed by the Participant shall apply only to the Deferral Amount being deferred in a single Plan Year and shall specify the Investment Funds in which the deferrals for each such Plan Year are to be deemed to be invested, and the portion (expressed in whole percentage increments) of the deferrals for such Plan Year that are to be deemed to be invested in each such Investment Fund, and shall continue in effect until revoked or changed as permitted by the Plan Administrator.</w:t>
      </w:r>
    </w:p>
    <w:p>
      <w:pPr>
        <w:spacing w:after="0" w:line="181" w:lineRule="exact"/>
        <w:rPr>
          <w:rFonts w:ascii="Arial" w:cs="Arial" w:eastAsia="Arial" w:hAnsi="Arial"/>
          <w:sz w:val="22"/>
          <w:szCs w:val="22"/>
          <w:color w:val="auto"/>
        </w:rPr>
      </w:pPr>
    </w:p>
    <w:p>
      <w:pPr>
        <w:jc w:val="both"/>
        <w:ind w:firstLine="506"/>
        <w:spacing w:after="0" w:line="251" w:lineRule="auto"/>
        <w:tabs>
          <w:tab w:leader="none" w:pos="951"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Pre-2025 Account Transition</w:t>
      </w:r>
      <w:r>
        <w:rPr>
          <w:rFonts w:ascii="Arial" w:cs="Arial" w:eastAsia="Arial" w:hAnsi="Arial"/>
          <w:sz w:val="22"/>
          <w:szCs w:val="22"/>
          <w:color w:val="auto"/>
        </w:rPr>
        <w:t>. On or before December 31, 2027, a Participant must complete an Investment Election Form to select an Investment Fund(s) to apply to his or her Pre-2025 Account as of first day of the following Plan Year. After making such election, a Participant is not permitted to revert to the Pre-2025 Interest Credit earnings method on his or her Pre-2025 Account. Notwithstanding the foregoing, if a Participant does not complete an Investment Election Form for his or her Pre-2025 Account by December 31, 2027, his Pre-2025 Account will be transferred to the Plan’s stable value Investment Fund on January 1, 2028.</w:t>
      </w:r>
    </w:p>
    <w:p>
      <w:pPr>
        <w:spacing w:after="0" w:line="181" w:lineRule="exact"/>
        <w:rPr>
          <w:rFonts w:ascii="Arial" w:cs="Arial" w:eastAsia="Arial" w:hAnsi="Arial"/>
          <w:sz w:val="22"/>
          <w:szCs w:val="22"/>
          <w:color w:val="auto"/>
        </w:rPr>
      </w:pPr>
    </w:p>
    <w:p>
      <w:pPr>
        <w:jc w:val="both"/>
        <w:ind w:firstLine="713"/>
        <w:spacing w:after="0" w:line="251" w:lineRule="auto"/>
        <w:tabs>
          <w:tab w:leader="none" w:pos="1322" w:val="left"/>
        </w:tabs>
        <w:numPr>
          <w:ilvl w:val="1"/>
          <w:numId w:val="170"/>
        </w:numPr>
        <w:rPr>
          <w:rFonts w:ascii="Arial" w:cs="Arial" w:eastAsia="Arial" w:hAnsi="Arial"/>
          <w:sz w:val="22"/>
          <w:szCs w:val="22"/>
          <w:color w:val="auto"/>
        </w:rPr>
      </w:pPr>
      <w:r>
        <w:rPr>
          <w:rFonts w:ascii="Arial" w:cs="Arial" w:eastAsia="Arial" w:hAnsi="Arial"/>
          <w:sz w:val="22"/>
          <w:szCs w:val="22"/>
          <w:u w:val="single" w:color="auto"/>
          <w:color w:val="auto"/>
        </w:rPr>
        <w:t>Cash Dividends</w:t>
      </w:r>
      <w:r>
        <w:rPr>
          <w:rFonts w:ascii="Arial" w:cs="Arial" w:eastAsia="Arial" w:hAnsi="Arial"/>
          <w:sz w:val="22"/>
          <w:szCs w:val="22"/>
          <w:color w:val="auto"/>
        </w:rPr>
        <w:t>. Cash dividends paid on Shares shall be deemed to have been paid on the Shares allocated to each Participant’s Deferred Stock Account as if the allocated Shares were actual Shares issued and outstanding on the Dividend Record Date. An amount equal to the amount of such dividends shall be credited in Shares to each Deferred Stock Account as of the last Business Day of each month in which a Dividend Payment Date occurs, based upon the closing price for Shares on the New York Stock Exchange on the Valuation Date for that month.</w:t>
      </w:r>
    </w:p>
    <w:p>
      <w:pPr>
        <w:spacing w:after="0" w:line="195" w:lineRule="exact"/>
        <w:rPr>
          <w:sz w:val="20"/>
          <w:szCs w:val="20"/>
          <w:color w:val="auto"/>
        </w:rPr>
      </w:pPr>
    </w:p>
    <w:p>
      <w:pPr>
        <w:jc w:val="both"/>
        <w:ind w:left="1300" w:firstLine="4"/>
        <w:spacing w:after="0" w:line="253" w:lineRule="auto"/>
        <w:tabs>
          <w:tab w:leader="none" w:pos="1831"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Capital Adjustments</w:t>
      </w:r>
      <w:r>
        <w:rPr>
          <w:rFonts w:ascii="Arial" w:cs="Arial" w:eastAsia="Arial" w:hAnsi="Arial"/>
          <w:sz w:val="22"/>
          <w:szCs w:val="22"/>
          <w:color w:val="auto"/>
        </w:rPr>
        <w:t>. The number of Shares referred to in the Preamble and Section 5 hereof and the number of Shares allocated to each Deferred Stock Account shall be adjusted by the Plan Administrator, in the event of any subdivision or combination of Shares or any stock dividend, stock split, reorganization, recapitalization, or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5" w:lineRule="exact"/>
        <w:rPr>
          <w:sz w:val="20"/>
          <w:szCs w:val="20"/>
          <w:color w:val="auto"/>
        </w:rPr>
      </w:pPr>
    </w:p>
    <w:p>
      <w:pPr>
        <w:jc w:val="both"/>
        <w:ind w:left="1300"/>
        <w:spacing w:after="0" w:line="264" w:lineRule="auto"/>
        <w:rPr>
          <w:sz w:val="20"/>
          <w:szCs w:val="20"/>
          <w:color w:val="auto"/>
        </w:rPr>
      </w:pPr>
      <w:r>
        <w:rPr>
          <w:rFonts w:ascii="Arial" w:cs="Arial" w:eastAsia="Arial" w:hAnsi="Arial"/>
          <w:sz w:val="22"/>
          <w:szCs w:val="22"/>
          <w:color w:val="auto"/>
        </w:rPr>
        <w:t>merger with the Company as the surviving corporation, or if additional shares or new or different shares or other securities of the Company or any other issuer are distributed with respect to Shares through a spin-off or other extraordinary distribution.</w:t>
      </w:r>
    </w:p>
    <w:p>
      <w:pPr>
        <w:spacing w:after="0" w:line="164" w:lineRule="exact"/>
        <w:rPr>
          <w:sz w:val="20"/>
          <w:szCs w:val="20"/>
          <w:color w:val="auto"/>
        </w:rPr>
      </w:pPr>
    </w:p>
    <w:p>
      <w:pPr>
        <w:ind w:left="1740" w:hanging="436"/>
        <w:spacing w:after="0"/>
        <w:tabs>
          <w:tab w:leader="none" w:pos="174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Vesting of Accounts</w:t>
      </w:r>
      <w:r>
        <w:rPr>
          <w:rFonts w:ascii="Arial" w:cs="Arial" w:eastAsia="Arial" w:hAnsi="Arial"/>
          <w:sz w:val="22"/>
          <w:szCs w:val="22"/>
          <w:color w:val="auto"/>
        </w:rPr>
        <w:t>. A Participant is fully vested in his or her Account.</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u w:val="single" w:color="auto"/>
          <w:color w:val="auto"/>
        </w:rPr>
        <w:t>Distribution of Accounts</w:t>
      </w:r>
    </w:p>
    <w:p>
      <w:pPr>
        <w:spacing w:after="0" w:line="222" w:lineRule="exact"/>
        <w:rPr>
          <w:sz w:val="20"/>
          <w:szCs w:val="20"/>
          <w:color w:val="auto"/>
        </w:rPr>
      </w:pPr>
    </w:p>
    <w:p>
      <w:pPr>
        <w:jc w:val="both"/>
        <w:ind w:firstLine="1304"/>
        <w:spacing w:after="0" w:line="252" w:lineRule="auto"/>
        <w:tabs>
          <w:tab w:leader="none" w:pos="1908"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Distribution upon Separation from Service</w:t>
      </w:r>
      <w:r>
        <w:rPr>
          <w:rFonts w:ascii="Arial" w:cs="Arial" w:eastAsia="Arial" w:hAnsi="Arial"/>
          <w:sz w:val="22"/>
          <w:szCs w:val="22"/>
          <w:color w:val="auto"/>
        </w:rPr>
        <w:t>. A Participant shall specify on an Election Form the manner in which the amounts deferred in the Deferred Compensation Account and the Deferred Stock Account, as applicable, for a Plan Year (and earnings thereon) shall be distributed from the Participant’s Account upon the Participant’s Separation from Service. All elections are irrevocable, and no changes shall be permitted to any Election Form delivered to the Plan Administrator, except as specifically provided under the terms of the Plan. A Participant may elect, to the extent permitted by the Plan Administrator and set forth on the Election Form, that such portion of the Account be distributed upon a Participant’s Separation from Service either in:</w:t>
      </w:r>
    </w:p>
    <w:p>
      <w:pPr>
        <w:spacing w:after="0" w:line="179" w:lineRule="exact"/>
        <w:rPr>
          <w:rFonts w:ascii="Arial" w:cs="Arial" w:eastAsia="Arial" w:hAnsi="Arial"/>
          <w:sz w:val="22"/>
          <w:szCs w:val="22"/>
          <w:color w:val="auto"/>
        </w:rPr>
      </w:pPr>
    </w:p>
    <w:p>
      <w:pPr>
        <w:ind w:left="1300" w:firstLine="652"/>
        <w:spacing w:after="0" w:line="272" w:lineRule="auto"/>
        <w:tabs>
          <w:tab w:leader="none" w:pos="2393" w:val="left"/>
        </w:tabs>
        <w:numPr>
          <w:ilvl w:val="1"/>
          <w:numId w:val="173"/>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xml:space="preserve"> payment in January of the second Plan Year following the Plan Year in which the Participant's Separation from Service occurs; or</w:t>
      </w:r>
    </w:p>
    <w:p>
      <w:pPr>
        <w:spacing w:after="0" w:line="155" w:lineRule="exact"/>
        <w:rPr>
          <w:rFonts w:ascii="Arial" w:cs="Arial" w:eastAsia="Arial" w:hAnsi="Arial"/>
          <w:sz w:val="22"/>
          <w:szCs w:val="22"/>
          <w:color w:val="auto"/>
        </w:rPr>
      </w:pPr>
    </w:p>
    <w:p>
      <w:pPr>
        <w:jc w:val="both"/>
        <w:ind w:left="1300" w:firstLine="652"/>
        <w:spacing w:after="0" w:line="257" w:lineRule="auto"/>
        <w:tabs>
          <w:tab w:leader="none" w:pos="2563" w:val="left"/>
        </w:tabs>
        <w:numPr>
          <w:ilvl w:val="1"/>
          <w:numId w:val="173"/>
        </w:numPr>
        <w:rPr>
          <w:rFonts w:ascii="Arial" w:cs="Arial" w:eastAsia="Arial" w:hAnsi="Arial"/>
          <w:sz w:val="22"/>
          <w:szCs w:val="22"/>
          <w:color w:val="auto"/>
        </w:rPr>
      </w:pPr>
      <w:r>
        <w:rPr>
          <w:rFonts w:ascii="Arial" w:cs="Arial" w:eastAsia="Arial" w:hAnsi="Arial"/>
          <w:sz w:val="22"/>
          <w:szCs w:val="22"/>
          <w:u w:val="single" w:color="auto"/>
          <w:color w:val="auto"/>
        </w:rPr>
        <w:t>Annual Installment</w:t>
      </w:r>
      <w:r>
        <w:rPr>
          <w:rFonts w:ascii="Arial" w:cs="Arial" w:eastAsia="Arial" w:hAnsi="Arial"/>
          <w:sz w:val="22"/>
          <w:szCs w:val="22"/>
          <w:color w:val="auto"/>
        </w:rPr>
        <w:t xml:space="preserve"> payments over a period of two (2) to ten (10) years commencing in January of the second Plan Year following the Plan Year in which the Participant's Separation from Service occurs, with subsequent installment payments to be made in each January within the applicable period.</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If a Participant fails to make a timely payment election on the Election Form for a Plan Year, the amounts deferred in the Deferred Compensation Account and the Deferred Stock Account, as applicable, for such Plan Year (and earnings thereon) shall be distributed in a lump sum in accordance with Section 6(a)(i) hereof.</w:t>
      </w:r>
    </w:p>
    <w:p>
      <w:pPr>
        <w:spacing w:after="0" w:line="173" w:lineRule="exact"/>
        <w:rPr>
          <w:sz w:val="20"/>
          <w:szCs w:val="20"/>
          <w:color w:val="auto"/>
        </w:rPr>
      </w:pPr>
    </w:p>
    <w:p>
      <w:pPr>
        <w:jc w:val="both"/>
        <w:ind w:firstLine="1304"/>
        <w:spacing w:after="0" w:line="252" w:lineRule="auto"/>
        <w:tabs>
          <w:tab w:leader="none" w:pos="180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Form of Distributions</w:t>
      </w:r>
      <w:r>
        <w:rPr>
          <w:rFonts w:ascii="Arial" w:cs="Arial" w:eastAsia="Arial" w:hAnsi="Arial"/>
          <w:sz w:val="22"/>
          <w:szCs w:val="22"/>
          <w:color w:val="auto"/>
        </w:rPr>
        <w:t>. All distributions of a Participant’s Deferred Compensation Account under the Plan shall be made in cash. Except as provided in Section 6(f), all distributions of a Participant’s Deferred Stock Account shall be paid in Shares, at which time the Shares shall be issued or transferred from the books of the Company to the Participant.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Deferred Stock Account shall be rounded up to the next whole Share and that number of whole Shares shall be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5"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transferred. The value of the Deferred Stock Account is calculated with reference to the closing price of Shares on the last trading day of the prior Plan Year.</w:t>
      </w:r>
    </w:p>
    <w:p>
      <w:pPr>
        <w:spacing w:after="0" w:line="142" w:lineRule="exact"/>
        <w:rPr>
          <w:sz w:val="20"/>
          <w:szCs w:val="20"/>
          <w:color w:val="auto"/>
        </w:rPr>
      </w:pPr>
    </w:p>
    <w:p>
      <w:pPr>
        <w:jc w:val="both"/>
        <w:ind w:firstLine="1304"/>
        <w:spacing w:after="0" w:line="249" w:lineRule="auto"/>
        <w:tabs>
          <w:tab w:leader="none" w:pos="1909"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Distribution of Account</w:t>
      </w:r>
      <w:r>
        <w:rPr>
          <w:rFonts w:ascii="Arial" w:cs="Arial" w:eastAsia="Arial" w:hAnsi="Arial"/>
          <w:sz w:val="22"/>
          <w:szCs w:val="22"/>
          <w:color w:val="auto"/>
        </w:rPr>
        <w:t>. The Company shall distribute amounts from the Participant’s Deferred Compensation Account and the Deferred Stock Account in the manner and on the date(s) applicable under this Section 6. If the payment option described in Section 6(a)(i) hereof is applicable, the amount of the lump sum shall be calculated using the valuation of the applicable portion of the Participant’s Account as of the December 31 preceding the date of the payment. If the payment option described in Section 6(a)(ii) hereof is applicable, the amount of each installment shall be calculated using the valuation of the applicable portion of the Participant’s Account as of the December 31 preceding the date of the installment payment divided by the number of installment payments that have not yet been made.</w:t>
      </w:r>
    </w:p>
    <w:p>
      <w:pPr>
        <w:spacing w:after="0" w:line="181" w:lineRule="exact"/>
        <w:rPr>
          <w:rFonts w:ascii="Arial" w:cs="Arial" w:eastAsia="Arial" w:hAnsi="Arial"/>
          <w:sz w:val="22"/>
          <w:szCs w:val="22"/>
          <w:color w:val="auto"/>
        </w:rPr>
      </w:pPr>
    </w:p>
    <w:p>
      <w:pPr>
        <w:jc w:val="both"/>
        <w:ind w:firstLine="1304"/>
        <w:spacing w:after="0" w:line="262" w:lineRule="auto"/>
        <w:tabs>
          <w:tab w:leader="none" w:pos="1800"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Distribution upon Death</w:t>
      </w:r>
      <w:r>
        <w:rPr>
          <w:rFonts w:ascii="Arial" w:cs="Arial" w:eastAsia="Arial" w:hAnsi="Arial"/>
          <w:sz w:val="21"/>
          <w:szCs w:val="21"/>
          <w:color w:val="auto"/>
        </w:rPr>
        <w:t>. Notwithstanding any election made by a Participant or any other provision of this Section 6 to the contrary, if a Participant dies before full distribution of his or her Account balance, any remaining balance shall be distributed to the Participant’s Beneficiary in a lump sum within 90 days following the date of the Participant’s death. The amount of such lump sum distribution shall be calculated using the valuation of the Participant's Account as of the date preceding the date of distribution. Any payment required to be made to a Participant under the Plan that cannot be made due to the Participant’s death shall be made to the Participant’s Beneficiary, subject to applicable law. Each Participant shall have the right to designate one or more Beneficiaries, and to change a Beneficiary designation, from time to time by filing a written notice with the Plan Administrator. In the event that a Beneficiary does not survive the Participant and no successor Beneficiary is selected, or in the event no valid Beneficiary designation has been made, the Participant’s Beneficiary shall be the Participant’s estate.</w:t>
      </w:r>
    </w:p>
    <w:p>
      <w:pPr>
        <w:spacing w:after="0" w:line="171" w:lineRule="exact"/>
        <w:rPr>
          <w:rFonts w:ascii="Arial" w:cs="Arial" w:eastAsia="Arial" w:hAnsi="Arial"/>
          <w:sz w:val="21"/>
          <w:szCs w:val="21"/>
          <w:color w:val="auto"/>
        </w:rPr>
      </w:pPr>
    </w:p>
    <w:p>
      <w:pPr>
        <w:jc w:val="both"/>
        <w:ind w:firstLine="1304"/>
        <w:spacing w:after="0" w:line="263" w:lineRule="auto"/>
        <w:tabs>
          <w:tab w:leader="none" w:pos="1840"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Unforeseeable Emergency</w:t>
      </w:r>
      <w:r>
        <w:rPr>
          <w:rFonts w:ascii="Arial" w:cs="Arial" w:eastAsia="Arial" w:hAnsi="Arial"/>
          <w:sz w:val="21"/>
          <w:szCs w:val="21"/>
          <w:color w:val="auto"/>
        </w:rPr>
        <w:t>. Upon the written request of a Participant, the Plan Administrator may permit the Participant to withdraw some or all of the Participant’s Account for the purpose of enabling the Participant to meet the immediate needs created by an Unforeseeable Emergency. The circumstances that will constitute an Unforeseeable Emergency will depend upon the facts of each case, but in any case, the amounts distributed with respect to an Unforeseeable Emergency shall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that the liquidation of such assets would not itself cause severe financial hardship, or by cessation of deferrals under the Plan.</w:t>
      </w:r>
    </w:p>
    <w:p>
      <w:pPr>
        <w:spacing w:after="0" w:line="169" w:lineRule="exact"/>
        <w:rPr>
          <w:rFonts w:ascii="Arial" w:cs="Arial" w:eastAsia="Arial" w:hAnsi="Arial"/>
          <w:sz w:val="21"/>
          <w:szCs w:val="21"/>
          <w:color w:val="auto"/>
        </w:rPr>
      </w:pPr>
    </w:p>
    <w:p>
      <w:pPr>
        <w:jc w:val="both"/>
        <w:ind w:firstLine="1304"/>
        <w:spacing w:after="0" w:line="257" w:lineRule="auto"/>
        <w:tabs>
          <w:tab w:leader="none" w:pos="1767"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Payment of Cash in Lieu of Shares</w:t>
      </w:r>
      <w:r>
        <w:rPr>
          <w:rFonts w:ascii="Arial" w:cs="Arial" w:eastAsia="Arial" w:hAnsi="Arial"/>
          <w:sz w:val="22"/>
          <w:szCs w:val="22"/>
          <w:color w:val="auto"/>
        </w:rPr>
        <w:t>. If at any time the Plan Administrator determines that payment of Shares to a Participant (or a Participant’s Beneficiary) or the ownership or subsequent disposition of such Shares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5"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Participant or Beneficiary may violate or conflict with any applicable law or regulation, the Plan Administrator shall pay all or a portion of the Participant’s Deferred Stock Account in cash.</w:t>
      </w:r>
    </w:p>
    <w:p>
      <w:pPr>
        <w:spacing w:after="0" w:line="142" w:lineRule="exact"/>
        <w:rPr>
          <w:sz w:val="20"/>
          <w:szCs w:val="20"/>
          <w:color w:val="auto"/>
        </w:rPr>
      </w:pPr>
    </w:p>
    <w:p>
      <w:pPr>
        <w:jc w:val="both"/>
        <w:ind w:firstLine="1304"/>
        <w:spacing w:after="0" w:line="251" w:lineRule="auto"/>
        <w:tabs>
          <w:tab w:leader="none" w:pos="1867"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All distributions of a Participant’s Account under the Plan shall be subject to income tax and other withholdings that the Plan Administrator deems necessary or appropriate, and the Plan Administrator may reduce the amount credited to any Participant’s Account to the extent it deems necessary to satisfy tax withholding requirements. Participants or Beneficiaries receiving distributions under the Plan shall bear all taxes on amounts paid under the Plan to the extent that taxes are not withheld thereon, irrespective of whether withholding is required.</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u w:val="single" w:color="auto"/>
          <w:color w:val="auto"/>
        </w:rPr>
        <w:t>Administrative Matters</w:t>
      </w:r>
    </w:p>
    <w:p>
      <w:pPr>
        <w:spacing w:after="0" w:line="222" w:lineRule="exact"/>
        <w:rPr>
          <w:sz w:val="20"/>
          <w:szCs w:val="20"/>
          <w:color w:val="auto"/>
        </w:rPr>
      </w:pPr>
    </w:p>
    <w:p>
      <w:pPr>
        <w:jc w:val="both"/>
        <w:ind w:firstLine="1304"/>
        <w:spacing w:after="0" w:line="249" w:lineRule="auto"/>
        <w:tabs>
          <w:tab w:leader="none" w:pos="189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Claims Procedure</w:t>
      </w:r>
      <w:r>
        <w:rPr>
          <w:rFonts w:ascii="Arial" w:cs="Arial" w:eastAsia="Arial" w:hAnsi="Arial"/>
          <w:sz w:val="22"/>
          <w:szCs w:val="22"/>
          <w:color w:val="auto"/>
        </w:rPr>
        <w:t>. Any person making a claim for benefits hereunder shall submit the claim in writing to the Plan Administrator. If the Plan Administrator denies the claim in whole or in part, it shall issue to the claimant a written notice explaining the reason for the denial and identifying any additional information or documentation that might enable the claimant to perfect the claim. The claimant may, within sixty (60) days of receiving a written notice of denial, submit a written request for reconsideration to the Plan Administrator, together with a written explanation of the basis of the request. The Plan Administrator shall consider any such request and shall provide the claimant with a written decision together with a written explanation thereof. No legal action may be commenced or maintained against the Plan more than one year after the Plan Administrator wholly or partially denies, or is deemed to have wholly or patially denied, a claim for Plan benefits. All interpretations, determinations, and decisions of the Plan Administrator in respect of any claim shall be final, binding and conclusive.</w:t>
      </w:r>
    </w:p>
    <w:p>
      <w:pPr>
        <w:spacing w:after="0" w:line="183" w:lineRule="exact"/>
        <w:rPr>
          <w:rFonts w:ascii="Arial" w:cs="Arial" w:eastAsia="Arial" w:hAnsi="Arial"/>
          <w:sz w:val="22"/>
          <w:szCs w:val="22"/>
          <w:color w:val="auto"/>
        </w:rPr>
      </w:pPr>
    </w:p>
    <w:p>
      <w:pPr>
        <w:jc w:val="both"/>
        <w:ind w:firstLine="1304"/>
        <w:spacing w:after="0" w:line="251" w:lineRule="auto"/>
        <w:tabs>
          <w:tab w:leader="none" w:pos="1813"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Incapacity</w:t>
      </w:r>
      <w:r>
        <w:rPr>
          <w:rFonts w:ascii="Arial" w:cs="Arial" w:eastAsia="Arial" w:hAnsi="Arial"/>
          <w:sz w:val="22"/>
          <w:szCs w:val="22"/>
          <w:color w:val="auto"/>
        </w:rPr>
        <w:t>. If the Plan Administrator determines that any person entitled to benefits under the Plan is unable to care for his or her affairs because of illness, accident or other physical and mental incapacity, any payment due (unless a duly qualified guardian or other legal representative has been appointed) may be paid consistent with the terms described herein for the benefit of such person to such person’s spouse, parent, brother, sister, adult child or other party deemed by the Plan Administrator in its sole discretion to ensure proper care for such person.</w:t>
      </w:r>
    </w:p>
    <w:p>
      <w:pPr>
        <w:spacing w:after="0" w:line="181" w:lineRule="exact"/>
        <w:rPr>
          <w:rFonts w:ascii="Arial" w:cs="Arial" w:eastAsia="Arial" w:hAnsi="Arial"/>
          <w:sz w:val="22"/>
          <w:szCs w:val="22"/>
          <w:color w:val="auto"/>
        </w:rPr>
      </w:pPr>
    </w:p>
    <w:p>
      <w:pPr>
        <w:jc w:val="both"/>
        <w:ind w:firstLine="1304"/>
        <w:spacing w:after="0" w:line="264" w:lineRule="auto"/>
        <w:tabs>
          <w:tab w:leader="none" w:pos="1788"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Inability to Locate</w:t>
      </w:r>
      <w:r>
        <w:rPr>
          <w:rFonts w:ascii="Arial" w:cs="Arial" w:eastAsia="Arial" w:hAnsi="Arial"/>
          <w:sz w:val="22"/>
          <w:szCs w:val="22"/>
          <w:color w:val="auto"/>
        </w:rPr>
        <w:t>. If the Plan Administrator is unable to locate a person to whom a payment is due under the Plan for a period of twelve (12) months, commencing with the first day of the month as of which the payment becomes payable, the total amount payable to such person shall be forfeited.</w:t>
      </w:r>
    </w:p>
    <w:p>
      <w:pPr>
        <w:spacing w:after="0" w:line="164" w:lineRule="exact"/>
        <w:rPr>
          <w:rFonts w:ascii="Arial" w:cs="Arial" w:eastAsia="Arial" w:hAnsi="Arial"/>
          <w:sz w:val="22"/>
          <w:szCs w:val="22"/>
          <w:color w:val="auto"/>
        </w:rPr>
      </w:pPr>
    </w:p>
    <w:p>
      <w:pPr>
        <w:jc w:val="both"/>
        <w:ind w:firstLine="1304"/>
        <w:spacing w:after="0" w:line="257" w:lineRule="auto"/>
        <w:tabs>
          <w:tab w:leader="none" w:pos="185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 Any decision made or action taken by the Board of Directors, the Plan Administrator, or any employee of the Company or any of its subsidiaries, arising out of or in connection with the construction,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interpretation, or effect of the Plan, shall be absolutely discretionary, and shall be conclusive and binding on all parties. Neither the Plan Administrator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spacing w:after="0" w:line="179" w:lineRule="exact"/>
        <w:rPr>
          <w:sz w:val="20"/>
          <w:szCs w:val="20"/>
          <w:color w:val="auto"/>
        </w:rPr>
      </w:pPr>
    </w:p>
    <w:p>
      <w:pPr>
        <w:jc w:val="both"/>
        <w:ind w:firstLine="1304"/>
        <w:spacing w:after="0" w:line="282" w:lineRule="auto"/>
        <w:tabs>
          <w:tab w:leader="none" w:pos="1854"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 notice, election or communication in connection with the Plan made or submitted by any Participant, claimant or other person shall be effective unless duly executed and filed with the Plan Administrator (including any of its representatives, agents, or delegates) in the form and manner required by the Plan Administrator.</w:t>
      </w:r>
    </w:p>
    <w:p>
      <w:pPr>
        <w:spacing w:after="0" w:line="147" w:lineRule="exact"/>
        <w:rPr>
          <w:rFonts w:ascii="Arial" w:cs="Arial" w:eastAsia="Arial" w:hAnsi="Arial"/>
          <w:sz w:val="21"/>
          <w:szCs w:val="21"/>
          <w:color w:val="auto"/>
        </w:rPr>
      </w:pPr>
    </w:p>
    <w:p>
      <w:pPr>
        <w:jc w:val="both"/>
        <w:ind w:firstLine="1304"/>
        <w:spacing w:after="0" w:line="253" w:lineRule="auto"/>
        <w:tabs>
          <w:tab w:leader="none" w:pos="178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term, condition, or provision of the Plan shall be deemed waived unless the purported waiver is in writing signed by the Plan Administrator. No waiver signed by the Plan Administrator shall be deemed a continuing waiver unless so specifically stated in the writing, and any such waiver shall operate only for the stated period and only as to the specific term, condition, or provision waived, and shall apply only to the individual or individuals seeking the waiver.</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u w:val="single" w:color="auto"/>
          <w:color w:val="auto"/>
        </w:rPr>
        <w:t>Unfunded Status</w:t>
      </w:r>
    </w:p>
    <w:p>
      <w:pPr>
        <w:spacing w:after="0" w:line="22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All Accounts and all rights of Participants to benefits under the Plan are unfunded obligations of the Company. Plan benefits shall be paid from the general assets of the Company, and Participants shall have the status of an unsecured general creditor of the Company with respect to all interests under the Plan. The Plan is a plan of unfunded deferred compensation. Notwithstanding the foregoing, the Company may, but shall not be required to, establish a trust or other funding vehicle under the Plan that does not affect the Plan’s status as a Plan of unfunded deferred compensation.</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u w:val="single" w:color="auto"/>
          <w:color w:val="auto"/>
        </w:rPr>
        <w:t>Nontransferability; Successors</w:t>
      </w:r>
    </w:p>
    <w:p>
      <w:pPr>
        <w:spacing w:after="0" w:line="22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No interest of any person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w:t>
      </w:r>
    </w:p>
    <w:p>
      <w:pPr>
        <w:spacing w:after="0" w:line="172" w:lineRule="exact"/>
        <w:rPr>
          <w:sz w:val="20"/>
          <w:szCs w:val="20"/>
          <w:color w:val="auto"/>
        </w:rPr>
      </w:pPr>
    </w:p>
    <w:p>
      <w:pPr>
        <w:jc w:val="both"/>
        <w:ind w:right="20" w:firstLine="1296"/>
        <w:spacing w:after="0" w:line="272" w:lineRule="auto"/>
        <w:rPr>
          <w:sz w:val="20"/>
          <w:szCs w:val="20"/>
          <w:color w:val="auto"/>
        </w:rPr>
      </w:pPr>
      <w:r>
        <w:rPr>
          <w:rFonts w:ascii="Arial" w:cs="Arial" w:eastAsia="Arial" w:hAnsi="Arial"/>
          <w:sz w:val="22"/>
          <w:szCs w:val="22"/>
          <w:color w:val="auto"/>
        </w:rPr>
        <w:t>The obligations of the Company under the Plan will be binding upon the Company’s successors, transferees and assigns.</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u w:val="single" w:color="auto"/>
          <w:color w:val="auto"/>
        </w:rPr>
        <w:t>Limitation of Rights</w:t>
      </w:r>
    </w:p>
    <w:p>
      <w:pPr>
        <w:spacing w:after="0" w:line="22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Nothing in the Plan shall confer upon any Participant the right to continue to serve as a Director of the Company or to serve in the capacity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Participant is employed by the Company. Nothing in the Plan shall be interpreted as creating a right of a Participant to receive any compensation or benefit from the Company. A Participant shall have no rights as a shareholder of the Company with respect to any Shares until the Shares are issued or transferred to the Participant on the books of the Company.</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21"/>
          <w:szCs w:val="21"/>
          <w:b w:val="1"/>
          <w:bCs w:val="1"/>
          <w:u w:val="single" w:color="auto"/>
          <w:color w:val="auto"/>
        </w:rPr>
        <w:t>Enforceability and Governing Law</w:t>
      </w:r>
    </w:p>
    <w:p>
      <w:pPr>
        <w:spacing w:after="0" w:line="22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To the extent not preempted by federal law, the Plan shall be construed, administered and enforced in accordance with the laws of the State of Indiana, regardless of the law that might otherwise govern under applicable principles or provisions of choice or conflict of law doctrines. To the extent that any provision of the Plan or portion thereof shall be found to be invalid or unenforceable, such provision or portion of the Plan shall be considered deleted herefrom and the remainder of such provision and the Plan shall be construed and enforced as if such illegal or invalid provision had never been inserted herein. In addition, the remainder of the Plan shall be unaffected and shall continue in full force and effect.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u w:val="single" w:color="auto"/>
          <w:color w:val="auto"/>
        </w:rPr>
        <w:t>Forum Selection</w:t>
      </w:r>
    </w:p>
    <w:p>
      <w:pPr>
        <w:spacing w:after="0" w:line="22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To the fullest extent permitted by law, any action brought in whole or in part relating to the Plan the lawfulness of any Plan provision, the administration of the Plan, or the performance or non-performance of the Plan’s administrators and fiduciaries, shall be filed in one of the following jurisdictions: (i) the jurisdiction in which the Plan is principally administered, which is currently the United States District Court for the Southern District of Indiana; or (ii) in the case of a putative class action, the jurisdiction in which the largest number of putative class members resides (or if that jurisdiction cannot be determined, the jurisdiction in which the largest number of class members is reasonably believed to reside).</w:t>
      </w:r>
    </w:p>
    <w:p>
      <w:pPr>
        <w:spacing w:after="0" w:line="180"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If any action is filed in a jurisdiction other than one of those described above, then the Plan, all parties to such action that are related to the Plan (such as a Plan fiduciary, administrator or party in interest) and all alleged Plan Participants and Beneficiaries shall take all necessary steps to have the action removed to, transferred to or re-filed in a jurisdiction described above. Such steps may include, but are not limited to, (i) a joint motion to transfer the action; or (ii) a joint motion to dismiss the action without prejudice to its re-filing in a jurisdiction described above, with any applicable time limits or statutes of limitations applied as if the suit or class action allegation had originally been filed or asserted in a jurisdiction described above at the same time that it was filed or asserted in a jurisdiction not described therein.</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This forum selection provision is waived, with respect to an action, if no party invokes it within 120 days of the filing of an action. This provision does not relieve any claimant from any obligation existing under the Plan or by law to exhaust administrative remedies before initiating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u w:val="single" w:color="auto"/>
          <w:color w:val="auto"/>
        </w:rPr>
        <w:t>Scrivener’s Errors</w:t>
      </w:r>
    </w:p>
    <w:p>
      <w:pPr>
        <w:spacing w:after="0" w:line="235"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The Plan shall be applied and interpreted without regard to any scrivener's error in this instrument. The determination whether a scrivener's error has occurred shall be made by the Plan Administrator in the exercise of the Plan Administrator’s best judgment and sole discretion, based on the Plan Administrator’s understanding of the intent of the Company as settlor of the Plan, and taking into account such evidence, written or oral, as the Plan Administrator deems appropriate or helpful. The Plan Administrator is authorized to correct any scrivener's errors the Plan Administrator discovers in this instrument, retroactively or prospectively.</w:t>
      </w:r>
    </w:p>
    <w:p>
      <w:pPr>
        <w:spacing w:after="0" w:line="17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1"/>
          <w:szCs w:val="21"/>
          <w:b w:val="1"/>
          <w:bCs w:val="1"/>
          <w:u w:val="single" w:color="auto"/>
          <w:color w:val="auto"/>
        </w:rPr>
        <w:t>Rules of Construction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Plan, unless the contrary is clearly indicated by the context:</w:t>
      </w:r>
    </w:p>
    <w:p>
      <w:pPr>
        <w:spacing w:after="0" w:line="220" w:lineRule="exact"/>
        <w:rPr>
          <w:sz w:val="20"/>
          <w:szCs w:val="20"/>
          <w:color w:val="auto"/>
        </w:rPr>
      </w:pPr>
    </w:p>
    <w:p>
      <w:pPr>
        <w:ind w:left="1300" w:hanging="644"/>
        <w:spacing w:after="0" w:line="272" w:lineRule="auto"/>
        <w:tabs>
          <w:tab w:leader="none" w:pos="115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use of the masculine gender in this Plan shall also include within its meaning the feminine gender and vice versa;</w:t>
      </w:r>
    </w:p>
    <w:p>
      <w:pPr>
        <w:spacing w:after="0" w:line="169" w:lineRule="exact"/>
        <w:rPr>
          <w:rFonts w:ascii="Arial" w:cs="Arial" w:eastAsia="Arial" w:hAnsi="Arial"/>
          <w:sz w:val="22"/>
          <w:szCs w:val="22"/>
          <w:color w:val="auto"/>
        </w:rPr>
      </w:pPr>
    </w:p>
    <w:p>
      <w:pPr>
        <w:ind w:left="1160" w:hanging="504"/>
        <w:spacing w:after="0"/>
        <w:tabs>
          <w:tab w:leader="none" w:pos="11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use of the singular shall also include within its meaning the plural and vice versa;</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word "include" shall mean to include, but not to be limited to;</w:t>
      </w:r>
    </w:p>
    <w:p>
      <w:pPr>
        <w:spacing w:after="0" w:line="219" w:lineRule="exact"/>
        <w:rPr>
          <w:rFonts w:ascii="Arial" w:cs="Arial" w:eastAsia="Arial" w:hAnsi="Arial"/>
          <w:sz w:val="22"/>
          <w:szCs w:val="22"/>
          <w:color w:val="auto"/>
        </w:rPr>
      </w:pPr>
    </w:p>
    <w:p>
      <w:pPr>
        <w:jc w:val="both"/>
        <w:ind w:left="1300" w:hanging="644"/>
        <w:spacing w:after="0" w:line="257" w:lineRule="auto"/>
        <w:tabs>
          <w:tab w:leader="none" w:pos="132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reference to a statute or section of a statute shall further be a reference to any successor or amended statute or section, and any regulations or other guidance of general applicability issued thereunder;</w:t>
      </w:r>
    </w:p>
    <w:p>
      <w:pPr>
        <w:spacing w:after="0" w:line="172" w:lineRule="exact"/>
        <w:rPr>
          <w:rFonts w:ascii="Arial" w:cs="Arial" w:eastAsia="Arial" w:hAnsi="Arial"/>
          <w:sz w:val="22"/>
          <w:szCs w:val="22"/>
          <w:color w:val="auto"/>
        </w:rPr>
      </w:pPr>
    </w:p>
    <w:p>
      <w:pPr>
        <w:jc w:val="both"/>
        <w:ind w:left="1300" w:hanging="644"/>
        <w:spacing w:after="0" w:line="264" w:lineRule="auto"/>
        <w:tabs>
          <w:tab w:leader="none" w:pos="125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title of an officer, employee, or entity used in this Plan means the respective officer, employee, or entity of Eli Lilly and Company and means any successor title to such position as such title may be changed from time to time;</w:t>
      </w:r>
    </w:p>
    <w:p>
      <w:pPr>
        <w:spacing w:after="0" w:line="164" w:lineRule="exact"/>
        <w:rPr>
          <w:rFonts w:ascii="Arial" w:cs="Arial" w:eastAsia="Arial" w:hAnsi="Arial"/>
          <w:sz w:val="22"/>
          <w:szCs w:val="22"/>
          <w:color w:val="auto"/>
        </w:rPr>
      </w:pPr>
    </w:p>
    <w:p>
      <w:pPr>
        <w:ind w:left="1300" w:hanging="644"/>
        <w:spacing w:after="0" w:line="257" w:lineRule="auto"/>
        <w:tabs>
          <w:tab w:leader="none" w:pos="118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references to the Plan Administrator, or other named fiduciary, officer or employee of the Company, or other person or entity with responsibility or authority under the Plan shall include delegates (if any) of such entity or person, with respect to such entity's or person's delegated responsibilities; and</w:t>
      </w:r>
    </w:p>
    <w:p>
      <w:pPr>
        <w:spacing w:after="0" w:line="186" w:lineRule="exact"/>
        <w:rPr>
          <w:rFonts w:ascii="Arial" w:cs="Arial" w:eastAsia="Arial" w:hAnsi="Arial"/>
          <w:sz w:val="22"/>
          <w:szCs w:val="22"/>
          <w:color w:val="auto"/>
        </w:rPr>
      </w:pPr>
    </w:p>
    <w:p>
      <w:pPr>
        <w:jc w:val="both"/>
        <w:ind w:left="1300" w:hanging="644"/>
        <w:spacing w:after="0" w:line="257" w:lineRule="auto"/>
        <w:tabs>
          <w:tab w:leader="none" w:pos="125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captions and headings of each article, section, paragraph, and other provision of the Plan are for convenience and reference only and are not to be considered in interpreting the terms and conditions of the Plan.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21"/>
          <w:szCs w:val="21"/>
          <w:b w:val="1"/>
          <w:bCs w:val="1"/>
          <w:u w:val="single" w:color="auto"/>
          <w:color w:val="auto"/>
        </w:rPr>
        <w:t>Effective Date; Amendment and Termination</w:t>
      </w:r>
    </w:p>
    <w:p>
      <w:pPr>
        <w:spacing w:after="0" w:line="222" w:lineRule="exact"/>
        <w:rPr>
          <w:sz w:val="20"/>
          <w:szCs w:val="20"/>
          <w:color w:val="auto"/>
        </w:rPr>
      </w:pPr>
    </w:p>
    <w:p>
      <w:pPr>
        <w:ind w:firstLine="1296"/>
        <w:spacing w:after="0" w:line="285" w:lineRule="auto"/>
        <w:rPr>
          <w:sz w:val="20"/>
          <w:szCs w:val="20"/>
          <w:color w:val="auto"/>
        </w:rPr>
      </w:pPr>
      <w:r>
        <w:rPr>
          <w:rFonts w:ascii="Arial" w:cs="Arial" w:eastAsia="Arial" w:hAnsi="Arial"/>
          <w:sz w:val="22"/>
          <w:szCs w:val="22"/>
          <w:color w:val="auto"/>
        </w:rPr>
        <w:t>The Plan, as amended and restated, shall become effective for deferrals on and after January 1, 2025, and for each Plan Year thereafter until terminated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Board. The Board may amend or terminate the Plan at any time and in any manner; provided that no amendment or termination shall reduce the amount credited to a Participant’s Account at the time of any such amendment or termination, and no amendment shall be effective that shall cause the Plan to fail to meet the requirements of Section 409A. Upon termination of the Plan in accordance with the requirements of Section 409A, (i) all future deferrals of compensation will cease, (ii) all Plan Accounts will continue to receive interest credits (or be invested) as permitted under the Plan, and (iii) all Plan Accounts will be distributed in accordance with the Participant’s elections under the provisions of the Plan, unless the Company determines in its sole discretion that all such amounts shall be distributed upon termination in accordance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GRANDFATHERED AMOUNTS</w:t>
      </w:r>
    </w:p>
    <w:p>
      <w:pPr>
        <w:spacing w:after="0" w:line="249" w:lineRule="exact"/>
        <w:rPr>
          <w:sz w:val="20"/>
          <w:szCs w:val="20"/>
          <w:color w:val="auto"/>
        </w:rPr>
      </w:pPr>
    </w:p>
    <w:p>
      <w:pPr>
        <w:jc w:val="both"/>
        <w:ind w:firstLine="274"/>
        <w:spacing w:after="0" w:line="257" w:lineRule="auto"/>
        <w:rPr>
          <w:sz w:val="20"/>
          <w:szCs w:val="20"/>
          <w:color w:val="auto"/>
        </w:rPr>
      </w:pPr>
      <w:r>
        <w:rPr>
          <w:rFonts w:ascii="Arial" w:cs="Arial" w:eastAsia="Arial" w:hAnsi="Arial"/>
          <w:sz w:val="22"/>
          <w:szCs w:val="22"/>
          <w:color w:val="auto"/>
        </w:rPr>
        <w:t>Distribution of amounts that were earned and vested (within the meaning of Section 409A) under the Plan prior to 2005 (and earnings thereon) and are exempt from the requirements of Section 409A shall be made in accordance with the Plan terms as in effect on January 1, 2004, as attached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LILLY DIRECTORS' DEFERRAL PLAN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through January 1, 2004)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Establishment of the Plan and Shares Available.</w:t>
      </w:r>
    </w:p>
    <w:p>
      <w:pPr>
        <w:spacing w:after="0" w:line="249" w:lineRule="exact"/>
        <w:rPr>
          <w:sz w:val="20"/>
          <w:szCs w:val="20"/>
          <w:color w:val="auto"/>
        </w:rPr>
      </w:pPr>
    </w:p>
    <w:p>
      <w:pPr>
        <w:ind w:right="180" w:firstLine="648"/>
        <w:spacing w:after="0" w:line="257" w:lineRule="auto"/>
        <w:rPr>
          <w:sz w:val="20"/>
          <w:szCs w:val="20"/>
          <w:color w:val="auto"/>
        </w:rPr>
      </w:pPr>
      <w:r>
        <w:rPr>
          <w:rFonts w:ascii="Arial" w:cs="Arial" w:eastAsia="Arial" w:hAnsi="Arial"/>
          <w:sz w:val="22"/>
          <w:szCs w:val="22"/>
          <w:u w:val="single" w:color="auto"/>
          <w:color w:val="auto"/>
        </w:rPr>
        <w:t>1.1. Establishment of Plan.</w:t>
      </w:r>
      <w:r>
        <w:rPr>
          <w:rFonts w:ascii="Arial" w:cs="Arial" w:eastAsia="Arial" w:hAnsi="Arial"/>
          <w:sz w:val="22"/>
          <w:szCs w:val="22"/>
          <w:color w:val="auto"/>
        </w:rPr>
        <w:t xml:space="preserve"> This Plan was established effective January 1, 1996, to permit Directors of the Company who are not salaried employees of the Company to voluntarily defer receipt of some or all of their meeting fees and retainer and to share in the long-term growth of the Company by acquiring, on a deferred basis, an ownership interest in the Company. This amended and restated Plan is effective January 1, 2004.</w:t>
      </w:r>
    </w:p>
    <w:p>
      <w:pPr>
        <w:spacing w:after="0" w:line="199" w:lineRule="exact"/>
        <w:rPr>
          <w:sz w:val="20"/>
          <w:szCs w:val="20"/>
          <w:color w:val="auto"/>
        </w:rPr>
      </w:pPr>
    </w:p>
    <w:p>
      <w:pPr>
        <w:ind w:right="80" w:firstLine="648"/>
        <w:spacing w:after="0" w:line="257" w:lineRule="auto"/>
        <w:rPr>
          <w:sz w:val="20"/>
          <w:szCs w:val="20"/>
          <w:color w:val="auto"/>
        </w:rPr>
      </w:pPr>
      <w:r>
        <w:rPr>
          <w:rFonts w:ascii="Arial" w:cs="Arial" w:eastAsia="Arial" w:hAnsi="Arial"/>
          <w:sz w:val="22"/>
          <w:szCs w:val="22"/>
          <w:u w:val="single" w:color="auto"/>
          <w:color w:val="auto"/>
        </w:rPr>
        <w:t>1.2. Shares Available.</w:t>
      </w:r>
      <w:r>
        <w:rPr>
          <w:rFonts w:ascii="Arial" w:cs="Arial" w:eastAsia="Arial" w:hAnsi="Arial"/>
          <w:sz w:val="22"/>
          <w:szCs w:val="22"/>
          <w:color w:val="auto"/>
        </w:rPr>
        <w:t xml:space="preserve"> Subject to adjustment as provided in Section 7.5, the aggregate number of shares of Eli Lilly and Company common stock that may be issued or transferred under this Plan after April 28, 2003, is 750,000. The shares may be authorized and unissued shares or treasury shares.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Definitions.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shall have the definitions set forth in this Section 2:</w:t>
      </w:r>
    </w:p>
    <w:p>
      <w:pPr>
        <w:spacing w:after="0" w:line="260" w:lineRule="exact"/>
        <w:rPr>
          <w:sz w:val="20"/>
          <w:szCs w:val="20"/>
          <w:color w:val="auto"/>
        </w:rPr>
      </w:pPr>
    </w:p>
    <w:p>
      <w:pPr>
        <w:jc w:val="both"/>
        <w:ind w:right="100" w:firstLine="648"/>
        <w:spacing w:after="0" w:line="249" w:lineRule="auto"/>
        <w:rPr>
          <w:sz w:val="20"/>
          <w:szCs w:val="20"/>
          <w:color w:val="auto"/>
        </w:rPr>
      </w:pPr>
      <w:r>
        <w:rPr>
          <w:rFonts w:ascii="Arial" w:cs="Arial" w:eastAsia="Arial" w:hAnsi="Arial"/>
          <w:sz w:val="22"/>
          <w:szCs w:val="22"/>
          <w:u w:val="single" w:color="auto"/>
          <w:color w:val="auto"/>
        </w:rPr>
        <w:t>2.1. Annual Allocation Date</w:t>
      </w:r>
      <w:r>
        <w:rPr>
          <w:rFonts w:ascii="Arial" w:cs="Arial" w:eastAsia="Arial" w:hAnsi="Arial"/>
          <w:sz w:val="22"/>
          <w:szCs w:val="22"/>
          <w:color w:val="auto"/>
        </w:rPr>
        <w:t>. The last Business Day in November of each calendar year, or such other annual date, not earlier than the third Monday in February, established by the Committee as the date as of which Shares are allocated to each Share Account in accordance with Section 6.</w:t>
      </w:r>
    </w:p>
    <w:p>
      <w:pPr>
        <w:spacing w:after="0" w:line="2" w:lineRule="exact"/>
        <w:rPr>
          <w:sz w:val="20"/>
          <w:szCs w:val="20"/>
          <w:color w:val="auto"/>
        </w:rPr>
      </w:pPr>
    </w:p>
    <w:p>
      <w:pPr>
        <w:ind w:right="820" w:firstLine="648"/>
        <w:spacing w:after="0" w:line="253" w:lineRule="auto"/>
        <w:rPr>
          <w:sz w:val="20"/>
          <w:szCs w:val="20"/>
          <w:color w:val="auto"/>
        </w:rPr>
      </w:pPr>
      <w:r>
        <w:rPr>
          <w:rFonts w:ascii="Arial" w:cs="Arial" w:eastAsia="Arial" w:hAnsi="Arial"/>
          <w:sz w:val="22"/>
          <w:szCs w:val="22"/>
          <w:u w:val="single" w:color="auto"/>
          <w:color w:val="auto"/>
        </w:rPr>
        <w:t>2.2. Beneficiary</w:t>
      </w:r>
      <w:r>
        <w:rPr>
          <w:rFonts w:ascii="Arial" w:cs="Arial" w:eastAsia="Arial" w:hAnsi="Arial"/>
          <w:sz w:val="22"/>
          <w:szCs w:val="22"/>
          <w:color w:val="auto"/>
        </w:rPr>
        <w:t>. The beneficiary or beneficiaries (including any contingent beneficiary or beneficiaries) designated pursuant to subsection 8.3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2.3 Business Day.</w:t>
      </w:r>
      <w:r>
        <w:rPr>
          <w:rFonts w:ascii="Arial" w:cs="Arial" w:eastAsia="Arial" w:hAnsi="Arial"/>
          <w:sz w:val="22"/>
          <w:szCs w:val="22"/>
          <w:color w:val="auto"/>
        </w:rPr>
        <w:t xml:space="preserve"> A day on which the Company’s corporate headquarters are open for regular business.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2.4. Board of Directors</w:t>
      </w:r>
      <w:r>
        <w:rPr>
          <w:rFonts w:ascii="Arial" w:cs="Arial" w:eastAsia="Arial" w:hAnsi="Arial"/>
          <w:sz w:val="22"/>
          <w:szCs w:val="22"/>
          <w:color w:val="auto"/>
        </w:rPr>
        <w: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5" w:lineRule="exact"/>
        <w:rPr>
          <w:sz w:val="20"/>
          <w:szCs w:val="20"/>
          <w:color w:val="auto"/>
        </w:rPr>
      </w:pPr>
    </w:p>
    <w:p>
      <w:pPr>
        <w:ind w:right="540" w:firstLine="648"/>
        <w:spacing w:after="0" w:line="264" w:lineRule="auto"/>
        <w:rPr>
          <w:sz w:val="20"/>
          <w:szCs w:val="20"/>
          <w:color w:val="auto"/>
        </w:rPr>
      </w:pPr>
      <w:r>
        <w:rPr>
          <w:rFonts w:ascii="Arial" w:cs="Arial" w:eastAsia="Arial" w:hAnsi="Arial"/>
          <w:sz w:val="22"/>
          <w:szCs w:val="22"/>
          <w:u w:val="single" w:color="auto"/>
          <w:color w:val="auto"/>
        </w:rPr>
        <w:t>2.5. Committee</w:t>
      </w:r>
      <w:r>
        <w:rPr>
          <w:rFonts w:ascii="Arial" w:cs="Arial" w:eastAsia="Arial" w:hAnsi="Arial"/>
          <w:sz w:val="22"/>
          <w:szCs w:val="22"/>
          <w:color w:val="auto"/>
        </w:rPr>
        <w:t>. The Directors and Corporate Governance Committee of the Board of Directors, or any successor committee of the Board of Directors that is charged with matters relating to the compensation of non-employee directors.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2.6. Company</w:t>
      </w:r>
      <w:r>
        <w:rPr>
          <w:rFonts w:ascii="Arial" w:cs="Arial" w:eastAsia="Arial" w:hAnsi="Arial"/>
          <w:sz w:val="22"/>
          <w:szCs w:val="22"/>
          <w:color w:val="auto"/>
        </w:rPr>
        <w:t>. Eli Lilly and Company.</w:t>
      </w:r>
    </w:p>
    <w:p>
      <w:pPr>
        <w:spacing w:after="0" w:line="2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22"/>
          <w:szCs w:val="22"/>
          <w:u w:val="single" w:color="auto"/>
          <w:color w:val="auto"/>
        </w:rPr>
        <w:t>2.7. Company Credit</w:t>
      </w:r>
      <w:r>
        <w:rPr>
          <w:rFonts w:ascii="Arial" w:cs="Arial" w:eastAsia="Arial" w:hAnsi="Arial"/>
          <w:sz w:val="22"/>
          <w:szCs w:val="22"/>
          <w:color w:val="auto"/>
        </w:rPr>
        <w:t>. For any calendar year or part thereof, an amount computed, and credited annually to a Participant's Deferred Compensation Account at an annual rate that is equal to one hundred twenty percent (120%) of the applicable federal long-term rate, with compounding (as prescribed under Section 1274(d) of the Internal Revenue Code) that was in effect for the month of December immediately preceding the calendar year.</w:t>
      </w:r>
    </w:p>
    <w:p>
      <w:pPr>
        <w:spacing w:after="0" w:line="199" w:lineRule="exact"/>
        <w:rPr>
          <w:sz w:val="20"/>
          <w:szCs w:val="20"/>
          <w:color w:val="auto"/>
        </w:rPr>
      </w:pPr>
    </w:p>
    <w:p>
      <w:pPr>
        <w:ind w:right="840" w:firstLine="648"/>
        <w:spacing w:after="0" w:line="272" w:lineRule="auto"/>
        <w:rPr>
          <w:sz w:val="20"/>
          <w:szCs w:val="20"/>
          <w:color w:val="auto"/>
        </w:rPr>
      </w:pPr>
      <w:r>
        <w:rPr>
          <w:rFonts w:ascii="Arial" w:cs="Arial" w:eastAsia="Arial" w:hAnsi="Arial"/>
          <w:sz w:val="22"/>
          <w:szCs w:val="22"/>
          <w:u w:val="single" w:color="auto"/>
          <w:color w:val="auto"/>
        </w:rPr>
        <w:t>2.8. Deferred Amount</w:t>
      </w:r>
      <w:r>
        <w:rPr>
          <w:rFonts w:ascii="Arial" w:cs="Arial" w:eastAsia="Arial" w:hAnsi="Arial"/>
          <w:sz w:val="22"/>
          <w:szCs w:val="22"/>
          <w:color w:val="auto"/>
        </w:rPr>
        <w:t>. The amount of a Monthly Deferral Participant's Monthly Compensation that the Participant elects to defer in accordance with Section 4 hereof.</w:t>
      </w:r>
    </w:p>
    <w:p>
      <w:pPr>
        <w:spacing w:after="0" w:line="183" w:lineRule="exact"/>
        <w:rPr>
          <w:sz w:val="20"/>
          <w:szCs w:val="20"/>
          <w:color w:val="auto"/>
        </w:rPr>
      </w:pPr>
    </w:p>
    <w:p>
      <w:pPr>
        <w:ind w:right="140" w:firstLine="648"/>
        <w:spacing w:after="0" w:line="310" w:lineRule="auto"/>
        <w:rPr>
          <w:sz w:val="20"/>
          <w:szCs w:val="20"/>
          <w:color w:val="auto"/>
        </w:rPr>
      </w:pPr>
      <w:r>
        <w:rPr>
          <w:rFonts w:ascii="Arial" w:cs="Arial" w:eastAsia="Arial" w:hAnsi="Arial"/>
          <w:sz w:val="21"/>
          <w:szCs w:val="21"/>
          <w:u w:val="single" w:color="auto"/>
          <w:color w:val="auto"/>
        </w:rPr>
        <w:t>2.9. Deferred Stock Participant</w:t>
      </w:r>
      <w:r>
        <w:rPr>
          <w:rFonts w:ascii="Arial" w:cs="Arial" w:eastAsia="Arial" w:hAnsi="Arial"/>
          <w:sz w:val="21"/>
          <w:szCs w:val="21"/>
          <w:color w:val="auto"/>
        </w:rPr>
        <w:t>. A Director who is not, and for the preceding 12 months has not been, a salaried employee of the Company and who becomes a Participant in the Plan in accordance with Section 3 hereof.</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2.10. Director</w:t>
      </w:r>
      <w:r>
        <w:rPr>
          <w:rFonts w:ascii="Arial" w:cs="Arial" w:eastAsia="Arial" w:hAnsi="Arial"/>
          <w:sz w:val="22"/>
          <w:szCs w:val="22"/>
          <w:color w:val="auto"/>
        </w:rPr>
        <w:t>. A member of the Board of Directors.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2.11. Dividend Payment Date</w:t>
      </w:r>
      <w:r>
        <w:rPr>
          <w:rFonts w:ascii="Arial" w:cs="Arial" w:eastAsia="Arial" w:hAnsi="Arial"/>
          <w:sz w:val="22"/>
          <w:szCs w:val="22"/>
          <w:color w:val="auto"/>
        </w:rPr>
        <w:t>. The date as of which the Company pays a cash dividend on Shares.</w:t>
      </w:r>
    </w:p>
    <w:p>
      <w:pPr>
        <w:spacing w:after="0" w:line="247"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u w:val="single" w:color="auto"/>
          <w:color w:val="auto"/>
        </w:rPr>
        <w:t>2.12. Dividend Record Date</w:t>
      </w:r>
      <w:r>
        <w:rPr>
          <w:rFonts w:ascii="Arial" w:cs="Arial" w:eastAsia="Arial" w:hAnsi="Arial"/>
          <w:sz w:val="22"/>
          <w:szCs w:val="22"/>
          <w:color w:val="auto"/>
        </w:rPr>
        <w:t>. With respect to any Dividend Payment Date, the date established by the Board of Directors as the record date for determining shareholders entitled to the dividend.</w:t>
      </w:r>
    </w:p>
    <w:p>
      <w:pPr>
        <w:spacing w:after="0" w:line="183" w:lineRule="exact"/>
        <w:rPr>
          <w:sz w:val="20"/>
          <w:szCs w:val="20"/>
          <w:color w:val="auto"/>
        </w:rPr>
      </w:pPr>
    </w:p>
    <w:p>
      <w:pPr>
        <w:ind w:right="200" w:firstLine="648"/>
        <w:spacing w:after="0" w:line="264" w:lineRule="auto"/>
        <w:rPr>
          <w:sz w:val="20"/>
          <w:szCs w:val="20"/>
          <w:color w:val="auto"/>
        </w:rPr>
      </w:pPr>
      <w:r>
        <w:rPr>
          <w:rFonts w:ascii="Arial" w:cs="Arial" w:eastAsia="Arial" w:hAnsi="Arial"/>
          <w:sz w:val="22"/>
          <w:szCs w:val="22"/>
          <w:u w:val="single" w:color="auto"/>
          <w:color w:val="auto"/>
        </w:rPr>
        <w:t>2.13. Individual Accounts or Accounts</w:t>
      </w:r>
      <w:r>
        <w:rPr>
          <w:rFonts w:ascii="Arial" w:cs="Arial" w:eastAsia="Arial" w:hAnsi="Arial"/>
          <w:sz w:val="22"/>
          <w:szCs w:val="22"/>
          <w:color w:val="auto"/>
        </w:rPr>
        <w:t>. The separate accounts (the Deferred Compensation Account and the Share Account) described in Section 7 hereof. When used in the singular, the term shall refer to one of these two accounts, as the context requires.</w:t>
      </w:r>
    </w:p>
    <w:p>
      <w:pPr>
        <w:spacing w:after="0" w:line="19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u w:val="single" w:color="auto"/>
          <w:color w:val="auto"/>
        </w:rPr>
        <w:t>2.14. Monthly Compensation</w:t>
      </w:r>
      <w:r>
        <w:rPr>
          <w:rFonts w:ascii="Arial" w:cs="Arial" w:eastAsia="Arial" w:hAnsi="Arial"/>
          <w:sz w:val="22"/>
          <w:szCs w:val="22"/>
          <w:color w:val="auto"/>
        </w:rPr>
        <w:t>. For any month, the monthly retainer and the aggregate of all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6 of this Plan.</w:t>
      </w:r>
    </w:p>
    <w:p>
      <w:pPr>
        <w:spacing w:after="0" w:line="206" w:lineRule="exact"/>
        <w:rPr>
          <w:sz w:val="20"/>
          <w:szCs w:val="20"/>
          <w:color w:val="auto"/>
        </w:rPr>
      </w:pPr>
    </w:p>
    <w:p>
      <w:pPr>
        <w:ind w:right="340" w:firstLine="648"/>
        <w:spacing w:after="0" w:line="296" w:lineRule="auto"/>
        <w:rPr>
          <w:sz w:val="20"/>
          <w:szCs w:val="20"/>
          <w:color w:val="auto"/>
        </w:rPr>
      </w:pPr>
      <w:r>
        <w:rPr>
          <w:rFonts w:ascii="Arial" w:cs="Arial" w:eastAsia="Arial" w:hAnsi="Arial"/>
          <w:sz w:val="21"/>
          <w:szCs w:val="21"/>
          <w:u w:val="single" w:color="auto"/>
          <w:color w:val="auto"/>
        </w:rPr>
        <w:t>2.15. Monthly Deferral Participant</w:t>
      </w:r>
      <w:r>
        <w:rPr>
          <w:rFonts w:ascii="Arial" w:cs="Arial" w:eastAsia="Arial" w:hAnsi="Arial"/>
          <w:sz w:val="21"/>
          <w:szCs w:val="21"/>
          <w:color w:val="auto"/>
        </w:rPr>
        <w:t>. A Director who is not a salaried employee of the Company and who has elected to defer all or part of his or her Compensation pursuant to the Plan in accordance with Section 4 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80"/>
          </w:cols>
          <w:pgMar w:left="320" w:top="1440" w:right="399" w:bottom="1440" w:gutter="0" w:footer="0" w:header="0"/>
        </w:sectPr>
      </w:pPr>
    </w:p>
    <w:bookmarkStart w:id="217" w:name="page218"/>
    <w:bookmarkEnd w:id="217"/>
    <w:p>
      <w:pPr>
        <w:spacing w:after="0" w:line="3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2.16. Participant</w:t>
      </w:r>
      <w:r>
        <w:rPr>
          <w:rFonts w:ascii="Arial" w:cs="Arial" w:eastAsia="Arial" w:hAnsi="Arial"/>
          <w:sz w:val="22"/>
          <w:szCs w:val="22"/>
          <w:color w:val="auto"/>
        </w:rPr>
        <w:t>. A Director who is a Deferred Stock Participant, a Monthly Deferral Participant, or both.</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2.17. Plan</w:t>
      </w:r>
      <w:r>
        <w:rPr>
          <w:rFonts w:ascii="Arial" w:cs="Arial" w:eastAsia="Arial" w:hAnsi="Arial"/>
          <w:sz w:val="22"/>
          <w:szCs w:val="22"/>
          <w:color w:val="auto"/>
        </w:rPr>
        <w:t>. The Lilly Directors' Deferral Plan, as set forth herein and as it may be amended from time to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2.18. Share</w:t>
      </w:r>
      <w:r>
        <w:rPr>
          <w:rFonts w:ascii="Arial" w:cs="Arial" w:eastAsia="Arial" w:hAnsi="Arial"/>
          <w:sz w:val="22"/>
          <w:szCs w:val="22"/>
          <w:color w:val="auto"/>
        </w:rPr>
        <w:t>. A share of common stock of the Company.</w:t>
      </w:r>
    </w:p>
    <w:p>
      <w:pPr>
        <w:spacing w:after="0" w:line="24" w:lineRule="exact"/>
        <w:rPr>
          <w:sz w:val="20"/>
          <w:szCs w:val="20"/>
          <w:color w:val="auto"/>
        </w:rPr>
      </w:pPr>
    </w:p>
    <w:p>
      <w:pPr>
        <w:ind w:right="340" w:firstLine="648"/>
        <w:spacing w:after="0" w:line="248" w:lineRule="auto"/>
        <w:rPr>
          <w:sz w:val="20"/>
          <w:szCs w:val="20"/>
          <w:color w:val="auto"/>
        </w:rPr>
      </w:pPr>
      <w:r>
        <w:rPr>
          <w:rFonts w:ascii="Arial" w:cs="Arial" w:eastAsia="Arial" w:hAnsi="Arial"/>
          <w:sz w:val="22"/>
          <w:szCs w:val="22"/>
          <w:u w:val="single" w:color="auto"/>
          <w:color w:val="auto"/>
        </w:rPr>
        <w:t>2.19. Valuation Date</w:t>
      </w:r>
      <w:r>
        <w:rPr>
          <w:rFonts w:ascii="Arial" w:cs="Arial" w:eastAsia="Arial" w:hAnsi="Arial"/>
          <w:sz w:val="22"/>
          <w:szCs w:val="22"/>
          <w:color w:val="auto"/>
        </w:rPr>
        <w:t>. For any month, the third Monday of the month, or if Shares are not traded on the New York Stock Exchange on such third Monday, the next day on which Shares are traded on the New York Stock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Deferred Stock Participants.</w:t>
      </w:r>
    </w:p>
    <w:p>
      <w:pPr>
        <w:spacing w:after="0" w:line="24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Each Director who participated in The Lilly Non-Employee Directors' Deferred Stock Plan immediately before the effective date of this Plan shall continue as a Deferred Stock Participant on such effective date, and all elections in effect under The Lilly Non-Employee Directors' Deferred Stock Plan shall remain in effect under this Plan, unless and until amended in accordance with this Plan. Thereafter, each person who becomes a Director, and who is not, and for the preceding 12 months has not been, a salaried employee of the Company, shall become a Deferred Stock Participant.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Monthly Deferral Participants.</w:t>
      </w:r>
    </w:p>
    <w:p>
      <w:pPr>
        <w:spacing w:after="0" w:line="249" w:lineRule="exact"/>
        <w:rPr>
          <w:sz w:val="20"/>
          <w:szCs w:val="20"/>
          <w:color w:val="auto"/>
        </w:rPr>
      </w:pPr>
    </w:p>
    <w:p>
      <w:pPr>
        <w:ind w:right="260"/>
        <w:spacing w:after="0" w:line="248" w:lineRule="auto"/>
        <w:rPr>
          <w:sz w:val="20"/>
          <w:szCs w:val="20"/>
          <w:color w:val="auto"/>
        </w:rPr>
      </w:pPr>
      <w:r>
        <w:rPr>
          <w:rFonts w:ascii="Arial" w:cs="Arial" w:eastAsia="Arial" w:hAnsi="Arial"/>
          <w:sz w:val="22"/>
          <w:szCs w:val="22"/>
          <w:color w:val="auto"/>
        </w:rPr>
        <w:t>Each Director who participated in The Lilly Directors' Deferred Compensation Plan immediately before the effective date of the Plan shall continue as a Monthly Deferral Participant on such effective date, and all elections in effect under The Lilly Directors' Deferred Compensation Plan shall remain in effect under this Plan, unless and until amended in accordance with this Plan. Prior to the beginning of each calendar year, any Director who is not a salaried employee of the Company may defer the receipt of Monthly Compensation to be earned by the Director during such year by filing with the Company a written election that:</w:t>
      </w:r>
    </w:p>
    <w:p>
      <w:pPr>
        <w:spacing w:after="0" w:line="4" w:lineRule="exact"/>
        <w:rPr>
          <w:sz w:val="20"/>
          <w:szCs w:val="20"/>
          <w:color w:val="auto"/>
        </w:rPr>
      </w:pPr>
    </w:p>
    <w:p>
      <w:pPr>
        <w:ind w:firstLine="1304"/>
        <w:spacing w:after="0" w:line="254" w:lineRule="auto"/>
        <w:tabs>
          <w:tab w:leader="none" w:pos="154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defers payment of a designated amount (of one Thousand Dollars ($1,000) or more) or percentage of his or her Monthly Compensation for services attributable to the following calendar year or portion thereof (the "Deferred Amount");</w:t>
      </w:r>
    </w:p>
    <w:p>
      <w:pPr>
        <w:spacing w:after="0" w:line="202" w:lineRule="exact"/>
        <w:rPr>
          <w:rFonts w:ascii="Arial" w:cs="Arial" w:eastAsia="Arial" w:hAnsi="Arial"/>
          <w:sz w:val="22"/>
          <w:szCs w:val="22"/>
          <w:color w:val="auto"/>
        </w:rPr>
      </w:pPr>
    </w:p>
    <w:p>
      <w:pPr>
        <w:ind w:right="200" w:firstLine="1304"/>
        <w:spacing w:after="0" w:line="272" w:lineRule="auto"/>
        <w:tabs>
          <w:tab w:leader="none" w:pos="159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specifies the payment option selected by the Participant pursuant to subsection 8.2 hereof for such Deferred Amount; and</w:t>
      </w:r>
    </w:p>
    <w:p>
      <w:pPr>
        <w:spacing w:after="0" w:line="182" w:lineRule="exact"/>
        <w:rPr>
          <w:rFonts w:ascii="Arial" w:cs="Arial" w:eastAsia="Arial" w:hAnsi="Arial"/>
          <w:sz w:val="22"/>
          <w:szCs w:val="22"/>
          <w:color w:val="auto"/>
        </w:rPr>
      </w:pPr>
    </w:p>
    <w:p>
      <w:pPr>
        <w:ind w:left="1660" w:hanging="356"/>
        <w:spacing w:after="0"/>
        <w:tabs>
          <w:tab w:leader="none" w:pos="16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specifies the option selected by the Participant pursuant to Section 5 hereof for such Deferred</w:t>
      </w:r>
    </w:p>
    <w:p>
      <w:pPr>
        <w:spacing w:after="0" w:line="2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amount deferred may not exceed the Director's aggregate Monthly Compensation for the calendar year. Notwithstanding the foregoing, any individual who is newly elected or appointed to serve as a Director may, not later than thirty (30) days after his election or appointment becomes effective, elect in accordance with the preceding provisions of this Section 4, to defer the receipt of Monthly Compensation earned during the portion of the current calendar year that follows the filing of the election with the Company. Except as provided in subsections 8.2 and 8.4 hereof, any elections made pursuant to this Section 4 with respect to a calendar year shall be irrevocable when made. If a Participant fails to make an election under section 5 with respect to his or her Deferred Amount for a future calendar year, the Participant's previous election shall remain in effect, provided that the Participant may amend his or her election with regard to a future calendar year at any time.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Form of Deferred Compensation Credits.</w:t>
      </w:r>
    </w:p>
    <w:p>
      <w:pPr>
        <w:spacing w:after="0" w:line="249" w:lineRule="exact"/>
        <w:rPr>
          <w:sz w:val="20"/>
          <w:szCs w:val="20"/>
          <w:color w:val="auto"/>
        </w:rPr>
      </w:pPr>
    </w:p>
    <w:p>
      <w:pPr>
        <w:ind w:right="20" w:firstLine="648"/>
        <w:spacing w:after="0" w:line="257" w:lineRule="auto"/>
        <w:rPr>
          <w:sz w:val="20"/>
          <w:szCs w:val="20"/>
          <w:color w:val="auto"/>
        </w:rPr>
      </w:pPr>
      <w:r>
        <w:rPr>
          <w:rFonts w:ascii="Arial" w:cs="Arial" w:eastAsia="Arial" w:hAnsi="Arial"/>
          <w:sz w:val="22"/>
          <w:szCs w:val="22"/>
          <w:u w:val="single" w:color="auto"/>
          <w:color w:val="auto"/>
        </w:rPr>
        <w:t>5.1. Deferred Compensation Account</w:t>
      </w:r>
      <w:r>
        <w:rPr>
          <w:rFonts w:ascii="Arial" w:cs="Arial" w:eastAsia="Arial" w:hAnsi="Arial"/>
          <w:sz w:val="22"/>
          <w:szCs w:val="22"/>
          <w:color w:val="auto"/>
        </w:rPr>
        <w:t>. Except with respect to Deferred Amounts which a Monthly Deferral Participant elects to have credited in Shares in accordance with subsection 5.2 hereof, the Deferred Amount shall be denominated in U.S. dollars and credited to the Participant's Deferred Compensation Account pursuant to subsection 7.1 hereof.</w:t>
      </w:r>
    </w:p>
    <w:p>
      <w:pPr>
        <w:spacing w:after="0" w:line="199" w:lineRule="exact"/>
        <w:rPr>
          <w:sz w:val="20"/>
          <w:szCs w:val="20"/>
          <w:color w:val="auto"/>
        </w:rPr>
      </w:pPr>
    </w:p>
    <w:p>
      <w:pPr>
        <w:ind w:right="120" w:firstLine="648"/>
        <w:spacing w:after="0" w:line="257" w:lineRule="auto"/>
        <w:rPr>
          <w:sz w:val="20"/>
          <w:szCs w:val="20"/>
          <w:color w:val="auto"/>
        </w:rPr>
      </w:pPr>
      <w:r>
        <w:rPr>
          <w:rFonts w:ascii="Arial" w:cs="Arial" w:eastAsia="Arial" w:hAnsi="Arial"/>
          <w:sz w:val="22"/>
          <w:szCs w:val="22"/>
          <w:u w:val="single" w:color="auto"/>
          <w:color w:val="auto"/>
        </w:rPr>
        <w:t>5.2. Shares</w:t>
      </w:r>
      <w:r>
        <w:rPr>
          <w:rFonts w:ascii="Arial" w:cs="Arial" w:eastAsia="Arial" w:hAnsi="Arial"/>
          <w:sz w:val="22"/>
          <w:szCs w:val="22"/>
          <w:color w:val="auto"/>
        </w:rPr>
        <w:t>. Prior to the beginning of each calendar year, a Monthly Deferral Participant may elect to have all or a percentage of the Deferred Amount for the following calendar year credited in Shares and allocated to the Participant's Share Account pursuant to subsection 7.2 hereof.</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b w:val="1"/>
          <w:bCs w:val="1"/>
          <w:u w:val="single" w:color="auto"/>
          <w:color w:val="auto"/>
        </w:rPr>
        <w:t>Annual Allocations to Share Accounts.</w:t>
      </w:r>
    </w:p>
    <w:p>
      <w:pPr>
        <w:spacing w:after="0" w:line="249"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u w:val="single" w:color="auto"/>
          <w:color w:val="auto"/>
        </w:rPr>
        <w:t>6.1. Annual Allocation of Shares</w:t>
      </w:r>
      <w:r>
        <w:rPr>
          <w:rFonts w:ascii="Arial" w:cs="Arial" w:eastAsia="Arial" w:hAnsi="Arial"/>
          <w:sz w:val="22"/>
          <w:szCs w:val="22"/>
          <w:color w:val="auto"/>
        </w:rPr>
        <w:t>. As of the Annual Allocation Date of each calendar year, there shall be allocated to the Share Account (as described in Section 7.2 below) of each Deferred Stock Participant who is a Director on that date, as part of his or her compensation for service on the Board of Directors, seven hundred (700) Shares or such other number of Shares, not to exceed 3,000 shares, as may be specified from time to time by resolution of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b w:val="1"/>
          <w:bCs w:val="1"/>
          <w:u w:val="single" w:color="auto"/>
          <w:color w:val="auto"/>
        </w:rPr>
        <w:t>Individual Accounts.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maintain Individual Accounts for Participants as follows:</w:t>
      </w:r>
    </w:p>
    <w:p>
      <w:pPr>
        <w:spacing w:after="0" w:line="247" w:lineRule="exact"/>
        <w:rPr>
          <w:sz w:val="20"/>
          <w:szCs w:val="20"/>
          <w:color w:val="auto"/>
        </w:rPr>
      </w:pPr>
    </w:p>
    <w:p>
      <w:pPr>
        <w:ind w:right="60" w:firstLine="648"/>
        <w:spacing w:after="0" w:line="257" w:lineRule="auto"/>
        <w:rPr>
          <w:sz w:val="20"/>
          <w:szCs w:val="20"/>
          <w:color w:val="auto"/>
        </w:rPr>
      </w:pPr>
      <w:r>
        <w:rPr>
          <w:rFonts w:ascii="Arial" w:cs="Arial" w:eastAsia="Arial" w:hAnsi="Arial"/>
          <w:sz w:val="22"/>
          <w:szCs w:val="22"/>
          <w:u w:val="single" w:color="auto"/>
          <w:color w:val="auto"/>
        </w:rPr>
        <w:t>7.1. Deferred Compensation Account</w:t>
      </w:r>
      <w:r>
        <w:rPr>
          <w:rFonts w:ascii="Arial" w:cs="Arial" w:eastAsia="Arial" w:hAnsi="Arial"/>
          <w:sz w:val="22"/>
          <w:szCs w:val="22"/>
          <w:color w:val="auto"/>
        </w:rPr>
        <w:t>. The Company shall maintain a Deferred Compensation Account in the name of each Monthly Deferral Participant who elects to defer the receipt of Monthly Compensation pursuant to Section 4 hereof for a calendar year and does not elect to have the Deferred Amount for such calendar year credited in Shares pursuant to subsection 5.2 hereof. The Deferred Compensation Account shall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80"/>
          </w:cols>
          <w:pgMar w:left="320" w:top="1440" w:right="399" w:bottom="1440" w:gutter="0" w:footer="0" w:header="0"/>
        </w:sectPr>
      </w:pPr>
    </w:p>
    <w:bookmarkStart w:id="219" w:name="page220"/>
    <w:bookmarkEnd w:id="219"/>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22"/>
          <w:szCs w:val="22"/>
          <w:color w:val="auto"/>
        </w:rPr>
        <w:t>be denominated in U.S. dollars, rounded to the nearest whole cent. For each month, Deferred Amounts allocated to a Deferred Compensation Account pursuant to subsection 5.1 hereof shall be credited to the Deferred Compensation Account as of the last Business Day of the month.</w:t>
      </w:r>
    </w:p>
    <w:p>
      <w:pPr>
        <w:spacing w:after="0" w:line="191"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u w:val="single" w:color="auto"/>
          <w:color w:val="auto"/>
        </w:rPr>
        <w:t>7.2. Share Account</w:t>
      </w:r>
      <w:r>
        <w:rPr>
          <w:rFonts w:ascii="Arial" w:cs="Arial" w:eastAsia="Arial" w:hAnsi="Arial"/>
          <w:sz w:val="22"/>
          <w:szCs w:val="22"/>
          <w:color w:val="auto"/>
        </w:rPr>
        <w:t>. The Company shall maintain a Share Account for each Deferred Stock Participant and for each Monthly Deferral Participant who elects to have a Deferred Amount credited in Shares pursuant to subsection 5.2 hereof. The Share Account shall be denominated in Shares and maintained in fractions rounded to three (3) decimal places. Shares allocated to each Share Account shall be hypothetical and not issued or transferred by the Company until payment is made pursuant to Section 8 hereof.</w:t>
      </w:r>
    </w:p>
    <w:p>
      <w:pPr>
        <w:spacing w:after="0" w:line="206" w:lineRule="exact"/>
        <w:rPr>
          <w:sz w:val="20"/>
          <w:szCs w:val="20"/>
          <w:color w:val="auto"/>
        </w:rPr>
      </w:pPr>
    </w:p>
    <w:p>
      <w:pPr>
        <w:ind w:right="160" w:firstLine="648"/>
        <w:spacing w:after="0" w:line="257" w:lineRule="auto"/>
        <w:rPr>
          <w:sz w:val="20"/>
          <w:szCs w:val="20"/>
          <w:color w:val="auto"/>
        </w:rPr>
      </w:pPr>
      <w:r>
        <w:rPr>
          <w:rFonts w:ascii="Arial" w:cs="Arial" w:eastAsia="Arial" w:hAnsi="Arial"/>
          <w:sz w:val="22"/>
          <w:szCs w:val="22"/>
          <w:color w:val="auto"/>
        </w:rPr>
        <w:t>For each month, Deferred Amounts allocated to a Share Account pursuant to subsection 5.2 hereof shall be credited to the Share Account as of the last Business Day of the month. Shares and, if necessary, fractional Shares, shall be credited based upon the average of the high and low price of Shares on the New York Stock Exchange on the Valuation Date for that month.</w:t>
      </w:r>
    </w:p>
    <w:p>
      <w:pPr>
        <w:spacing w:after="0" w:line="199"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u w:val="single" w:color="auto"/>
          <w:color w:val="auto"/>
        </w:rPr>
        <w:t>7.3. Accrual of Company Credit</w:t>
      </w:r>
      <w:r>
        <w:rPr>
          <w:rFonts w:ascii="Arial" w:cs="Arial" w:eastAsia="Arial" w:hAnsi="Arial"/>
          <w:sz w:val="22"/>
          <w:szCs w:val="22"/>
          <w:color w:val="auto"/>
        </w:rPr>
        <w:t>. The Treasurer of the Company shall determine the annual rate of Company Credit on or before December 31 of each calendar year. This rate shall be effective for the following calendar year. The Company Credit shall accrue monthly, at one-twelfth of the applicable annual rate, on all amounts credited to a Participant's Deferred Compensation Account, including the Company Credits for prior years. The Company Credit shall not accrue on any amount distributed to a Participant (or to the Participant's Beneficiary) during the month for which the accrual is determined, except where an amount is distributed to a Beneficiary in the month of the Participant's death. The Company Credit for each year shall be credited to each Deferred Compensation Account as of December 31 of that year and shall be compounded monthly.</w:t>
      </w:r>
    </w:p>
    <w:p>
      <w:pPr>
        <w:spacing w:after="0" w:line="209" w:lineRule="exact"/>
        <w:rPr>
          <w:sz w:val="20"/>
          <w:szCs w:val="20"/>
          <w:color w:val="auto"/>
        </w:rPr>
      </w:pPr>
    </w:p>
    <w:p>
      <w:pPr>
        <w:ind w:right="40" w:firstLine="648"/>
        <w:spacing w:after="0" w:line="268" w:lineRule="auto"/>
        <w:rPr>
          <w:sz w:val="20"/>
          <w:szCs w:val="20"/>
          <w:color w:val="auto"/>
        </w:rPr>
      </w:pPr>
      <w:r>
        <w:rPr>
          <w:rFonts w:ascii="Arial" w:cs="Arial" w:eastAsia="Arial" w:hAnsi="Arial"/>
          <w:sz w:val="21"/>
          <w:szCs w:val="21"/>
          <w:u w:val="single" w:color="auto"/>
          <w:color w:val="auto"/>
        </w:rPr>
        <w:t>7.4. Cash Dividends</w:t>
      </w:r>
      <w:r>
        <w:rPr>
          <w:rFonts w:ascii="Arial" w:cs="Arial" w:eastAsia="Arial" w:hAnsi="Arial"/>
          <w:sz w:val="21"/>
          <w:szCs w:val="21"/>
          <w:color w:val="auto"/>
        </w:rPr>
        <w:t>. Cash dividends paid on Shares shall be deemed to have been paid on the Shares allocated to each Participant's Share Account as if the allocated Shares were actual Shares issued and outstanding on the Dividend Record Date. An amount equal to the amount of such dividends shall be credited in Shares to each Share Account as of the last Business Day of each month in which a Dividend Payment Date occurs, based upon the average of the high and low prices for Shares on the New York Stock Exchange on the Valuation Date for that month.</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22"/>
          <w:szCs w:val="22"/>
          <w:u w:val="single" w:color="auto"/>
          <w:color w:val="auto"/>
        </w:rPr>
        <w:t>7.5. Capital Adjustments</w:t>
      </w:r>
      <w:r>
        <w:rPr>
          <w:rFonts w:ascii="Arial" w:cs="Arial" w:eastAsia="Arial" w:hAnsi="Arial"/>
          <w:sz w:val="22"/>
          <w:szCs w:val="22"/>
          <w:color w:val="auto"/>
        </w:rPr>
        <w:t>. The number of Shares referred to in Sections 1.2 and 6 hereof and the number of Shares allocated to each Share Account shall be adjusted by the Committee, as it deems appropriate in its discretion, in the event of any subdivision or combination of Shares or any stock dividend, stock split, reorganization, recapitalization, or consolidation or merger with Eli Lilly and Company as the surviving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40" w:right="359" w:bottom="1440" w:gutter="0" w:footer="0" w:header="0"/>
        </w:sectPr>
      </w:pPr>
    </w:p>
    <w:bookmarkStart w:id="220" w:name="page221"/>
    <w:bookmarkEnd w:id="220"/>
    <w:p>
      <w:pPr>
        <w:spacing w:after="0" w:line="145" w:lineRule="exact"/>
        <w:rPr>
          <w:sz w:val="20"/>
          <w:szCs w:val="20"/>
          <w:color w:val="auto"/>
        </w:rPr>
      </w:pPr>
    </w:p>
    <w:p>
      <w:pPr>
        <w:ind w:right="260"/>
        <w:spacing w:after="0" w:line="285" w:lineRule="auto"/>
        <w:rPr>
          <w:sz w:val="20"/>
          <w:szCs w:val="20"/>
          <w:color w:val="auto"/>
        </w:rPr>
      </w:pPr>
      <w:r>
        <w:rPr>
          <w:rFonts w:ascii="Arial" w:cs="Arial" w:eastAsia="Arial" w:hAnsi="Arial"/>
          <w:sz w:val="22"/>
          <w:szCs w:val="22"/>
          <w:color w:val="auto"/>
        </w:rPr>
        <w:t>corporation, or if additional shares or new or different shares or other securities of the Company or any other issuer are distributed with respect to Shares through a spin-off or other extraordinary distribution.</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u w:val="single" w:color="auto"/>
          <w:color w:val="auto"/>
        </w:rPr>
        <w:t>7.6. Account Statements</w:t>
      </w:r>
      <w:r>
        <w:rPr>
          <w:rFonts w:ascii="Arial" w:cs="Arial" w:eastAsia="Arial" w:hAnsi="Arial"/>
          <w:sz w:val="22"/>
          <w:szCs w:val="22"/>
          <w:color w:val="auto"/>
        </w:rPr>
        <w:t>. Within a reasonable time following the end of each calendar year, the Company shall render an annual statement to each Participant. The annual statement shall report the number of Shares credited to the Participant's Share Account as of December 31 of that year and the dollar amount, if any, credited to the Participant's Deferred Compensation Account as of December 31 of that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b w:val="1"/>
          <w:bCs w:val="1"/>
          <w:u w:val="single" w:color="auto"/>
          <w:color w:val="auto"/>
        </w:rPr>
        <w:t>Payment Provisions</w:t>
      </w:r>
      <w:r>
        <w:rPr>
          <w:rFonts w:ascii="Arial" w:cs="Arial" w:eastAsia="Arial" w:hAnsi="Arial"/>
          <w:sz w:val="22"/>
          <w:szCs w:val="22"/>
          <w:b w:val="1"/>
          <w:bCs w:val="1"/>
          <w:color w:val="auto"/>
        </w:rPr>
        <w:t>.</w:t>
      </w:r>
    </w:p>
    <w:p>
      <w:pPr>
        <w:spacing w:after="0" w:line="249"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u w:val="single" w:color="auto"/>
          <w:color w:val="auto"/>
        </w:rPr>
        <w:t>8.1. Method of Payment</w:t>
      </w:r>
      <w:r>
        <w:rPr>
          <w:rFonts w:ascii="Arial" w:cs="Arial" w:eastAsia="Arial" w:hAnsi="Arial"/>
          <w:sz w:val="22"/>
          <w:szCs w:val="22"/>
          <w:color w:val="auto"/>
        </w:rPr>
        <w:t>. All payments to a Participant (or to a Participant's Beneficiary) with respect to the Participant's Deferred Compensation Account shall be paid in cash. Except as provided in Section 8.5, all payments to a Participant (or to a Participant's Beneficiary) with respect to the Participant's Share Account shall be paid in Shares, at which time the Shares shall be issued or transferred on the books of the Company.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Share Account shall be rounded up to the next whole Share and that number of whole Shares shall be issued or transferred. If Shares are not traded on the New York Stock Exchange on any day on which a payment of Shares is to be made under the Plan, then that payment shall be made on the next day on which Shares are traded on the New York Stock Exchange.</w:t>
      </w:r>
    </w:p>
    <w:p>
      <w:pPr>
        <w:spacing w:after="0" w:line="232" w:lineRule="exact"/>
        <w:rPr>
          <w:sz w:val="20"/>
          <w:szCs w:val="20"/>
          <w:color w:val="auto"/>
        </w:rPr>
      </w:pPr>
    </w:p>
    <w:p>
      <w:pPr>
        <w:ind w:right="320" w:firstLine="648"/>
        <w:spacing w:after="0" w:line="257" w:lineRule="auto"/>
        <w:rPr>
          <w:sz w:val="20"/>
          <w:szCs w:val="20"/>
          <w:color w:val="auto"/>
        </w:rPr>
      </w:pPr>
      <w:r>
        <w:rPr>
          <w:rFonts w:ascii="Arial" w:cs="Arial" w:eastAsia="Arial" w:hAnsi="Arial"/>
          <w:sz w:val="22"/>
          <w:szCs w:val="22"/>
          <w:u w:val="single" w:color="auto"/>
          <w:color w:val="auto"/>
        </w:rPr>
        <w:t>8.2. Payment Options</w:t>
      </w:r>
      <w:r>
        <w:rPr>
          <w:rFonts w:ascii="Arial" w:cs="Arial" w:eastAsia="Arial" w:hAnsi="Arial"/>
          <w:sz w:val="22"/>
          <w:szCs w:val="22"/>
          <w:color w:val="auto"/>
        </w:rPr>
        <w:t>. Prior to each calendar year, or within 30 days after becoming a Participant, the Participant shall select a payment election with respect to the payment of one or both of the Participant's Individual Accounts from the following payment elections:</w:t>
      </w:r>
    </w:p>
    <w:p>
      <w:pPr>
        <w:spacing w:after="0" w:line="200" w:lineRule="exact"/>
        <w:rPr>
          <w:sz w:val="20"/>
          <w:szCs w:val="20"/>
          <w:color w:val="auto"/>
        </w:rPr>
      </w:pPr>
    </w:p>
    <w:p>
      <w:pPr>
        <w:ind w:right="500" w:firstLine="1304"/>
        <w:spacing w:after="0" w:line="256" w:lineRule="auto"/>
        <w:tabs>
          <w:tab w:leader="none" w:pos="154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lump sum in January of the calendar year immediately following the calendar year in which the Participant ceases to be a Director;</w:t>
      </w:r>
    </w:p>
    <w:p>
      <w:pPr>
        <w:ind w:right="900" w:firstLine="1304"/>
        <w:spacing w:after="0" w:line="259" w:lineRule="auto"/>
        <w:tabs>
          <w:tab w:leader="none" w:pos="159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lump sum in January of the second calendar year following the calendar year in which the Participant ceases to be a Director;</w:t>
      </w:r>
    </w:p>
    <w:p>
      <w:pPr>
        <w:spacing w:after="0" w:line="196" w:lineRule="exact"/>
        <w:rPr>
          <w:rFonts w:ascii="Arial" w:cs="Arial" w:eastAsia="Arial" w:hAnsi="Arial"/>
          <w:sz w:val="22"/>
          <w:szCs w:val="22"/>
          <w:color w:val="auto"/>
        </w:rPr>
      </w:pPr>
    </w:p>
    <w:p>
      <w:pPr>
        <w:ind w:right="240" w:firstLine="1304"/>
        <w:spacing w:after="0" w:line="257" w:lineRule="auto"/>
        <w:tabs>
          <w:tab w:leader="none" w:pos="16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annual (or, in the case of the Deferred Compensation Account only, monthly) installments over a period of two to ten years commencing in January of the calendar year following the calendar year during which the Participant ceases to be a Director; or</w:t>
      </w:r>
    </w:p>
    <w:p>
      <w:pPr>
        <w:spacing w:after="0" w:line="213" w:lineRule="exact"/>
        <w:rPr>
          <w:rFonts w:ascii="Arial" w:cs="Arial" w:eastAsia="Arial" w:hAnsi="Arial"/>
          <w:sz w:val="22"/>
          <w:szCs w:val="22"/>
          <w:color w:val="auto"/>
        </w:rPr>
      </w:pPr>
    </w:p>
    <w:p>
      <w:pPr>
        <w:ind w:right="460" w:firstLine="1304"/>
        <w:spacing w:after="0" w:line="272" w:lineRule="auto"/>
        <w:tabs>
          <w:tab w:leader="none" w:pos="165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annual (or in the case of the Deferred Compensation Account only, monthly) installments over a period of two to ten years commencing in January of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second calendar year following the calendar year in which the Participant ceases to be a director.</w:t>
      </w:r>
    </w:p>
    <w:p>
      <w:pPr>
        <w:spacing w:after="0" w:line="260"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If a payment option described in paragraphs (i) or (ii), above, has been elected, the amount of the lump sum with respect to the Participant's Deferred Compensation Account shall be equal to the amount credited to the Participant's Deferred Compensation Account as of the December 31 immediately preceding the date of the payment, and the amount of the lump sum with respect to the Participant's Share Account shall be equal to the number of Shares credited to the Share Account as of the December 31 immediately preceding the date of payment. If a payment option described in paragraphs (iii) or (iv), above, has been elected, the amount of each installment with respect to the Participant's Deferred Compensation Account shall be equal to the amount credited to the Participant's Deferred Compensation Account as of the last day of the month immediately preceding the date of a monthly installment payment, or the December 31 immediately preceding the date of an annual installment payment, divided by the number of installment payments that have not yet been made. The amount of each installment with respect to the Participant's Share Account shall be equal to the number of Shares credited to the Participant's Share Account as of the December 31 immediately preceding the date of an annual installment payment, divided by the number of installment payments that have not yet been made.</w:t>
      </w:r>
    </w:p>
    <w:p>
      <w:pPr>
        <w:spacing w:after="0" w:line="22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A Participant may elect that his or her final payment election may control over all prior payment elections. If the Participant fails to elect a payment option, the amount credited to the Participant's Individual Account shall be distributed in a lump sum in accordance with the payment option described in paragraph (i) above. At the time of any scheduled payment, if the amount credited to a Participant's Deferred Compensation Account or the value of Shares credited to a Participant's Share Account is less than $25,000, the Committee, in its sole discretion, may pay out the Account in a lump sum.</w:t>
      </w:r>
    </w:p>
    <w:p>
      <w:pPr>
        <w:spacing w:after="0" w:line="20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u w:val="single" w:color="auto"/>
          <w:color w:val="auto"/>
        </w:rPr>
        <w:t>8.3. Payment Upon Death</w:t>
      </w:r>
      <w:r>
        <w:rPr>
          <w:rFonts w:ascii="Arial" w:cs="Arial" w:eastAsia="Arial" w:hAnsi="Arial"/>
          <w:sz w:val="22"/>
          <w:szCs w:val="22"/>
          <w:color w:val="auto"/>
        </w:rPr>
        <w:t>. Within a reasonable period of time following the death of a Participant, the amount credited to the Participant's Deferred Compensation Account and the Shares credited to the Participant's Share Account shall be paid by the Company in a lump sum to the Participant's Beneficiary. For purposes of this subsection 8.3, the amount credited to the Participant's Deferred Compensation Account and the number of Shares credited to the Participant's Share Account shall be determined as of the later of the date of death or the last Business Day of the month prior to the month in which the payment occurs.</w:t>
      </w:r>
    </w:p>
    <w:p>
      <w:pPr>
        <w:spacing w:after="0" w:line="208" w:lineRule="exact"/>
        <w:rPr>
          <w:sz w:val="20"/>
          <w:szCs w:val="20"/>
          <w:color w:val="auto"/>
        </w:rPr>
      </w:pPr>
    </w:p>
    <w:p>
      <w:pPr>
        <w:ind w:right="560" w:firstLine="648"/>
        <w:spacing w:after="0" w:line="257" w:lineRule="auto"/>
        <w:rPr>
          <w:sz w:val="20"/>
          <w:szCs w:val="20"/>
          <w:color w:val="auto"/>
        </w:rPr>
      </w:pPr>
      <w:r>
        <w:rPr>
          <w:rFonts w:ascii="Arial" w:cs="Arial" w:eastAsia="Arial" w:hAnsi="Arial"/>
          <w:sz w:val="22"/>
          <w:szCs w:val="22"/>
          <w:color w:val="auto"/>
        </w:rPr>
        <w:t>A Participant may designate the Beneficiary, in writing, in a form acceptable to the Committee before the Participant's death. A Participant may revoke a prior designation of Beneficiary and may also designate a new Beneficiary without the consent of the previously designated Beneficiary, provided that such revocation and new designation (if any) are in writing, in a form acceptable to the Committee, and filed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5" w:lineRule="exact"/>
        <w:rPr>
          <w:sz w:val="20"/>
          <w:szCs w:val="20"/>
          <w:color w:val="auto"/>
        </w:rPr>
      </w:pPr>
    </w:p>
    <w:p>
      <w:pPr>
        <w:ind w:right="100"/>
        <w:spacing w:after="0" w:line="264" w:lineRule="auto"/>
        <w:rPr>
          <w:sz w:val="20"/>
          <w:szCs w:val="20"/>
          <w:color w:val="auto"/>
        </w:rPr>
      </w:pPr>
      <w:r>
        <w:rPr>
          <w:rFonts w:ascii="Arial" w:cs="Arial" w:eastAsia="Arial" w:hAnsi="Arial"/>
          <w:sz w:val="22"/>
          <w:szCs w:val="22"/>
          <w:color w:val="auto"/>
        </w:rPr>
        <w:t>with the Committee before the Participant's death. If the Participant does not designate a Beneficiary, or if no designated Beneficiary survives the Participant, any amount not distributed to the Participant during the Participant's life shall be paid to the Participant's estate in a lump sum in accordance with this subsection 8.3.</w:t>
      </w:r>
    </w:p>
    <w:p>
      <w:pPr>
        <w:spacing w:after="0" w:line="19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u w:val="single" w:color="auto"/>
          <w:color w:val="auto"/>
        </w:rPr>
        <w:t>8.4. Payment on Unforeseeable Emergency</w:t>
      </w:r>
      <w:r>
        <w:rPr>
          <w:rFonts w:ascii="Arial" w:cs="Arial" w:eastAsia="Arial" w:hAnsi="Arial"/>
          <w:sz w:val="22"/>
          <w:szCs w:val="22"/>
          <w:color w:val="auto"/>
        </w:rPr>
        <w:t>. The Committee may, in its sole discretion, direct payment to a Participant of all or of any portion of the Participant's Individual Account balance, notwithstanding an election under subsection 8.2 above, at any time that it determines that such Participant has an unforeseeable emergency, and then only to the extent reasonably necessary to meet the emergency. For purposes of this section, "unforeseeable emergency" means severe financial hardship to the Participant resulting from a sudden and unexpected illness or accident of the Participant or of a dependent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 --</w:t>
      </w:r>
    </w:p>
    <w:p>
      <w:pPr>
        <w:spacing w:after="0" w:line="207" w:lineRule="exact"/>
        <w:rPr>
          <w:sz w:val="20"/>
          <w:szCs w:val="20"/>
          <w:color w:val="auto"/>
        </w:rPr>
      </w:pPr>
    </w:p>
    <w:p>
      <w:pPr>
        <w:ind w:left="1560" w:hanging="256"/>
        <w:spacing w:after="0"/>
        <w:tabs>
          <w:tab w:leader="none" w:pos="15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through reimbursement or compensation by insurance or otherwise;</w:t>
      </w:r>
    </w:p>
    <w:p>
      <w:pPr>
        <w:spacing w:after="0" w:line="246" w:lineRule="exact"/>
        <w:rPr>
          <w:rFonts w:ascii="Arial" w:cs="Arial" w:eastAsia="Arial" w:hAnsi="Arial"/>
          <w:sz w:val="22"/>
          <w:szCs w:val="22"/>
          <w:color w:val="auto"/>
        </w:rPr>
      </w:pPr>
    </w:p>
    <w:p>
      <w:pPr>
        <w:ind w:right="180" w:firstLine="1304"/>
        <w:spacing w:after="0" w:line="272" w:lineRule="auto"/>
        <w:tabs>
          <w:tab w:leader="none" w:pos="15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by liquidation of the Participant's assets, to the extent the liquidation of such assets would not itself cause severe financial hardship; or</w:t>
      </w:r>
    </w:p>
    <w:p>
      <w:pPr>
        <w:spacing w:after="0" w:line="182" w:lineRule="exact"/>
        <w:rPr>
          <w:rFonts w:ascii="Arial" w:cs="Arial" w:eastAsia="Arial" w:hAnsi="Arial"/>
          <w:sz w:val="22"/>
          <w:szCs w:val="22"/>
          <w:color w:val="auto"/>
        </w:rPr>
      </w:pPr>
    </w:p>
    <w:p>
      <w:pPr>
        <w:ind w:left="1660" w:hanging="356"/>
        <w:spacing w:after="0"/>
        <w:tabs>
          <w:tab w:leader="none" w:pos="16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by cessation of deferrals under the Plan.</w:t>
      </w:r>
    </w:p>
    <w:p>
      <w:pPr>
        <w:spacing w:after="0" w:line="247" w:lineRule="exact"/>
        <w:rPr>
          <w:sz w:val="20"/>
          <w:szCs w:val="20"/>
          <w:color w:val="auto"/>
        </w:rPr>
      </w:pPr>
    </w:p>
    <w:p>
      <w:pPr>
        <w:ind w:right="1120" w:firstLine="648"/>
        <w:spacing w:after="0" w:line="285" w:lineRule="auto"/>
        <w:rPr>
          <w:sz w:val="20"/>
          <w:szCs w:val="20"/>
          <w:color w:val="auto"/>
        </w:rPr>
      </w:pPr>
      <w:r>
        <w:rPr>
          <w:rFonts w:ascii="Arial" w:cs="Arial" w:eastAsia="Arial" w:hAnsi="Arial"/>
          <w:sz w:val="22"/>
          <w:szCs w:val="22"/>
          <w:color w:val="auto"/>
        </w:rPr>
        <w:t>Examples of what are not considered to be unforeseeable emergencies include the need to send a Participant's child to college or the desire to purchase a home.</w:t>
      </w:r>
    </w:p>
    <w:p>
      <w:pPr>
        <w:spacing w:after="0" w:line="169" w:lineRule="exact"/>
        <w:rPr>
          <w:sz w:val="20"/>
          <w:szCs w:val="20"/>
          <w:color w:val="auto"/>
        </w:rPr>
      </w:pPr>
    </w:p>
    <w:p>
      <w:pPr>
        <w:ind w:right="120" w:firstLine="648"/>
        <w:spacing w:after="0" w:line="265" w:lineRule="auto"/>
        <w:rPr>
          <w:sz w:val="20"/>
          <w:szCs w:val="20"/>
          <w:color w:val="auto"/>
        </w:rPr>
      </w:pPr>
      <w:r>
        <w:rPr>
          <w:rFonts w:ascii="Arial" w:cs="Arial" w:eastAsia="Arial" w:hAnsi="Arial"/>
          <w:sz w:val="21"/>
          <w:szCs w:val="21"/>
          <w:u w:val="single" w:color="auto"/>
          <w:color w:val="auto"/>
        </w:rPr>
        <w:t>8.5. Payment of Cash in Lieu of Shares</w:t>
      </w:r>
      <w:r>
        <w:rPr>
          <w:rFonts w:ascii="Arial" w:cs="Arial" w:eastAsia="Arial" w:hAnsi="Arial"/>
          <w:sz w:val="21"/>
          <w:szCs w:val="21"/>
          <w:color w:val="auto"/>
        </w:rPr>
        <w:t xml:space="preserve"> . If at any time the Committee shall determine that payment of Shares to a Participant (or a Participant’s Beneficiary) or the ownership or subsequent disposition of such Shares by such Participant or Beneficiary may violate or conflict with any applicable law or regulation, the Committee may, in its discretion, pay all or a portion of the Participant’s Share Account in cash. In this case, the amount of cash shall be determined with reference to the average of the high and low trading price for Shares on the December 31 next preceding the date of payment, or if Shares are not traded on that day, the next preceding trading day.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Ownership of Shares.</w:t>
      </w:r>
    </w:p>
    <w:p>
      <w:pPr>
        <w:spacing w:after="0" w:line="249"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color w:val="auto"/>
        </w:rPr>
        <w:t>A Participant shall have no rights as a shareholder of the Company with respect to any Shares until the Shares are issued or transferred to the Participant on the books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b w:val="1"/>
          <w:bCs w:val="1"/>
          <w:u w:val="single" w:color="auto"/>
          <w:color w:val="auto"/>
        </w:rPr>
        <w:t>Prohibition Against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40" w:right="399" w:bottom="1440" w:gutter="0" w:footer="0" w:header="0"/>
        </w:sectPr>
      </w:pPr>
    </w:p>
    <w:bookmarkStart w:id="223" w:name="page224"/>
    <w:bookmarkEnd w:id="223"/>
    <w:p>
      <w:pPr>
        <w:spacing w:after="0" w:line="38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The right of a Participant to receive payments of Shares and cash under the Plan may not be transferred except by will or applicable laws of descent and distribution. A Participant may not assign, sell, pledge, or otherwise transfer Shares or cash to which he is entitled hereunder prior to transfer or payment thereof to the Participant, and any such attempted assignment, sale, pledge or transfer shall be void.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General Provisions.</w:t>
      </w:r>
    </w:p>
    <w:p>
      <w:pPr>
        <w:spacing w:after="0" w:line="249" w:lineRule="exact"/>
        <w:rPr>
          <w:sz w:val="20"/>
          <w:szCs w:val="20"/>
          <w:color w:val="auto"/>
        </w:rPr>
      </w:pPr>
    </w:p>
    <w:p>
      <w:pPr>
        <w:ind w:right="260" w:firstLine="648"/>
        <w:spacing w:after="0" w:line="264" w:lineRule="auto"/>
        <w:rPr>
          <w:sz w:val="20"/>
          <w:szCs w:val="20"/>
          <w:color w:val="auto"/>
        </w:rPr>
      </w:pPr>
      <w:r>
        <w:rPr>
          <w:rFonts w:ascii="Arial" w:cs="Arial" w:eastAsia="Arial" w:hAnsi="Arial"/>
          <w:sz w:val="22"/>
          <w:szCs w:val="22"/>
          <w:u w:val="single" w:color="auto"/>
          <w:color w:val="auto"/>
        </w:rPr>
        <w:t>11.1. Director's Rights Unsecured</w:t>
      </w:r>
      <w:r>
        <w:rPr>
          <w:rFonts w:ascii="Arial" w:cs="Arial" w:eastAsia="Arial" w:hAnsi="Arial"/>
          <w:sz w:val="22"/>
          <w:szCs w:val="22"/>
          <w:color w:val="auto"/>
        </w:rPr>
        <w:t>. The Plan is unfunded. The right of any Participant to receive payments of cash or Shares under the provisions of the Plan shall be an unsecured claim against the general assets of the Company.</w:t>
      </w:r>
    </w:p>
    <w:p>
      <w:pPr>
        <w:spacing w:after="0" w:line="191" w:lineRule="exact"/>
        <w:rPr>
          <w:sz w:val="20"/>
          <w:szCs w:val="20"/>
          <w:color w:val="auto"/>
        </w:rPr>
      </w:pPr>
    </w:p>
    <w:p>
      <w:pPr>
        <w:ind w:right="780" w:firstLine="648"/>
        <w:spacing w:after="0" w:line="257" w:lineRule="auto"/>
        <w:rPr>
          <w:sz w:val="20"/>
          <w:szCs w:val="20"/>
          <w:color w:val="auto"/>
        </w:rPr>
      </w:pPr>
      <w:r>
        <w:rPr>
          <w:rFonts w:ascii="Arial" w:cs="Arial" w:eastAsia="Arial" w:hAnsi="Arial"/>
          <w:sz w:val="22"/>
          <w:szCs w:val="22"/>
          <w:u w:val="single" w:color="auto"/>
          <w:color w:val="auto"/>
        </w:rPr>
        <w:t>11.2. Administration</w:t>
      </w:r>
      <w:r>
        <w:rPr>
          <w:rFonts w:ascii="Arial" w:cs="Arial" w:eastAsia="Arial" w:hAnsi="Arial"/>
          <w:sz w:val="22"/>
          <w:szCs w:val="22"/>
          <w:color w:val="auto"/>
        </w:rPr>
        <w:t>. Except as otherwise provided in the Plan, the Plan shall be administered by the Committee, which shall have the final authority to adopt rules and regulations for carrying out the Plan, and to interpret, construe, and implement the provisions of the Plan.</w:t>
      </w:r>
    </w:p>
    <w:p>
      <w:pPr>
        <w:spacing w:after="0" w:line="21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u w:val="single" w:color="auto"/>
          <w:color w:val="auto"/>
        </w:rPr>
        <w:t>11.3. Legal Opinions</w:t>
      </w:r>
      <w:r>
        <w:rPr>
          <w:rFonts w:ascii="Arial" w:cs="Arial" w:eastAsia="Arial" w:hAnsi="Arial"/>
          <w:sz w:val="22"/>
          <w:szCs w:val="22"/>
          <w:color w:val="auto"/>
        </w:rPr>
        <w:t xml:space="preserve"> . The Committee may consult with legal counsel, who may be counsel for the Company or other counsel, with respect to its obligations and duties under the Plan, or with respect to any action, proceeding, or any questions of law, and shall not be liable with respect to any action taken, or omitted, by it in good faith pursuant to the advice of such counsel.</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u w:val="single" w:color="auto"/>
          <w:color w:val="auto"/>
        </w:rPr>
        <w:t>11.4. Liability</w:t>
      </w:r>
      <w:r>
        <w:rPr>
          <w:rFonts w:ascii="Arial" w:cs="Arial" w:eastAsia="Arial" w:hAnsi="Arial"/>
          <w:sz w:val="22"/>
          <w:szCs w:val="22"/>
          <w:color w:val="auto"/>
        </w:rPr>
        <w:t>. Any decision made or action taken by the Board of Directors, the Committee, or any employee of the Company or any of its subsidiaries, arising out of or in connection with the construction, administration, interpretation, or effect of the Plan, shall be absolutely discretionary, and shall be conclusive and binding on all parties. Neither the Committee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spacing w:after="0" w:line="221" w:lineRule="exact"/>
        <w:rPr>
          <w:sz w:val="20"/>
          <w:szCs w:val="20"/>
          <w:color w:val="auto"/>
        </w:rPr>
      </w:pPr>
    </w:p>
    <w:p>
      <w:pPr>
        <w:ind w:right="80" w:firstLine="648"/>
        <w:spacing w:after="0" w:line="275" w:lineRule="auto"/>
        <w:rPr>
          <w:sz w:val="20"/>
          <w:szCs w:val="20"/>
          <w:color w:val="auto"/>
        </w:rPr>
      </w:pPr>
      <w:r>
        <w:rPr>
          <w:rFonts w:ascii="Arial" w:cs="Arial" w:eastAsia="Arial" w:hAnsi="Arial"/>
          <w:sz w:val="21"/>
          <w:szCs w:val="21"/>
          <w:u w:val="single" w:color="auto"/>
          <w:color w:val="auto"/>
        </w:rPr>
        <w:t>11.5. Withholding</w:t>
      </w:r>
      <w:r>
        <w:rPr>
          <w:rFonts w:ascii="Arial" w:cs="Arial" w:eastAsia="Arial" w:hAnsi="Arial"/>
          <w:sz w:val="21"/>
          <w:szCs w:val="21"/>
          <w:color w:val="auto"/>
        </w:rPr>
        <w:t>. The Company shall have the right to deduct from all payments hereunder any taxes required by law to be withheld from such payments. The recipients of such payments shall bear all taxes on amounts paid under the Plan to the extent that no taxes are withheld thereon, irrespective of whether withholding is required.</w:t>
      </w:r>
    </w:p>
    <w:p>
      <w:pPr>
        <w:spacing w:after="0" w:line="1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22"/>
          <w:szCs w:val="22"/>
          <w:u w:val="single" w:color="auto"/>
          <w:color w:val="auto"/>
        </w:rPr>
        <w:t>11.6. Legal Holidays</w:t>
      </w:r>
      <w:r>
        <w:rPr>
          <w:rFonts w:ascii="Arial" w:cs="Arial" w:eastAsia="Arial" w:hAnsi="Arial"/>
          <w:sz w:val="22"/>
          <w:szCs w:val="22"/>
          <w:color w:val="auto"/>
        </w:rPr>
        <w:t>. If any day on which action under the Plan must be taken falls on a Saturday, Sunday, or legal holiday, such action may be taken on the next succeeding day that is not a Saturday, Sunday, or legal holiday; provided, that this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145" w:lineRule="exact"/>
        <w:rPr>
          <w:sz w:val="20"/>
          <w:szCs w:val="20"/>
          <w:color w:val="auto"/>
        </w:rPr>
      </w:pPr>
    </w:p>
    <w:p>
      <w:pPr>
        <w:ind w:right="320"/>
        <w:spacing w:after="0" w:line="285" w:lineRule="auto"/>
        <w:rPr>
          <w:sz w:val="20"/>
          <w:szCs w:val="20"/>
          <w:color w:val="auto"/>
        </w:rPr>
      </w:pPr>
      <w:r>
        <w:rPr>
          <w:rFonts w:ascii="Arial" w:cs="Arial" w:eastAsia="Arial" w:hAnsi="Arial"/>
          <w:sz w:val="22"/>
          <w:szCs w:val="22"/>
          <w:color w:val="auto"/>
        </w:rPr>
        <w:t>subsection 11.8 shall not permit any action that must be taken in one calendar year to be taken in any subsequent calendar year.</w:t>
      </w:r>
    </w:p>
    <w:p>
      <w:pPr>
        <w:spacing w:after="0" w:line="169"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u w:val="single" w:color="auto"/>
          <w:color w:val="auto"/>
        </w:rPr>
        <w:t>11.7. Participant Who Becomes Employee.</w:t>
      </w:r>
      <w:r>
        <w:rPr>
          <w:rFonts w:ascii="Arial" w:cs="Arial" w:eastAsia="Arial" w:hAnsi="Arial"/>
          <w:sz w:val="22"/>
          <w:szCs w:val="22"/>
          <w:color w:val="auto"/>
        </w:rPr>
        <w:t xml:space="preserve"> If a Participant becomes an employee of the Company but remains a Director, he or she will no longer be entitled to new deferrals under the Plan as a Deferred Stock Participant or Monthly Deferral Participant. However, the individual’s Account balances will continue to be administered under the Plan (including eligibility for the Company Credit and Cash Dividends under Sections 7.3 and 7.4) until they are paid out in accordance with Section 8.</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Term, Amendment, Suspension, and Termination.</w:t>
      </w:r>
    </w:p>
    <w:p>
      <w:pPr>
        <w:spacing w:after="0" w:line="249" w:lineRule="exact"/>
        <w:rPr>
          <w:sz w:val="20"/>
          <w:szCs w:val="20"/>
          <w:color w:val="auto"/>
        </w:rPr>
      </w:pPr>
    </w:p>
    <w:p>
      <w:pPr>
        <w:ind w:right="140"/>
        <w:spacing w:after="0" w:line="272" w:lineRule="auto"/>
        <w:rPr>
          <w:sz w:val="20"/>
          <w:szCs w:val="20"/>
          <w:color w:val="auto"/>
        </w:rPr>
      </w:pPr>
      <w:r>
        <w:rPr>
          <w:rFonts w:ascii="Arial" w:cs="Arial" w:eastAsia="Arial" w:hAnsi="Arial"/>
          <w:sz w:val="22"/>
          <w:szCs w:val="22"/>
          <w:color w:val="auto"/>
        </w:rPr>
        <w:t>The Plan shall remain in effect until terminated by the Board of Directors. The Board of Directors shall have the right at any time, and from time to time, to amend, suspend, or terminate the Plan, subject to the following:</w:t>
      </w:r>
    </w:p>
    <w:p>
      <w:pPr>
        <w:spacing w:after="0" w:line="183" w:lineRule="exact"/>
        <w:rPr>
          <w:sz w:val="20"/>
          <w:szCs w:val="20"/>
          <w:color w:val="auto"/>
        </w:rPr>
      </w:pPr>
    </w:p>
    <w:p>
      <w:pPr>
        <w:ind w:right="840" w:firstLine="488"/>
        <w:spacing w:after="0" w:line="285" w:lineRule="auto"/>
        <w:tabs>
          <w:tab w:leader="none" w:pos="73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no amendment or termination shall reduce the number of Shares or the cash balance in an Individual Account;</w:t>
      </w:r>
    </w:p>
    <w:p>
      <w:pPr>
        <w:spacing w:after="0" w:line="384" w:lineRule="exact"/>
        <w:rPr>
          <w:rFonts w:ascii="Arial" w:cs="Arial" w:eastAsia="Arial" w:hAnsi="Arial"/>
          <w:sz w:val="22"/>
          <w:szCs w:val="22"/>
          <w:color w:val="auto"/>
        </w:rPr>
      </w:pPr>
    </w:p>
    <w:p>
      <w:pPr>
        <w:ind w:right="380" w:firstLine="1304"/>
        <w:spacing w:after="0" w:line="272" w:lineRule="auto"/>
        <w:tabs>
          <w:tab w:leader="none" w:pos="1596"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number of Shares allocated annually pursuant to Section 6 hereof may not be changed more frequently than every calendar year; and</w:t>
      </w:r>
    </w:p>
    <w:p>
      <w:pPr>
        <w:spacing w:after="0" w:line="182" w:lineRule="exact"/>
        <w:rPr>
          <w:rFonts w:ascii="Arial" w:cs="Arial" w:eastAsia="Arial" w:hAnsi="Arial"/>
          <w:sz w:val="22"/>
          <w:szCs w:val="22"/>
          <w:color w:val="auto"/>
        </w:rPr>
      </w:pPr>
    </w:p>
    <w:p>
      <w:pPr>
        <w:ind w:right="940" w:firstLine="1304"/>
        <w:spacing w:after="0" w:line="272" w:lineRule="auto"/>
        <w:tabs>
          <w:tab w:leader="none" w:pos="1644"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to the extent required by New York Stock Exchange listing rules or applicable law, material amendments shall be submitted to the Company’s shareholders for approval.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u w:val="single" w:color="auto"/>
          <w:color w:val="auto"/>
        </w:rPr>
        <w:t>Applicable Law.</w:t>
      </w:r>
    </w:p>
    <w:p>
      <w:pPr>
        <w:spacing w:after="0" w:line="262" w:lineRule="exact"/>
        <w:rPr>
          <w:sz w:val="20"/>
          <w:szCs w:val="20"/>
          <w:color w:val="auto"/>
        </w:rPr>
      </w:pPr>
    </w:p>
    <w:p>
      <w:pPr>
        <w:ind w:right="500"/>
        <w:spacing w:after="0" w:line="272" w:lineRule="auto"/>
        <w:rPr>
          <w:sz w:val="20"/>
          <w:szCs w:val="20"/>
          <w:color w:val="auto"/>
        </w:rPr>
      </w:pPr>
      <w:r>
        <w:rPr>
          <w:rFonts w:ascii="Arial" w:cs="Arial" w:eastAsia="Arial" w:hAnsi="Arial"/>
          <w:sz w:val="22"/>
          <w:szCs w:val="22"/>
          <w:color w:val="auto"/>
        </w:rPr>
        <w:t>The Plan shall be governed by, and construed in accordance with, the laws of the State of Indiana, except to the extent that such laws are preempted by Federal law.</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Effective Date.</w:t>
      </w:r>
    </w:p>
    <w:p>
      <w:pPr>
        <w:spacing w:after="0" w:line="249"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The effective date of this Plan is January 1, 1996. Nothing herein shall invalidate or adversely affect any previous election, designation, deferral, or accrual in accordance with the terms of The Lilly Directors' Deferred Compensation Plan or The Lilly Non-Employee Directors' Deferred Stock Plan that were in effect prior to the effective date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40" w:right="379" w:bottom="1440" w:gutter="0" w:footer="0" w:header="0"/>
        </w:sectPr>
      </w:pPr>
    </w:p>
    <w:bookmarkStart w:id="225" w:name="page226"/>
    <w:bookmarkEnd w:id="225"/>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19 Trading Lilly Securities Global Procedure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Principles</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This Trading Lilly Securities Procedure (“</w:t>
      </w:r>
      <w:r>
        <w:rPr>
          <w:rFonts w:ascii="Times New Roman" w:cs="Times New Roman" w:eastAsia="Times New Roman" w:hAnsi="Times New Roman"/>
          <w:sz w:val="18"/>
          <w:szCs w:val="18"/>
          <w:b w:val="1"/>
          <w:bCs w:val="1"/>
          <w:color w:val="auto"/>
        </w:rPr>
        <w:t>Trading Procedure</w:t>
      </w:r>
      <w:r>
        <w:rPr>
          <w:rFonts w:ascii="Times New Roman" w:cs="Times New Roman" w:eastAsia="Times New Roman" w:hAnsi="Times New Roman"/>
          <w:sz w:val="18"/>
          <w:szCs w:val="18"/>
          <w:color w:val="auto"/>
        </w:rPr>
        <w:t xml:space="preserve">”) governs transactions in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and the handling of confidential information about </w:t>
      </w:r>
      <w:r>
        <w:rPr>
          <w:rFonts w:ascii="Times New Roman" w:cs="Times New Roman" w:eastAsia="Times New Roman" w:hAnsi="Times New Roman"/>
          <w:sz w:val="18"/>
          <w:szCs w:val="18"/>
          <w:b w:val="1"/>
          <w:bCs w:val="1"/>
          <w:color w:val="auto"/>
        </w:rPr>
        <w:t xml:space="preserve">Lilly </w:t>
      </w:r>
      <w:r>
        <w:rPr>
          <w:rFonts w:ascii="Times New Roman" w:cs="Times New Roman" w:eastAsia="Times New Roman" w:hAnsi="Times New Roman"/>
          <w:sz w:val="18"/>
          <w:szCs w:val="18"/>
          <w:color w:val="auto"/>
        </w:rPr>
        <w:t>and the companies with which</w:t>
      </w:r>
      <w:r>
        <w:rPr>
          <w:rFonts w:ascii="Times New Roman" w:cs="Times New Roman" w:eastAsia="Times New Roman" w:hAnsi="Times New Roman"/>
          <w:sz w:val="18"/>
          <w:szCs w:val="18"/>
          <w:b w:val="1"/>
          <w:bCs w:val="1"/>
          <w:color w:val="auto"/>
        </w:rPr>
        <w:t xml:space="preserve"> Lilly </w:t>
      </w:r>
      <w:r>
        <w:rPr>
          <w:rFonts w:ascii="Times New Roman" w:cs="Times New Roman" w:eastAsia="Times New Roman" w:hAnsi="Times New Roman"/>
          <w:sz w:val="18"/>
          <w:szCs w:val="18"/>
          <w:color w:val="auto"/>
        </w:rPr>
        <w:t>does business.</w:t>
      </w:r>
      <w:r>
        <w:rPr>
          <w:rFonts w:ascii="Times New Roman" w:cs="Times New Roman" w:eastAsia="Times New Roman" w:hAnsi="Times New Roman"/>
          <w:sz w:val="23"/>
          <w:szCs w:val="23"/>
          <w:color w:val="auto"/>
          <w:vertAlign w:val="superscript"/>
        </w:rPr>
        <w:t>1</w:t>
      </w:r>
    </w:p>
    <w:p>
      <w:pPr>
        <w:spacing w:after="0" w:line="11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Lilly </w:t>
      </w:r>
      <w:r>
        <w:rPr>
          <w:rFonts w:ascii="Times New Roman" w:cs="Times New Roman" w:eastAsia="Times New Roman" w:hAnsi="Times New Roman"/>
          <w:sz w:val="18"/>
          <w:szCs w:val="18"/>
          <w:color w:val="auto"/>
        </w:rPr>
        <w:t>has adopted this Trading Procedure to promote compliance with federal, state and foreign securities laws that prohibit certain persons who are 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xml:space="preserve"> about a company from: (i) trading in securities of that company; or (ii) providing </w:t>
      </w:r>
      <w:r>
        <w:rPr>
          <w:rFonts w:ascii="Times New Roman" w:cs="Times New Roman" w:eastAsia="Times New Roman" w:hAnsi="Times New Roman"/>
          <w:sz w:val="18"/>
          <w:szCs w:val="18"/>
          <w:b w:val="1"/>
          <w:bCs w:val="1"/>
          <w:color w:val="auto"/>
        </w:rPr>
        <w:t>Material, Non-Public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Information </w:t>
      </w:r>
      <w:r>
        <w:rPr>
          <w:rFonts w:ascii="Times New Roman" w:cs="Times New Roman" w:eastAsia="Times New Roman" w:hAnsi="Times New Roman"/>
          <w:sz w:val="18"/>
          <w:szCs w:val="18"/>
          <w:color w:val="auto"/>
        </w:rPr>
        <w:t>to other persons who may trade on the basis of that information (known as “tipping”). It is important to</w:t>
      </w:r>
      <w:r>
        <w:rPr>
          <w:rFonts w:ascii="Times New Roman" w:cs="Times New Roman" w:eastAsia="Times New Roman" w:hAnsi="Times New Roman"/>
          <w:sz w:val="18"/>
          <w:szCs w:val="18"/>
          <w:b w:val="1"/>
          <w:bCs w:val="1"/>
          <w:color w:val="auto"/>
        </w:rPr>
        <w:t xml:space="preserve"> Lilly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Covered Persons </w:t>
      </w:r>
      <w:r>
        <w:rPr>
          <w:rFonts w:ascii="Times New Roman" w:cs="Times New Roman" w:eastAsia="Times New Roman" w:hAnsi="Times New Roman"/>
          <w:sz w:val="18"/>
          <w:szCs w:val="18"/>
          <w:color w:val="auto"/>
        </w:rPr>
        <w:t>to avoid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the appearance of impropriety.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Subject to this Trading Procedure:</w:t>
      </w:r>
    </w:p>
    <w:p>
      <w:pPr>
        <w:spacing w:after="0" w:line="225" w:lineRule="exact"/>
        <w:rPr>
          <w:sz w:val="20"/>
          <w:szCs w:val="20"/>
          <w:color w:val="auto"/>
        </w:rPr>
      </w:pPr>
    </w:p>
    <w:p>
      <w:pPr>
        <w:jc w:val="both"/>
        <w:ind w:left="340" w:hanging="332"/>
        <w:spacing w:after="0" w:line="268" w:lineRule="auto"/>
        <w:tabs>
          <w:tab w:leader="none" w:pos="3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Covered Persons </w:t>
      </w:r>
      <w:r>
        <w:rPr>
          <w:rFonts w:ascii="Times New Roman" w:cs="Times New Roman" w:eastAsia="Times New Roman" w:hAnsi="Times New Roman"/>
          <w:sz w:val="18"/>
          <w:szCs w:val="18"/>
          <w:color w:val="auto"/>
        </w:rPr>
        <w:t>under this Trading Procedure include all of</w:t>
      </w:r>
      <w:r>
        <w:rPr>
          <w:rFonts w:ascii="Times New Roman" w:cs="Times New Roman" w:eastAsia="Times New Roman" w:hAnsi="Times New Roman"/>
          <w:sz w:val="18"/>
          <w:szCs w:val="18"/>
          <w:b w:val="1"/>
          <w:bCs w:val="1"/>
          <w:color w:val="auto"/>
        </w:rPr>
        <w:t xml:space="preserve"> Lilly</w:t>
      </w:r>
      <w:r>
        <w:rPr>
          <w:rFonts w:ascii="Times New Roman" w:cs="Times New Roman" w:eastAsia="Times New Roman" w:hAnsi="Times New Roman"/>
          <w:sz w:val="18"/>
          <w:szCs w:val="18"/>
          <w:color w:val="auto"/>
        </w:rPr>
        <w:t>’s directors, officers and employees, for the duration of the directorship,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 or employment, as applicable, and for six months following the end of service to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xml:space="preserve">. This Trading Procedure also applies to </w:t>
      </w:r>
      <w:r>
        <w:rPr>
          <w:rFonts w:ascii="Times New Roman" w:cs="Times New Roman" w:eastAsia="Times New Roman" w:hAnsi="Times New Roman"/>
          <w:sz w:val="18"/>
          <w:szCs w:val="18"/>
          <w:b w:val="1"/>
          <w:b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Members </w:t>
      </w:r>
      <w:r>
        <w:rPr>
          <w:rFonts w:ascii="Times New Roman" w:cs="Times New Roman" w:eastAsia="Times New Roman" w:hAnsi="Times New Roman"/>
          <w:sz w:val="18"/>
          <w:szCs w:val="18"/>
          <w:color w:val="auto"/>
        </w:rPr>
        <w:t>and any</w:t>
      </w:r>
      <w:r>
        <w:rPr>
          <w:rFonts w:ascii="Times New Roman" w:cs="Times New Roman" w:eastAsia="Times New Roman" w:hAnsi="Times New Roman"/>
          <w:sz w:val="18"/>
          <w:szCs w:val="18"/>
          <w:b w:val="1"/>
          <w:bCs w:val="1"/>
          <w:color w:val="auto"/>
        </w:rPr>
        <w:t xml:space="preserve"> Controlled Entities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hanging="324"/>
        <w:spacing w:after="0" w:line="26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Covered Persons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must not recommend to other persons or entities to buy or sell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Lilly Securities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or assist anyone who participates in any of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activities restricted under this Trading Procedure.</w:t>
      </w:r>
    </w:p>
    <w:p>
      <w:pPr>
        <w:spacing w:after="0" w:line="171" w:lineRule="exact"/>
        <w:rPr>
          <w:rFonts w:ascii="Times New Roman" w:cs="Times New Roman" w:eastAsia="Times New Roman" w:hAnsi="Times New Roman"/>
          <w:sz w:val="18"/>
          <w:szCs w:val="18"/>
          <w:color w:val="auto"/>
        </w:rPr>
      </w:pPr>
    </w:p>
    <w:p>
      <w:pPr>
        <w:ind w:left="660" w:hanging="324"/>
        <w:spacing w:after="0" w:line="26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Covered Persons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and their</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Family Members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should instruct any investment clubs with which they are involved not to transact in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Lilly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4"/>
        <w:spacing w:after="0" w:line="26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Lilly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may also determine that other persons are subject to this Trading Procedure, such as contractors or consultants who have access to</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Material,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Non-Public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Responsibility:</w:t>
      </w:r>
    </w:p>
    <w:p>
      <w:pPr>
        <w:spacing w:after="0" w:line="225" w:lineRule="exact"/>
        <w:rPr>
          <w:sz w:val="20"/>
          <w:szCs w:val="20"/>
          <w:color w:val="auto"/>
        </w:rPr>
      </w:pPr>
    </w:p>
    <w:p>
      <w:pPr>
        <w:jc w:val="both"/>
        <w:ind w:left="660" w:hanging="328"/>
        <w:spacing w:after="0" w:line="266" w:lineRule="auto"/>
        <w:tabs>
          <w:tab w:leader="none" w:pos="657" w:val="left"/>
        </w:tabs>
        <w:numPr>
          <w:ilvl w:val="0"/>
          <w:numId w:val="185"/>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Covered Persons </w:t>
      </w:r>
      <w:r>
        <w:rPr>
          <w:rFonts w:ascii="Times New Roman" w:cs="Times New Roman" w:eastAsia="Times New Roman" w:hAnsi="Times New Roman"/>
          <w:sz w:val="18"/>
          <w:szCs w:val="18"/>
          <w:color w:val="auto"/>
        </w:rPr>
        <w:t>have ethical and legal obligations to maintain the confidentiality of information about</w:t>
      </w:r>
      <w:r>
        <w:rPr>
          <w:rFonts w:ascii="Times New Roman" w:cs="Times New Roman" w:eastAsia="Times New Roman" w:hAnsi="Times New Roman"/>
          <w:sz w:val="18"/>
          <w:szCs w:val="18"/>
          <w:b w:val="1"/>
          <w:bCs w:val="1"/>
          <w:color w:val="auto"/>
        </w:rPr>
        <w:t xml:space="preserve"> Lilly </w:t>
      </w:r>
      <w:r>
        <w:rPr>
          <w:rFonts w:ascii="Times New Roman" w:cs="Times New Roman" w:eastAsia="Times New Roman" w:hAnsi="Times New Roman"/>
          <w:sz w:val="18"/>
          <w:szCs w:val="18"/>
          <w:color w:val="auto"/>
        </w:rPr>
        <w:t>and to not engage in transactions in</w:t>
      </w:r>
      <w:r>
        <w:rPr>
          <w:rFonts w:ascii="Times New Roman" w:cs="Times New Roman" w:eastAsia="Times New Roman" w:hAnsi="Times New Roman"/>
          <w:sz w:val="18"/>
          <w:szCs w:val="18"/>
          <w:b w:val="1"/>
          <w:bCs w:val="1"/>
          <w:color w:val="auto"/>
        </w:rPr>
        <w:t xml:space="preserve"> Lilly Securities </w:t>
      </w:r>
      <w:r>
        <w:rPr>
          <w:rFonts w:ascii="Times New Roman" w:cs="Times New Roman" w:eastAsia="Times New Roman" w:hAnsi="Times New Roman"/>
          <w:sz w:val="18"/>
          <w:szCs w:val="18"/>
          <w:color w:val="auto"/>
        </w:rPr>
        <w:t>while in possession of</w:t>
      </w:r>
      <w:r>
        <w:rPr>
          <w:rFonts w:ascii="Times New Roman" w:cs="Times New Roman" w:eastAsia="Times New Roman" w:hAnsi="Times New Roman"/>
          <w:sz w:val="18"/>
          <w:szCs w:val="18"/>
          <w:b w:val="1"/>
          <w:bCs w:val="1"/>
          <w:color w:val="auto"/>
        </w:rPr>
        <w:t xml:space="preserve"> Material, Non-Public Information</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color w:val="auto"/>
        </w:rPr>
        <w:t xml:space="preserve"> Covered Person </w:t>
      </w:r>
      <w:r>
        <w:rPr>
          <w:rFonts w:ascii="Times New Roman" w:cs="Times New Roman" w:eastAsia="Times New Roman" w:hAnsi="Times New Roman"/>
          <w:sz w:val="18"/>
          <w:szCs w:val="18"/>
          <w:color w:val="auto"/>
        </w:rPr>
        <w:t>is responsible for making sure that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comply with this Trading Procedure, and that any </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Controlled Entity</w:t>
      </w:r>
      <w:r>
        <w:rPr>
          <w:rFonts w:ascii="Times New Roman" w:cs="Times New Roman" w:eastAsia="Times New Roman" w:hAnsi="Times New Roman"/>
          <w:sz w:val="18"/>
          <w:szCs w:val="18"/>
          <w:color w:val="auto"/>
        </w:rPr>
        <w:t xml:space="preserve"> also complies with this Trading Procedure.</w:t>
      </w:r>
    </w:p>
    <w:p>
      <w:pPr>
        <w:spacing w:after="0" w:line="172" w:lineRule="exact"/>
        <w:rPr>
          <w:rFonts w:ascii="Courier New" w:cs="Courier New" w:eastAsia="Courier New" w:hAnsi="Courier New"/>
          <w:sz w:val="18"/>
          <w:szCs w:val="18"/>
          <w:color w:val="auto"/>
        </w:rPr>
      </w:pPr>
    </w:p>
    <w:p>
      <w:pPr>
        <w:ind w:left="660" w:hanging="328"/>
        <w:spacing w:after="0" w:line="284" w:lineRule="auto"/>
        <w:tabs>
          <w:tab w:leader="none" w:pos="657" w:val="left"/>
        </w:tabs>
        <w:numPr>
          <w:ilvl w:val="0"/>
          <w:numId w:val="18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Upon effecting any transaction permitted under this Trading Procedure,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xml:space="preserve"> should be prepared to file any required filings such as a </w:t>
      </w:r>
      <w:r>
        <w:rPr>
          <w:rFonts w:ascii="Times New Roman" w:cs="Times New Roman" w:eastAsia="Times New Roman" w:hAnsi="Times New Roman"/>
          <w:sz w:val="18"/>
          <w:szCs w:val="18"/>
          <w:b w:val="1"/>
          <w:bCs w:val="1"/>
          <w:color w:val="auto"/>
        </w:rPr>
        <w:t xml:space="preserve">Form 144 </w:t>
      </w:r>
      <w:r>
        <w:rPr>
          <w:rFonts w:ascii="Times New Roman" w:cs="Times New Roman" w:eastAsia="Times New Roman" w:hAnsi="Times New Roman"/>
          <w:sz w:val="18"/>
          <w:szCs w:val="18"/>
          <w:color w:val="auto"/>
        </w:rPr>
        <w:t>under Rule 144 of the</w:t>
      </w:r>
      <w:r>
        <w:rPr>
          <w:rFonts w:ascii="Times New Roman" w:cs="Times New Roman" w:eastAsia="Times New Roman" w:hAnsi="Times New Roman"/>
          <w:sz w:val="18"/>
          <w:szCs w:val="18"/>
          <w:b w:val="1"/>
          <w:bCs w:val="1"/>
          <w:color w:val="auto"/>
        </w:rPr>
        <w:t xml:space="preserve"> Securities Act</w:t>
      </w:r>
      <w:r>
        <w:rPr>
          <w:rFonts w:ascii="Times New Roman" w:cs="Times New Roman" w:eastAsia="Times New Roman" w:hAnsi="Times New Roman"/>
          <w:sz w:val="18"/>
          <w:szCs w:val="18"/>
          <w:color w:val="auto"/>
        </w:rPr>
        <w:t>, and/or a Form 4 or Form 5 in compliance with Section 16 of the</w:t>
      </w:r>
      <w:r>
        <w:rPr>
          <w:rFonts w:ascii="Times New Roman" w:cs="Times New Roman" w:eastAsia="Times New Roman" w:hAnsi="Times New Roman"/>
          <w:sz w:val="18"/>
          <w:szCs w:val="18"/>
          <w:b w:val="1"/>
          <w:bCs w:val="1"/>
          <w:color w:val="auto"/>
        </w:rPr>
        <w:t xml:space="preserve"> Exchange Act</w:t>
      </w:r>
      <w:r>
        <w:rPr>
          <w:rFonts w:ascii="Times New Roman" w:cs="Times New Roman" w:eastAsia="Times New Roman" w:hAnsi="Times New Roman"/>
          <w:sz w:val="18"/>
          <w:szCs w:val="18"/>
          <w:color w:val="auto"/>
        </w:rPr>
        <w:t>.</w:t>
      </w:r>
    </w:p>
    <w:p>
      <w:pPr>
        <w:spacing w:after="0" w:line="153" w:lineRule="exact"/>
        <w:rPr>
          <w:rFonts w:ascii="Courier New" w:cs="Courier New" w:eastAsia="Courier New" w:hAnsi="Courier New"/>
          <w:sz w:val="18"/>
          <w:szCs w:val="18"/>
          <w:color w:val="auto"/>
        </w:rPr>
      </w:pPr>
    </w:p>
    <w:p>
      <w:pPr>
        <w:ind w:left="660" w:hanging="328"/>
        <w:spacing w:after="0" w:line="284" w:lineRule="auto"/>
        <w:tabs>
          <w:tab w:leader="none" w:pos="657" w:val="left"/>
        </w:tabs>
        <w:numPr>
          <w:ilvl w:val="0"/>
          <w:numId w:val="185"/>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Material, Non-Public Information </w:t>
      </w:r>
      <w:r>
        <w:rPr>
          <w:rFonts w:ascii="Times New Roman" w:cs="Times New Roman" w:eastAsia="Times New Roman" w:hAnsi="Times New Roman"/>
          <w:sz w:val="18"/>
          <w:szCs w:val="18"/>
          <w:color w:val="auto"/>
        </w:rPr>
        <w:t>must never be passed to third parties, other employees, consultants, outside advisors or others who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confidentiality obligations or who do not need to know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459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6" w:lineRule="exact"/>
        <w:rPr>
          <w:sz w:val="20"/>
          <w:szCs w:val="20"/>
          <w:color w:val="auto"/>
        </w:rPr>
      </w:pPr>
    </w:p>
    <w:p>
      <w:pPr>
        <w:ind w:left="300" w:hanging="292"/>
        <w:spacing w:after="0"/>
        <w:tabs>
          <w:tab w:leader="none" w:pos="300" w:val="left"/>
        </w:tabs>
        <w:numPr>
          <w:ilvl w:val="0"/>
          <w:numId w:val="1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Defined Terms are capitalized and appear in bold when used. Definitions can be found at the end of the document.</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6"/>
                <w:szCs w:val="16"/>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1</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40"/>
          </w:cols>
          <w:pgMar w:left="320" w:top="603" w:right="339" w:bottom="1440" w:gutter="0" w:footer="0" w:header="0"/>
        </w:sectPr>
      </w:pPr>
    </w:p>
    <w:bookmarkStart w:id="226" w:name="page227"/>
    <w:bookmarkEnd w:id="226"/>
    <w:p>
      <w:pPr>
        <w:ind w:left="1520"/>
        <w:spacing w:after="0"/>
        <w:rPr>
          <w:sz w:val="20"/>
          <w:szCs w:val="20"/>
          <w:color w:val="auto"/>
        </w:rPr>
      </w:pPr>
      <w:r>
        <w:rPr>
          <w:rFonts w:ascii="Times New Roman" w:cs="Times New Roman" w:eastAsia="Times New Roman" w:hAnsi="Times New Roman"/>
          <w:sz w:val="25"/>
          <w:szCs w:val="25"/>
          <w:color w:val="auto"/>
        </w:rPr>
        <w:t>Trading Lilly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line="280" w:lineRule="auto"/>
        <w:tabs>
          <w:tab w:leader="none" w:pos="657" w:val="left"/>
        </w:tabs>
        <w:numPr>
          <w:ilvl w:val="0"/>
          <w:numId w:val="18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all cases, the responsibility for determining whether an individual is in possession of individual.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Global Procedure</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Material, Non-Public Information </w:t>
      </w:r>
      <w:r>
        <w:rPr>
          <w:rFonts w:ascii="Times New Roman" w:cs="Times New Roman" w:eastAsia="Times New Roman" w:hAnsi="Times New Roman"/>
          <w:sz w:val="18"/>
          <w:szCs w:val="18"/>
          <w:color w:val="auto"/>
        </w:rPr>
        <w:t>rests with that</w:t>
      </w:r>
    </w:p>
    <w:p>
      <w:pPr>
        <w:spacing w:after="0" w:line="454" w:lineRule="exact"/>
        <w:rPr>
          <w:sz w:val="20"/>
          <w:szCs w:val="20"/>
          <w:color w:val="auto"/>
        </w:rPr>
      </w:pPr>
    </w:p>
    <w:p>
      <w:pPr>
        <w:sectPr>
          <w:pgSz w:w="11900" w:h="16838" w:orient="portrait"/>
          <w:cols w:equalWidth="0" w:num="2">
            <w:col w:w="7340" w:space="60"/>
            <w:col w:w="3840"/>
          </w:cols>
          <w:pgMar w:left="320" w:top="603" w:right="339" w:bottom="1440" w:gutter="0" w:footer="0" w:header="0"/>
        </w:sectPr>
      </w:pPr>
    </w:p>
    <w:p>
      <w:pPr>
        <w:jc w:val="both"/>
        <w:ind w:left="660" w:hanging="328"/>
        <w:spacing w:after="0" w:line="266" w:lineRule="auto"/>
        <w:tabs>
          <w:tab w:leader="none" w:pos="657" w:val="left"/>
        </w:tabs>
        <w:numPr>
          <w:ilvl w:val="0"/>
          <w:numId w:val="18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Any action on the part of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the General Counsel, the Office of the Corporate Secretary, or any other employee or director pursuant to this Trading Procedure (or otherwise) does not in any way constitute legal advice or insulate an individual from liability under applicable securities laws.</w:t>
      </w:r>
    </w:p>
    <w:p>
      <w:pPr>
        <w:spacing w:after="0" w:line="172" w:lineRule="exact"/>
        <w:rPr>
          <w:rFonts w:ascii="Courier New" w:cs="Courier New" w:eastAsia="Courier New" w:hAnsi="Courier New"/>
          <w:sz w:val="18"/>
          <w:szCs w:val="18"/>
          <w:color w:val="auto"/>
        </w:rPr>
      </w:pPr>
    </w:p>
    <w:p>
      <w:pPr>
        <w:ind w:left="660" w:hanging="328"/>
        <w:spacing w:after="0" w:line="284" w:lineRule="auto"/>
        <w:tabs>
          <w:tab w:leader="none" w:pos="657" w:val="left"/>
        </w:tabs>
        <w:numPr>
          <w:ilvl w:val="0"/>
          <w:numId w:val="18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xml:space="preserve"> could be subject to severe legal penalties and disciplinary action by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xml:space="preserve"> for any conduct prohibited by this Trading Procedure or applicable securities laws, as described below in more detail under the heading “Consequences of Violations of the Trading Procedure.”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ind w:left="340" w:hanging="332"/>
        <w:spacing w:after="0" w:line="261" w:lineRule="auto"/>
        <w:tabs>
          <w:tab w:leader="none" w:pos="3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quantitative or qualitative, should be considered material. There is no bright-line standard for assessing materiality; rather, materiality is based on an assessment of all of the facts and circumstances, and is often evaluated by enforcement authorities with the benefit of hindsight.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not possible to define all categories of material information, some examples of information that ordinarily would be regarded as material are:</w:t>
      </w:r>
    </w:p>
    <w:p>
      <w:pPr>
        <w:spacing w:after="0" w:line="16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Unreleased earnings and other earnings guidance;</w:t>
      </w:r>
    </w:p>
    <w:p>
      <w:pPr>
        <w:spacing w:after="0" w:line="223" w:lineRule="exact"/>
        <w:rPr>
          <w:rFonts w:ascii="Times New Roman" w:cs="Times New Roman" w:eastAsia="Times New Roman" w:hAnsi="Times New Roman"/>
          <w:sz w:val="18"/>
          <w:szCs w:val="18"/>
          <w:color w:val="auto"/>
        </w:rPr>
      </w:pPr>
    </w:p>
    <w:p>
      <w:pPr>
        <w:ind w:left="340" w:right="4960"/>
        <w:spacing w:after="0" w:line="48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Significant mergers, acquisitions, tender offers, joint ventures, or investments;</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Changes in senior management or board composition;</w:t>
      </w:r>
    </w:p>
    <w:p>
      <w:pPr>
        <w:ind w:left="3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Significant litigation or government investigations;</w:t>
      </w:r>
    </w:p>
    <w:p>
      <w:pPr>
        <w:spacing w:after="0" w:line="223" w:lineRule="exact"/>
        <w:rPr>
          <w:rFonts w:ascii="Times New Roman" w:cs="Times New Roman" w:eastAsia="Times New Roman" w:hAnsi="Times New Roman"/>
          <w:sz w:val="18"/>
          <w:szCs w:val="18"/>
          <w:color w:val="auto"/>
        </w:rPr>
      </w:pPr>
    </w:p>
    <w:p>
      <w:pPr>
        <w:ind w:left="340" w:right="4740"/>
        <w:spacing w:after="0" w:line="48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Product development milestones such as major clinical or open label trial results;</w:t>
      </w:r>
      <w:r>
        <w:rPr>
          <w:rFonts w:ascii="Courier New" w:cs="Courier New" w:eastAsia="Courier New" w:hAnsi="Courier New"/>
          <w:sz w:val="18"/>
          <w:szCs w:val="18"/>
          <w:color w:val="auto"/>
        </w:rPr>
        <w:t xml:space="preserve"> o </w:t>
      </w:r>
      <w:r>
        <w:rPr>
          <w:rFonts w:ascii="Times New Roman" w:cs="Times New Roman" w:eastAsia="Times New Roman" w:hAnsi="Times New Roman"/>
          <w:sz w:val="18"/>
          <w:szCs w:val="18"/>
          <w:color w:val="auto"/>
        </w:rPr>
        <w:t>FDA approvals or other regulatory actions; and</w:t>
      </w:r>
    </w:p>
    <w:p>
      <w:pPr>
        <w:ind w:left="3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Significant cybersecurity incidents.</w:t>
      </w:r>
    </w:p>
    <w:p>
      <w:pPr>
        <w:spacing w:after="0" w:line="22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that has not been disclosed to the general public is generally considered to be non-public information. Information is widely disseminated if it has been disclosed through the newswire services through a press release, or in documents filed with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By contrast, information is not considered widely disseminated if it is available only to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’s employees or if it is only available to a select group of analysts, brokers, and institutional investors. The circulation of rumors, even if accurate and reported in the media, does not constitute public dissemination.</w:t>
      </w:r>
    </w:p>
    <w:p>
      <w:pPr>
        <w:spacing w:after="0" w:line="178" w:lineRule="exact"/>
        <w:rPr>
          <w:rFonts w:ascii="Times New Roman" w:cs="Times New Roman" w:eastAsia="Times New Roman" w:hAnsi="Times New Roman"/>
          <w:sz w:val="18"/>
          <w:szCs w:val="18"/>
          <w:color w:val="auto"/>
        </w:rPr>
      </w:pPr>
    </w:p>
    <w:p>
      <w:pPr>
        <w:ind w:left="660" w:hanging="324"/>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Once information is widely disseminated, it is necessary to afford the investing public with sufficient time to absorb the information. As a general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xml:space="preserve">rule, information should not be considered fully absorbed by the marketplace until one (1) </w:t>
      </w:r>
      <w:r>
        <w:rPr>
          <w:rFonts w:ascii="Times New Roman" w:cs="Times New Roman" w:eastAsia="Times New Roman" w:hAnsi="Times New Roman"/>
          <w:sz w:val="18"/>
          <w:szCs w:val="18"/>
          <w:b w:val="1"/>
          <w:bCs w:val="1"/>
          <w:color w:val="auto"/>
        </w:rPr>
        <w:t>Full Market Trading Day</w:t>
      </w:r>
      <w:r>
        <w:rPr>
          <w:rFonts w:ascii="Times New Roman" w:cs="Times New Roman" w:eastAsia="Times New Roman" w:hAnsi="Times New Roman"/>
          <w:sz w:val="18"/>
          <w:szCs w:val="18"/>
          <w:color w:val="auto"/>
        </w:rPr>
        <w:t xml:space="preserve"> has passed after the information is released.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6"/>
                <w:szCs w:val="16"/>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2</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40"/>
          </w:cols>
          <w:pgMar w:left="320" w:top="603" w:right="339" w:bottom="1440" w:gutter="0" w:footer="0" w:header="0"/>
          <w:type w:val="continuous"/>
        </w:sectPr>
      </w:pPr>
    </w:p>
    <w:bookmarkStart w:id="227" w:name="page228"/>
    <w:bookmarkEnd w:id="227"/>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 of Material, Non-Public Information:</w:t>
      </w:r>
    </w:p>
    <w:p>
      <w:pPr>
        <w:spacing w:after="0" w:line="225" w:lineRule="exact"/>
        <w:rPr>
          <w:sz w:val="20"/>
          <w:szCs w:val="20"/>
          <w:color w:val="auto"/>
        </w:rPr>
      </w:pPr>
    </w:p>
    <w:p>
      <w:pPr>
        <w:ind w:left="340" w:hanging="332"/>
        <w:spacing w:after="0" w:line="286" w:lineRule="auto"/>
        <w:tabs>
          <w:tab w:leader="none" w:pos="33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xml:space="preserve"> have access to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they must take special precautions to keep it confidential, including keeping such information secure.</w:t>
      </w:r>
    </w:p>
    <w:p>
      <w:pPr>
        <w:spacing w:after="0" w:line="15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Covered Persons </w:t>
      </w:r>
      <w:r>
        <w:rPr>
          <w:rFonts w:ascii="Times New Roman" w:cs="Times New Roman" w:eastAsia="Times New Roman" w:hAnsi="Times New Roman"/>
          <w:sz w:val="18"/>
          <w:szCs w:val="18"/>
          <w:color w:val="auto"/>
        </w:rPr>
        <w:t>may only disclose</w:t>
      </w:r>
      <w:r>
        <w:rPr>
          <w:rFonts w:ascii="Times New Roman" w:cs="Times New Roman" w:eastAsia="Times New Roman" w:hAnsi="Times New Roman"/>
          <w:sz w:val="18"/>
          <w:szCs w:val="18"/>
          <w:b w:val="1"/>
          <w:bCs w:val="1"/>
          <w:color w:val="auto"/>
        </w:rPr>
        <w:t xml:space="preserve"> Material, Non-Public Information </w:t>
      </w:r>
      <w:r>
        <w:rPr>
          <w:rFonts w:ascii="Times New Roman" w:cs="Times New Roman" w:eastAsia="Times New Roman" w:hAnsi="Times New Roman"/>
          <w:sz w:val="18"/>
          <w:szCs w:val="18"/>
          <w:color w:val="auto"/>
        </w:rPr>
        <w:t>to other employees and external parties who need to know it to perform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jobs and have an obligation to maintain its confidentiality.</w:t>
      </w:r>
    </w:p>
    <w:p>
      <w:pPr>
        <w:spacing w:after="0" w:line="1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disclosure of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xml:space="preserve"> must be done at the time and in the manner required to meet legal requirements.</w:t>
      </w:r>
    </w:p>
    <w:p>
      <w:pPr>
        <w:spacing w:after="0" w:line="229"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 working on confidential projects may be required to take additional confidentiality precautions or maintain a list of individuals to whom sensitive information has been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Requirements:</w:t>
      </w:r>
    </w:p>
    <w:p>
      <w:pPr>
        <w:spacing w:after="0" w:line="229"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18"/>
          <w:szCs w:val="18"/>
          <w:color w:val="auto"/>
        </w:rPr>
      </w:pPr>
      <w:r>
        <w:rPr>
          <w:rFonts w:ascii="Times New Roman" w:cs="Times New Roman" w:eastAsia="Times New Roman" w:hAnsi="Times New Roman"/>
          <w:sz w:val="18"/>
          <w:szCs w:val="18"/>
          <w:color w:val="auto"/>
        </w:rPr>
        <w:t>All Covered Persons Must Observe the Following Restrictions:</w:t>
      </w:r>
    </w:p>
    <w:p>
      <w:pPr>
        <w:spacing w:after="0" w:line="224" w:lineRule="exact"/>
        <w:rPr>
          <w:rFonts w:ascii="Arial" w:cs="Arial" w:eastAsia="Arial" w:hAnsi="Arial"/>
          <w:sz w:val="18"/>
          <w:szCs w:val="18"/>
          <w:color w:val="auto"/>
        </w:rPr>
      </w:pP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Prohibition on Insider Trading:</w:t>
      </w:r>
    </w:p>
    <w:p>
      <w:pPr>
        <w:spacing w:after="0" w:line="223" w:lineRule="exact"/>
        <w:rPr>
          <w:rFonts w:ascii="Times New Roman" w:cs="Times New Roman" w:eastAsia="Times New Roman" w:hAnsi="Times New Roman"/>
          <w:sz w:val="18"/>
          <w:szCs w:val="18"/>
          <w:color w:val="auto"/>
        </w:rPr>
      </w:pPr>
    </w:p>
    <w:p>
      <w:pPr>
        <w:ind w:left="660" w:hanging="324"/>
        <w:spacing w:after="0" w:line="25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Except as otherwise specified below, no person subject to this Trading Procedure shall, directly or indirectly, engage in any transactions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xml:space="preserve">(including, but not limited to, purchases, sales, or making or accepting bona fide gifts) involving any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(i) during any applicable blackout period, as described herein, or (ii) during any period commencing on the date that the relevant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xml:space="preserve"> first has access to </w:t>
      </w:r>
      <w:r>
        <w:rPr>
          <w:rFonts w:ascii="Times New Roman" w:cs="Times New Roman" w:eastAsia="Times New Roman" w:hAnsi="Times New Roman"/>
          <w:sz w:val="18"/>
          <w:szCs w:val="18"/>
          <w:b w:val="1"/>
          <w:bCs w:val="1"/>
          <w:color w:val="auto"/>
        </w:rPr>
        <w:t xml:space="preserve">Material, Non-Public Information </w:t>
      </w:r>
      <w:r>
        <w:rPr>
          <w:rFonts w:ascii="Times New Roman" w:cs="Times New Roman" w:eastAsia="Times New Roman" w:hAnsi="Times New Roman"/>
          <w:sz w:val="18"/>
          <w:szCs w:val="18"/>
          <w:color w:val="auto"/>
        </w:rPr>
        <w:t>and ending at the earlier of (a) one (1)</w:t>
      </w:r>
      <w:r>
        <w:rPr>
          <w:rFonts w:ascii="Times New Roman" w:cs="Times New Roman" w:eastAsia="Times New Roman" w:hAnsi="Times New Roman"/>
          <w:sz w:val="18"/>
          <w:szCs w:val="18"/>
          <w:b w:val="1"/>
          <w:bCs w:val="1"/>
          <w:color w:val="auto"/>
        </w:rPr>
        <w:t xml:space="preserve"> Full Market Trading Day </w:t>
      </w:r>
      <w:r>
        <w:rPr>
          <w:rFonts w:ascii="Times New Roman" w:cs="Times New Roman" w:eastAsia="Times New Roman" w:hAnsi="Times New Roman"/>
          <w:sz w:val="18"/>
          <w:szCs w:val="18"/>
          <w:color w:val="auto"/>
        </w:rPr>
        <w:t>has passed after the wide dissemination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information or (b) such time as that nonpublic information is no longer material.</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Securities:</w:t>
      </w:r>
    </w:p>
    <w:p>
      <w:pPr>
        <w:spacing w:after="0" w:line="221" w:lineRule="exact"/>
        <w:rPr>
          <w:rFonts w:ascii="Times New Roman" w:cs="Times New Roman" w:eastAsia="Times New Roman" w:hAnsi="Times New Roman"/>
          <w:sz w:val="18"/>
          <w:szCs w:val="18"/>
          <w:color w:val="auto"/>
        </w:rPr>
      </w:pPr>
    </w:p>
    <w:p>
      <w:pPr>
        <w:ind w:left="660" w:hanging="324"/>
        <w:spacing w:after="0" w:line="25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No</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Covered Person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shall, directly or indirectly, engage in any transactions in another publicly held company’s securities, such as a</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Lilly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research,</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xml:space="preserve">collaboration, or alliance partner, a supplier, a customer, or a company with which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xml:space="preserve"> may be considering a transaction, while in possession of </w:t>
      </w:r>
      <w:r>
        <w:rPr>
          <w:rFonts w:ascii="Times New Roman" w:cs="Times New Roman" w:eastAsia="Times New Roman" w:hAnsi="Times New Roman"/>
          <w:sz w:val="18"/>
          <w:szCs w:val="18"/>
          <w:b w:val="1"/>
          <w:bCs w:val="1"/>
          <w:color w:val="auto"/>
        </w:rPr>
        <w:t xml:space="preserve">Material, Non-Public Information </w:t>
      </w:r>
      <w:r>
        <w:rPr>
          <w:rFonts w:ascii="Times New Roman" w:cs="Times New Roman" w:eastAsia="Times New Roman" w:hAnsi="Times New Roman"/>
          <w:sz w:val="18"/>
          <w:szCs w:val="18"/>
          <w:color w:val="auto"/>
        </w:rPr>
        <w:t>concerning that company when that information was obtained in the course of employment with,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 of services on behalf of,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660" w:hanging="324"/>
        <w:spacing w:after="0" w:line="26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The Office of the Corporate Secretary is not responsible for monitoring or tracking such companies or transactions and each</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Covered Person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is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responsible for making sure that they comply with this provision.</w:t>
      </w:r>
    </w:p>
    <w:p>
      <w:pPr>
        <w:spacing w:after="0" w:line="175" w:lineRule="exact"/>
        <w:rPr>
          <w:rFonts w:ascii="Times New Roman" w:cs="Times New Roman" w:eastAsia="Times New Roman" w:hAnsi="Times New Roman"/>
          <w:sz w:val="18"/>
          <w:szCs w:val="18"/>
          <w:color w:val="auto"/>
        </w:rPr>
      </w:pPr>
    </w:p>
    <w:p>
      <w:pPr>
        <w:ind w:left="340" w:right="4020" w:hanging="332"/>
        <w:spacing w:after="0" w:line="518" w:lineRule="auto"/>
        <w:tabs>
          <w:tab w:leader="none" w:pos="3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 Sales, Publicly Traded Options, Derivative Transactions, Margin Accounts, and Pledging: </w:t>
      </w: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No</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Covered Person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shall, at any time:</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“sell short”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340" w:right="4280"/>
        <w:spacing w:after="0" w:line="360" w:lineRule="auto"/>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trade in publicly traded options known as “puts” and “calls” involving</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engage in hedging transactions in</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w:t>
      </w:r>
    </w:p>
    <w:p>
      <w:pPr>
        <w:jc w:val="both"/>
        <w:ind w:left="340" w:right="6700"/>
        <w:spacing w:after="0" w:line="493" w:lineRule="auto"/>
        <w:rPr>
          <w:rFonts w:ascii="Times New Roman" w:cs="Times New Roman" w:eastAsia="Times New Roman" w:hAnsi="Times New Roman"/>
          <w:sz w:val="18"/>
          <w:szCs w:val="18"/>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hold, or trade on,</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b w:val="1"/>
          <w:bCs w:val="1"/>
          <w:color w:val="auto"/>
        </w:rPr>
        <w:t>Lilly Securities</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in margin accounts;</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pledge</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b w:val="1"/>
          <w:bCs w:val="1"/>
          <w:color w:val="auto"/>
        </w:rPr>
        <w:t>Lilly Securities</w:t>
      </w:r>
      <w:r>
        <w:rPr>
          <w:rFonts w:ascii="Wingdings" w:cs="Wingdings" w:eastAsia="Wingdings" w:hAnsi="Wingdings"/>
          <w:sz w:val="16"/>
          <w:szCs w:val="16"/>
          <w:b w:val="1"/>
          <w:bCs w:val="1"/>
          <w:color w:val="auto"/>
        </w:rPr>
        <w:t xml:space="preserve"> </w:t>
      </w:r>
      <w:r>
        <w:rPr>
          <w:rFonts w:ascii="Times New Roman" w:cs="Times New Roman" w:eastAsia="Times New Roman" w:hAnsi="Times New Roman"/>
          <w:sz w:val="16"/>
          <w:szCs w:val="16"/>
          <w:color w:val="auto"/>
        </w:rPr>
        <w:t>as collateral for any loans; or</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6"/>
                <w:szCs w:val="16"/>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3</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40"/>
          </w:cols>
          <w:pgMar w:left="320" w:top="603" w:right="339" w:bottom="1440" w:gutter="0" w:footer="0" w:header="0"/>
        </w:sectPr>
      </w:pPr>
    </w:p>
    <w:bookmarkStart w:id="228" w:name="page229"/>
    <w:bookmarkEnd w:id="228"/>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0" w:hanging="328"/>
        <w:spacing w:after="0" w:line="330" w:lineRule="auto"/>
        <w:tabs>
          <w:tab w:leader="none" w:pos="658" w:val="left"/>
        </w:tabs>
        <w:numPr>
          <w:ilvl w:val="1"/>
          <w:numId w:val="19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engage in short sales or buy or sell puts or calls on the securities of a company with which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xml:space="preserve"> has a significant relationship, either existing or proposed.</w:t>
      </w:r>
    </w:p>
    <w:p>
      <w:pPr>
        <w:spacing w:after="0" w:line="1" w:lineRule="exact"/>
        <w:rPr>
          <w:rFonts w:ascii="Wingdings" w:cs="Wingdings" w:eastAsia="Wingdings" w:hAnsi="Wingdings"/>
          <w:sz w:val="18"/>
          <w:szCs w:val="18"/>
          <w:b w:val="1"/>
          <w:bCs w:val="1"/>
          <w:color w:val="auto"/>
        </w:rPr>
      </w:pPr>
    </w:p>
    <w:p>
      <w:pPr>
        <w:ind w:left="320" w:hanging="312"/>
        <w:spacing w:after="0"/>
        <w:tabs>
          <w:tab w:leader="none" w:pos="320" w:val="left"/>
        </w:tabs>
        <w:numPr>
          <w:ilvl w:val="0"/>
          <w:numId w:val="192"/>
        </w:numPr>
        <w:rPr>
          <w:rFonts w:ascii="Arial" w:cs="Arial" w:eastAsia="Arial" w:hAnsi="Arial"/>
          <w:sz w:val="18"/>
          <w:szCs w:val="18"/>
          <w:color w:val="auto"/>
        </w:rPr>
      </w:pPr>
      <w:r>
        <w:rPr>
          <w:rFonts w:ascii="Times New Roman" w:cs="Times New Roman" w:eastAsia="Times New Roman" w:hAnsi="Times New Roman"/>
          <w:sz w:val="18"/>
          <w:szCs w:val="18"/>
          <w:color w:val="auto"/>
        </w:rPr>
        <w:t>Standing or Limit Orders:</w:t>
      </w:r>
    </w:p>
    <w:p>
      <w:pPr>
        <w:spacing w:after="0" w:line="220" w:lineRule="exact"/>
        <w:rPr>
          <w:rFonts w:ascii="Arial" w:cs="Arial" w:eastAsia="Arial" w:hAnsi="Arial"/>
          <w:sz w:val="18"/>
          <w:szCs w:val="18"/>
          <w:color w:val="auto"/>
        </w:rPr>
      </w:pPr>
    </w:p>
    <w:p>
      <w:pPr>
        <w:ind w:left="660" w:hanging="328"/>
        <w:spacing w:after="0"/>
        <w:tabs>
          <w:tab w:leader="none" w:pos="660" w:val="left"/>
        </w:tabs>
        <w:numPr>
          <w:ilvl w:val="1"/>
          <w:numId w:val="19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Do not place standing and limit orders with a broker to buy or sell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that have a duration in excess of three (3) business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Exceptions to this Trading Procedure:</w:t>
      </w:r>
    </w:p>
    <w:p>
      <w:pPr>
        <w:spacing w:after="0" w:line="229"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trading in Lilly Securities set forth above does not apply to:</w:t>
      </w:r>
    </w:p>
    <w:p>
      <w:pPr>
        <w:spacing w:after="0" w:line="223" w:lineRule="exact"/>
        <w:rPr>
          <w:rFonts w:ascii="Times New Roman" w:cs="Times New Roman" w:eastAsia="Times New Roman" w:hAnsi="Times New Roman"/>
          <w:sz w:val="18"/>
          <w:szCs w:val="18"/>
          <w:color w:val="auto"/>
        </w:rPr>
      </w:pPr>
    </w:p>
    <w:p>
      <w:pPr>
        <w:ind w:left="660" w:right="20" w:hanging="324"/>
        <w:spacing w:after="0" w:line="2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Mutual Funds or Broad-Based Indices. Interests in mutual funds or similar broad-based indices that are not concentrated in Lilly Securities or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xml:space="preserve">securities of any other pharmaceutical company, by definition of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hanging="324"/>
        <w:spacing w:after="0" w:line="261" w:lineRule="auto"/>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 </w:t>
      </w:r>
      <w:r>
        <w:rPr>
          <w:rFonts w:ascii="Times New Roman" w:cs="Times New Roman" w:eastAsia="Times New Roman" w:hAnsi="Times New Roman"/>
          <w:sz w:val="18"/>
          <w:szCs w:val="18"/>
          <w:color w:val="auto"/>
        </w:rPr>
        <w:t>Stock Option Exercises. The exercise of stock options issued under</w:t>
      </w:r>
      <w:r>
        <w:rPr>
          <w:rFonts w:ascii="Arial" w:cs="Arial" w:eastAsia="Arial" w:hAnsi="Arial"/>
          <w:sz w:val="18"/>
          <w:szCs w:val="18"/>
          <w:color w:val="auto"/>
        </w:rPr>
        <w:t xml:space="preserve">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’s plans if the exercise price is paid in cash or through</w:t>
      </w:r>
      <w:r>
        <w:rPr>
          <w:rFonts w:ascii="Arial" w:cs="Arial" w:eastAsia="Arial" w:hAnsi="Arial"/>
          <w:sz w:val="18"/>
          <w:szCs w:val="18"/>
          <w:color w:val="auto"/>
        </w:rPr>
        <w:t xml:space="preserve"> </w:t>
      </w:r>
      <w:r>
        <w:rPr>
          <w:rFonts w:ascii="Times New Roman" w:cs="Times New Roman" w:eastAsia="Times New Roman" w:hAnsi="Times New Roman"/>
          <w:sz w:val="18"/>
          <w:szCs w:val="18"/>
          <w:b w:val="1"/>
          <w:bCs w:val="1"/>
          <w:color w:val="auto"/>
        </w:rPr>
        <w:t>Lilly</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withholding a</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 xml:space="preserve">portion of the shares underlying the options. Similarly,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xml:space="preserve"> may withhold underlying shares to satisfy tax withholding requirements. Option exercises are subject to this Trading Procedure if they involve sales of the underlying stock, broker-assisted cashless exercises of options, or open market sales for the purpose of generating the cash needed to cover the costs of exercise.</w:t>
      </w:r>
    </w:p>
    <w:p>
      <w:pPr>
        <w:spacing w:after="0" w:line="177" w:lineRule="exact"/>
        <w:rPr>
          <w:rFonts w:ascii="Times New Roman" w:cs="Times New Roman" w:eastAsia="Times New Roman" w:hAnsi="Times New Roman"/>
          <w:sz w:val="18"/>
          <w:szCs w:val="18"/>
          <w:color w:val="auto"/>
        </w:rPr>
      </w:pPr>
    </w:p>
    <w:p>
      <w:pPr>
        <w:ind w:left="660" w:hanging="324"/>
        <w:spacing w:after="0" w:line="25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Vesting of Restricted Stock or Settlement of Performance Stock Units. The vesting of restricted stock or the automatic deduction of shares by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Lilly</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from your restricted stock or performance stock unit account to satisfy tax withholding requirements upon the vesting of restricted stock or settlement of performance stock units. Open market sale of vested shares are subject to this Trading Procedure, even if to satisfy tax liabilities.</w:t>
      </w:r>
    </w:p>
    <w:p>
      <w:pPr>
        <w:spacing w:after="0" w:line="179" w:lineRule="exact"/>
        <w:rPr>
          <w:rFonts w:ascii="Times New Roman" w:cs="Times New Roman" w:eastAsia="Times New Roman" w:hAnsi="Times New Roman"/>
          <w:sz w:val="18"/>
          <w:szCs w:val="18"/>
          <w:color w:val="auto"/>
        </w:rPr>
      </w:pPr>
    </w:p>
    <w:p>
      <w:pPr>
        <w:ind w:left="660" w:hanging="324"/>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Transfer to an Entity or Account. Transferring shares to an entity or another account that does not involve (i) a bona fide gift or (ii) a change in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 xml:space="preserve">pecuniary interest or beneficial ownership of the shares (for example,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trust of which you are the sole beneficiary during your lifetime).</w:t>
      </w:r>
    </w:p>
    <w:p>
      <w:pPr>
        <w:spacing w:after="0" w:line="180" w:lineRule="exact"/>
        <w:rPr>
          <w:rFonts w:ascii="Times New Roman" w:cs="Times New Roman" w:eastAsia="Times New Roman" w:hAnsi="Times New Roman"/>
          <w:sz w:val="18"/>
          <w:szCs w:val="18"/>
          <w:color w:val="auto"/>
        </w:rPr>
      </w:pPr>
    </w:p>
    <w:p>
      <w:pPr>
        <w:ind w:left="660" w:right="20" w:hanging="324"/>
        <w:spacing w:after="0" w:line="25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Dividend Reinvestment Plan. The purchase of</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Lilly Securities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under a dividend reinvestment plan through reinvestment of dividends paid on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b w:val="1"/>
          <w:bCs w:val="1"/>
          <w:color w:val="auto"/>
        </w:rPr>
        <w:t xml:space="preserve">Lilly Securities </w:t>
      </w:r>
      <w:r>
        <w:rPr>
          <w:rFonts w:ascii="Times New Roman" w:cs="Times New Roman" w:eastAsia="Times New Roman" w:hAnsi="Times New Roman"/>
          <w:sz w:val="18"/>
          <w:szCs w:val="18"/>
          <w:color w:val="auto"/>
        </w:rPr>
        <w:t>held in such plan. However, purchases of</w:t>
      </w:r>
      <w:r>
        <w:rPr>
          <w:rFonts w:ascii="Times New Roman" w:cs="Times New Roman" w:eastAsia="Times New Roman" w:hAnsi="Times New Roman"/>
          <w:sz w:val="18"/>
          <w:szCs w:val="18"/>
          <w:b w:val="1"/>
          <w:bCs w:val="1"/>
          <w:color w:val="auto"/>
        </w:rPr>
        <w:t xml:space="preserve"> Lilly </w:t>
      </w:r>
      <w:r>
        <w:rPr>
          <w:rFonts w:ascii="Times New Roman" w:cs="Times New Roman" w:eastAsia="Times New Roman" w:hAnsi="Times New Roman"/>
          <w:sz w:val="18"/>
          <w:szCs w:val="18"/>
          <w:color w:val="auto"/>
        </w:rPr>
        <w:t>stock under a plan with additional contributions you make to the plan, increases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decreases in your level of participation in the plan, as well as the sale of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purchased pursuant to the plan are subject to this Trading Procedure.</w:t>
      </w:r>
    </w:p>
    <w:p>
      <w:pPr>
        <w:spacing w:after="0" w:line="181" w:lineRule="exact"/>
        <w:rPr>
          <w:rFonts w:ascii="Times New Roman" w:cs="Times New Roman" w:eastAsia="Times New Roman" w:hAnsi="Times New Roman"/>
          <w:sz w:val="18"/>
          <w:szCs w:val="18"/>
          <w:color w:val="auto"/>
        </w:rPr>
      </w:pPr>
    </w:p>
    <w:p>
      <w:pPr>
        <w:ind w:left="660" w:hanging="324"/>
        <w:spacing w:after="0" w:line="277" w:lineRule="auto"/>
        <w:rPr>
          <w:rFonts w:ascii="Times New Roman" w:cs="Times New Roman" w:eastAsia="Times New Roman" w:hAnsi="Times New Roman"/>
          <w:sz w:val="18"/>
          <w:szCs w:val="18"/>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401(k) Plan. The purchase of</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b w:val="1"/>
          <w:bCs w:val="1"/>
          <w:color w:val="auto"/>
        </w:rPr>
        <w:t>Lilly Securities</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in a</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b w:val="1"/>
          <w:bCs w:val="1"/>
          <w:color w:val="auto"/>
        </w:rPr>
        <w:t>Lilly</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401(k) plan resulting from your periodic contribution of money to the 401(k) plan</w:t>
      </w:r>
      <w:r>
        <w:rPr>
          <w:rFonts w:ascii="Courier New" w:cs="Courier New" w:eastAsia="Courier New" w:hAnsi="Courier New"/>
          <w:sz w:val="17"/>
          <w:szCs w:val="17"/>
          <w:color w:val="auto"/>
        </w:rPr>
        <w:t xml:space="preserve"> </w:t>
      </w:r>
      <w:r>
        <w:rPr>
          <w:rFonts w:ascii="Times New Roman" w:cs="Times New Roman" w:eastAsia="Times New Roman" w:hAnsi="Times New Roman"/>
          <w:sz w:val="17"/>
          <w:szCs w:val="17"/>
          <w:color w:val="auto"/>
        </w:rPr>
        <w:t xml:space="preserve">pursuant to existing payroll deduction elections. This Procedure does apply, however, to (i) an election to increase or decrease the percentage of your periodic contributions that will be allocated to the </w:t>
      </w:r>
      <w:r>
        <w:rPr>
          <w:rFonts w:ascii="Times New Roman" w:cs="Times New Roman" w:eastAsia="Times New Roman" w:hAnsi="Times New Roman"/>
          <w:sz w:val="17"/>
          <w:szCs w:val="17"/>
          <w:b w:val="1"/>
          <w:bCs w:val="1"/>
          <w:color w:val="auto"/>
        </w:rPr>
        <w:t>Lilly</w:t>
      </w:r>
      <w:r>
        <w:rPr>
          <w:rFonts w:ascii="Times New Roman" w:cs="Times New Roman" w:eastAsia="Times New Roman" w:hAnsi="Times New Roman"/>
          <w:sz w:val="17"/>
          <w:szCs w:val="17"/>
          <w:color w:val="auto"/>
        </w:rPr>
        <w:t xml:space="preserve"> stock fund, (ii) an election to make an intra-plan transfer of an existing account balance into or out of the </w:t>
      </w:r>
      <w:r>
        <w:rPr>
          <w:rFonts w:ascii="Times New Roman" w:cs="Times New Roman" w:eastAsia="Times New Roman" w:hAnsi="Times New Roman"/>
          <w:sz w:val="17"/>
          <w:szCs w:val="17"/>
          <w:b w:val="1"/>
          <w:bCs w:val="1"/>
          <w:color w:val="auto"/>
        </w:rPr>
        <w:t>Lilly</w:t>
      </w:r>
      <w:r>
        <w:rPr>
          <w:rFonts w:ascii="Times New Roman" w:cs="Times New Roman" w:eastAsia="Times New Roman" w:hAnsi="Times New Roman"/>
          <w:sz w:val="17"/>
          <w:szCs w:val="17"/>
          <w:color w:val="auto"/>
        </w:rPr>
        <w:t xml:space="preserve"> stock fund, (iii) borrowing money against a 401(k) plan account if the loan will result in a liquidation of some or all of a </w:t>
      </w:r>
      <w:r>
        <w:rPr>
          <w:rFonts w:ascii="Times New Roman" w:cs="Times New Roman" w:eastAsia="Times New Roman" w:hAnsi="Times New Roman"/>
          <w:sz w:val="17"/>
          <w:szCs w:val="17"/>
          <w:b w:val="1"/>
          <w:bCs w:val="1"/>
          <w:color w:val="auto"/>
        </w:rPr>
        <w:t>Lilly</w:t>
      </w:r>
      <w:r>
        <w:rPr>
          <w:rFonts w:ascii="Times New Roman" w:cs="Times New Roman" w:eastAsia="Times New Roman" w:hAnsi="Times New Roman"/>
          <w:sz w:val="17"/>
          <w:szCs w:val="17"/>
          <w:color w:val="auto"/>
        </w:rPr>
        <w:t xml:space="preserve"> stock fund balance, and (iv) pre-payment of a loan if the pre-payment will result in allocation of loan proceeds to the </w:t>
      </w:r>
      <w:r>
        <w:rPr>
          <w:rFonts w:ascii="Times New Roman" w:cs="Times New Roman" w:eastAsia="Times New Roman" w:hAnsi="Times New Roman"/>
          <w:sz w:val="17"/>
          <w:szCs w:val="17"/>
          <w:b w:val="1"/>
          <w:bCs w:val="1"/>
          <w:color w:val="auto"/>
        </w:rPr>
        <w:t>Lilly</w:t>
      </w:r>
      <w:r>
        <w:rPr>
          <w:rFonts w:ascii="Times New Roman" w:cs="Times New Roman" w:eastAsia="Times New Roman" w:hAnsi="Times New Roman"/>
          <w:sz w:val="17"/>
          <w:szCs w:val="17"/>
          <w:color w:val="auto"/>
        </w:rPr>
        <w:t xml:space="preserve"> stock fund.</w:t>
      </w:r>
    </w:p>
    <w:p>
      <w:pPr>
        <w:spacing w:after="0" w:line="167" w:lineRule="exact"/>
        <w:rPr>
          <w:rFonts w:ascii="Times New Roman" w:cs="Times New Roman" w:eastAsia="Times New Roman" w:hAnsi="Times New Roman"/>
          <w:sz w:val="18"/>
          <w:szCs w:val="18"/>
          <w:color w:val="auto"/>
        </w:rPr>
      </w:pPr>
    </w:p>
    <w:p>
      <w:pPr>
        <w:ind w:left="660" w:right="20" w:hanging="324"/>
        <w:spacing w:after="0" w:line="2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Compliant 10b5-1 Plan. Transactions effected pursuant to, and in accordance with, a 10b5-1 Plan that complies with Lilly’s 10b5-1 Plan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Transactions Policy.</w:t>
      </w: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7"/>
                <w:szCs w:val="17"/>
                <w:color w:val="auto"/>
              </w:rPr>
            </w:pPr>
          </w:p>
        </w:tc>
      </w:tr>
      <w:tr>
        <w:trPr>
          <w:trHeight w:val="251"/>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4</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40"/>
          </w:cols>
          <w:pgMar w:left="320" w:top="603" w:right="339" w:bottom="1440" w:gutter="0" w:footer="0" w:header="0"/>
        </w:sectPr>
      </w:pPr>
    </w:p>
    <w:bookmarkStart w:id="229" w:name="page230"/>
    <w:bookmarkEnd w:id="229"/>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Covered Persons </w:t>
      </w:r>
      <w:r>
        <w:rPr>
          <w:rFonts w:ascii="Times New Roman" w:cs="Times New Roman" w:eastAsia="Times New Roman" w:hAnsi="Times New Roman"/>
          <w:sz w:val="18"/>
          <w:szCs w:val="18"/>
          <w:color w:val="auto"/>
        </w:rPr>
        <w:t>identified on Appendix A to this</w:t>
      </w:r>
      <w:r>
        <w:rPr>
          <w:rFonts w:ascii="Times New Roman" w:cs="Times New Roman" w:eastAsia="Times New Roman" w:hAnsi="Times New Roman"/>
          <w:sz w:val="18"/>
          <w:szCs w:val="18"/>
          <w:b w:val="1"/>
          <w:bCs w:val="1"/>
          <w:color w:val="auto"/>
        </w:rPr>
        <w:t xml:space="preserve"> Trading Procedure </w:t>
      </w:r>
      <w:r>
        <w:rPr>
          <w:rFonts w:ascii="Times New Roman" w:cs="Times New Roman" w:eastAsia="Times New Roman" w:hAnsi="Times New Roman"/>
          <w:sz w:val="18"/>
          <w:szCs w:val="18"/>
          <w:color w:val="auto"/>
        </w:rPr>
        <w:t>(including any</w:t>
      </w:r>
      <w:r>
        <w:rPr>
          <w:rFonts w:ascii="Times New Roman" w:cs="Times New Roman" w:eastAsia="Times New Roman" w:hAnsi="Times New Roman"/>
          <w:sz w:val="18"/>
          <w:szCs w:val="18"/>
          <w:b w:val="1"/>
          <w:bCs w:val="1"/>
          <w:color w:val="auto"/>
        </w:rPr>
        <w:t xml:space="preserve"> Family Members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Controlled Entities</w:t>
      </w:r>
      <w:r>
        <w:rPr>
          <w:rFonts w:ascii="Times New Roman" w:cs="Times New Roman" w:eastAsia="Times New Roman" w:hAnsi="Times New Roman"/>
          <w:sz w:val="18"/>
          <w:szCs w:val="18"/>
          <w:color w:val="auto"/>
        </w:rPr>
        <w:t>) may not conduct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involving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during quarterly blackout periods starting on the 15th of the final month of each of the first, second, and third quarters, and on December 1st for the fourth quarter, and ending one (1) </w:t>
      </w:r>
      <w:r>
        <w:rPr>
          <w:rFonts w:ascii="Times New Roman" w:cs="Times New Roman" w:eastAsia="Times New Roman" w:hAnsi="Times New Roman"/>
          <w:sz w:val="18"/>
          <w:szCs w:val="18"/>
          <w:b w:val="1"/>
          <w:bCs w:val="1"/>
          <w:color w:val="auto"/>
        </w:rPr>
        <w:t>Full Market Trading Day</w:t>
      </w:r>
      <w:r>
        <w:rPr>
          <w:rFonts w:ascii="Times New Roman" w:cs="Times New Roman" w:eastAsia="Times New Roman" w:hAnsi="Times New Roman"/>
          <w:sz w:val="18"/>
          <w:szCs w:val="18"/>
          <w:color w:val="auto"/>
        </w:rPr>
        <w:t xml:space="preserve"> following the date of the public release of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’s earnings results for that fiscal quarter or fiscal year, as applicable. The exact dates will vary each year, but for illustrative purposes only, they will be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320" w:hanging="312"/>
        <w:spacing w:after="0"/>
        <w:tabs>
          <w:tab w:leader="none" w:pos="3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15 to April 28</w:t>
      </w:r>
    </w:p>
    <w:p>
      <w:pPr>
        <w:spacing w:after="0" w:line="20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15 to August 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15 to October 28</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to January 30</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 xml:space="preserve">In addition, Lilly may from time to time impose additional blackout periods without notice. Affected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xml:space="preserve"> will be notified of any such additional blackout period, as appropriate. Those affected should not disclose to others that Lilly has established an additional blackout period.</w:t>
      </w:r>
    </w:p>
    <w:p>
      <w:pPr>
        <w:spacing w:after="0" w:line="200" w:lineRule="exact"/>
        <w:rPr>
          <w:sz w:val="20"/>
          <w:szCs w:val="20"/>
          <w:color w:val="auto"/>
        </w:rPr>
      </w:pPr>
    </w:p>
    <w:p>
      <w:pPr>
        <w:spacing w:after="0" w:line="242" w:lineRule="exact"/>
        <w:rPr>
          <w:sz w:val="20"/>
          <w:szCs w:val="20"/>
          <w:color w:val="auto"/>
        </w:rPr>
      </w:pPr>
    </w:p>
    <w:p>
      <w:pPr>
        <w:ind w:right="680"/>
        <w:spacing w:after="0" w:line="313" w:lineRule="auto"/>
        <w:rPr>
          <w:sz w:val="20"/>
          <w:szCs w:val="20"/>
          <w:color w:val="auto"/>
        </w:rPr>
      </w:pPr>
      <w:r>
        <w:rPr>
          <w:rFonts w:ascii="Times New Roman" w:cs="Times New Roman" w:eastAsia="Times New Roman" w:hAnsi="Times New Roman"/>
          <w:sz w:val="18"/>
          <w:szCs w:val="18"/>
          <w:color w:val="auto"/>
        </w:rPr>
        <w:t>Blackout periods do not apply to those transactions to which this Trading Procedure does not apply, as described above under the heading “Certain Exceptions to this Trading Procedure.”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Violations of the Trading Procedure:</w:t>
      </w:r>
    </w:p>
    <w:p>
      <w:pPr>
        <w:spacing w:after="0" w:line="212" w:lineRule="exact"/>
        <w:rPr>
          <w:sz w:val="20"/>
          <w:szCs w:val="20"/>
          <w:color w:val="auto"/>
        </w:rPr>
      </w:pPr>
    </w:p>
    <w:p>
      <w:pPr>
        <w:jc w:val="both"/>
        <w:ind w:left="340" w:hanging="332"/>
        <w:spacing w:after="0" w:line="268" w:lineRule="auto"/>
        <w:tabs>
          <w:tab w:leader="none" w:pos="335" w:val="left"/>
        </w:tabs>
        <w:numPr>
          <w:ilvl w:val="0"/>
          <w:numId w:val="195"/>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The purchase or sale of securities while aware of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xml:space="preserve">, or the disclosure of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xml:space="preserve"> to others who then trade in </w:t>
      </w:r>
      <w:r>
        <w:rPr>
          <w:rFonts w:ascii="Times New Roman" w:cs="Times New Roman" w:eastAsia="Times New Roman" w:hAnsi="Times New Roman"/>
          <w:sz w:val="18"/>
          <w:szCs w:val="18"/>
          <w:b w:val="1"/>
          <w:bCs w:val="1"/>
          <w:color w:val="auto"/>
        </w:rPr>
        <w:t>Lilly Securities</w:t>
      </w:r>
      <w:r>
        <w:rPr>
          <w:rFonts w:ascii="Times New Roman" w:cs="Times New Roman" w:eastAsia="Times New Roman" w:hAnsi="Times New Roman"/>
          <w:sz w:val="18"/>
          <w:szCs w:val="18"/>
          <w:color w:val="auto"/>
        </w:rPr>
        <w:t xml:space="preserve">, is prohibited by federal and state laws. Insider trading violations are pursued vigorously by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Attorneys and state enforcement authorities as well as pursuant to the laws of foreign jurisdictions.</w:t>
      </w:r>
    </w:p>
    <w:p>
      <w:pPr>
        <w:spacing w:after="0" w:line="173" w:lineRule="exact"/>
        <w:rPr>
          <w:rFonts w:ascii="Arial" w:cs="Arial" w:eastAsia="Arial" w:hAnsi="Arial"/>
          <w:sz w:val="18"/>
          <w:szCs w:val="18"/>
          <w:color w:val="auto"/>
        </w:rPr>
      </w:pPr>
    </w:p>
    <w:p>
      <w:pPr>
        <w:jc w:val="both"/>
        <w:ind w:left="340" w:hanging="332"/>
        <w:spacing w:after="0" w:line="266" w:lineRule="auto"/>
        <w:tabs>
          <w:tab w:leader="none" w:pos="3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Punishment for insider trading violations can be severe and could include significant fines and imprisonment. Although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 individual’s failure to comply with this Trading Procedure may subject the individual to company-imposed sanctions, up to and including dismissal for cause, whether or not the employee’s failure to comply is a violation of law.</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Needless to say, a violation of law, or even an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investigation that does not result in prosecution, can tarnish a person’s reputation and irreparably damage a career.</w:t>
      </w:r>
    </w:p>
    <w:p>
      <w:pPr>
        <w:spacing w:after="0" w:line="15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Because of the personal legal liability and perception issues that arise when questionable transactions are viewed with hindsight, it is strongly recommended that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xml:space="preserve"> not trade if they have doubts about the propriety of a particular transaction.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6"/>
                <w:szCs w:val="16"/>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5</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40"/>
          </w:cols>
          <w:pgMar w:left="320" w:top="603" w:right="339" w:bottom="1440" w:gutter="0" w:footer="0" w:header="0"/>
        </w:sectPr>
      </w:pPr>
    </w:p>
    <w:bookmarkStart w:id="230" w:name="page231"/>
    <w:bookmarkEnd w:id="230"/>
    <w:p>
      <w:pPr>
        <w:jc w:val="right"/>
        <w:ind w:right="40"/>
        <w:spacing w:after="0"/>
        <w:tabs>
          <w:tab w:leader="none" w:pos="154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Contact the Office of the Corporate Secretary if you have any questions about whether information is to be treated as material or whether a particular transaction in Lilly Securities is permissible.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Employees must respect the obligation of co-workers to follow this Trading Procedure, and supervisors who are managing sensitive projects should remind their employees of the requirements in this Trading Procedure.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HSR Act Considerations:</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requires acquiring persons to file a Notification and Report Form and observe the waiting period (for most transactions, 30 days) under the HSR Act prior to consummating any transaction after which the acquiring person would hold more than $50 million (as adjusted annually) of voting securities of a corporation. Failure to make a timely filing under the HSR Act can subject the individual to civil liability, including imposition of fines, and negative press attention.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xml:space="preserve"> are responsible for ensuring that they are in compliance with the HSR Act and it is critical that all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w:t>
      </w:r>
      <w:r>
        <w:rPr>
          <w:rFonts w:ascii="Times New Roman" w:cs="Times New Roman" w:eastAsia="Times New Roman" w:hAnsi="Times New Roman"/>
          <w:sz w:val="18"/>
          <w:szCs w:val="18"/>
          <w:color w:val="auto"/>
        </w:rPr>
        <w:t>with significant holdings continually assess their HSR Act obligations and assure compliance.</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To promote compliance with the HSR Act, a Covered Person must notify the Office of the Corporate Secretary if such Covered Person’s holdings of voting </w:t>
      </w:r>
      <w:r>
        <w:rPr>
          <w:rFonts w:ascii="Times New Roman" w:cs="Times New Roman" w:eastAsia="Times New Roman" w:hAnsi="Times New Roman"/>
          <w:sz w:val="18"/>
          <w:szCs w:val="18"/>
          <w:b w:val="1"/>
          <w:bCs w:val="1"/>
          <w:color w:val="auto"/>
        </w:rPr>
        <w:t xml:space="preserve">Lilly Securities </w:t>
      </w:r>
      <w:r>
        <w:rPr>
          <w:rFonts w:ascii="Times New Roman" w:cs="Times New Roman" w:eastAsia="Times New Roman" w:hAnsi="Times New Roman"/>
          <w:sz w:val="18"/>
          <w:szCs w:val="18"/>
          <w:color w:val="auto"/>
        </w:rPr>
        <w:t>could soon potentially exceed $50 million in market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Policy and Rule 10b5-1 Plan Transactions Policy: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Certain Covered Persons are also subject to the </w:t>
      </w:r>
      <w:r>
        <w:rPr>
          <w:rFonts w:ascii="Times New Roman" w:cs="Times New Roman" w:eastAsia="Times New Roman" w:hAnsi="Times New Roman"/>
          <w:sz w:val="18"/>
          <w:szCs w:val="18"/>
          <w:i w:val="1"/>
          <w:iCs w:val="1"/>
          <w:color w:val="auto"/>
        </w:rPr>
        <w:t>Pre-Clearance Policy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Rule 10b5-1 Plan Transactions Policy</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Assistance: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Trading Procedure or its application to any proposed transaction may obtain additional guidance from the Office of the Corporate Secretary, reachable at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94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3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94"/>
        </w:trPr>
        <w:tc>
          <w:tcPr>
            <w:tcW w:w="29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8320" w:type="dxa"/>
            <w:vAlign w:val="bottom"/>
            <w:tcBorders>
              <w:bottom w:val="single" w:sz="8" w:color="auto"/>
              <w:right w:val="single" w:sz="8" w:color="auto"/>
            </w:tcBorders>
            <w:shd w:val="clear" w:color="auto" w:fill="D9D9D9"/>
          </w:tcPr>
          <w:p>
            <w:pPr>
              <w:spacing w:after="0"/>
              <w:rPr>
                <w:sz w:val="8"/>
                <w:szCs w:val="8"/>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Affiliate or Affiliates</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person or entity that directly, or indirectly through one or more intermediaries, controls, or is controlled by, or</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 common control with, Lilly.</w:t>
            </w:r>
          </w:p>
        </w:tc>
      </w:tr>
      <w:tr>
        <w:trPr>
          <w:trHeight w:val="135"/>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8320" w:type="dxa"/>
            <w:vAlign w:val="bottom"/>
            <w:tcBorders>
              <w:bottom w:val="single" w:sz="8" w:color="auto"/>
              <w:right w:val="single" w:sz="8" w:color="auto"/>
            </w:tcBorders>
          </w:tcPr>
          <w:p>
            <w:pPr>
              <w:spacing w:after="0"/>
              <w:rPr>
                <w:sz w:val="11"/>
                <w:szCs w:val="11"/>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Controlled Entities</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Entities that a Covered Person influences or controls, including any corporations, partnerships or trusts.</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Covered Persons</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directors, officers and employees of Lilly, for the duration of the directorship, term in office, or employment,</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applicable, and for a period of six months following the end of service to Lilly.</w:t>
            </w:r>
          </w:p>
        </w:tc>
      </w:tr>
      <w:tr>
        <w:trPr>
          <w:trHeight w:val="135"/>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8320" w:type="dxa"/>
            <w:vAlign w:val="bottom"/>
            <w:tcBorders>
              <w:bottom w:val="single" w:sz="8" w:color="auto"/>
              <w:right w:val="single" w:sz="8" w:color="auto"/>
            </w:tcBorders>
          </w:tcPr>
          <w:p>
            <w:pPr>
              <w:spacing w:after="0"/>
              <w:rPr>
                <w:sz w:val="11"/>
                <w:szCs w:val="11"/>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1600" w:type="dxa"/>
            <w:vAlign w:val="bottom"/>
          </w:tcPr>
          <w:p>
            <w:pPr>
              <w:spacing w:after="0"/>
              <w:rPr>
                <w:sz w:val="16"/>
                <w:szCs w:val="16"/>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160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 xml:space="preserve">Page </w:t>
            </w:r>
            <w:r>
              <w:rPr>
                <w:rFonts w:ascii="Times New Roman" w:cs="Times New Roman" w:eastAsia="Times New Roman" w:hAnsi="Times New Roman"/>
                <w:sz w:val="16"/>
                <w:szCs w:val="16"/>
                <w:b w:val="1"/>
                <w:bCs w:val="1"/>
                <w:color w:val="auto"/>
                <w:w w:val="99"/>
              </w:rPr>
              <w:t>6</w:t>
            </w:r>
            <w:r>
              <w:rPr>
                <w:rFonts w:ascii="Times New Roman" w:cs="Times New Roman" w:eastAsia="Times New Roman" w:hAnsi="Times New Roman"/>
                <w:sz w:val="16"/>
                <w:szCs w:val="16"/>
                <w:color w:val="auto"/>
                <w:w w:val="99"/>
              </w:rPr>
              <w:t xml:space="preserve"> of 9</w:t>
            </w:r>
          </w:p>
        </w:tc>
      </w:tr>
    </w:tbl>
    <w:p>
      <w:pPr>
        <w:sectPr>
          <w:pgSz w:w="11900" w:h="16838" w:orient="portrait"/>
          <w:cols w:equalWidth="0" w:num="1">
            <w:col w:w="11260"/>
          </w:cols>
          <w:pgMar w:left="320" w:top="603" w:right="319" w:bottom="1440" w:gutter="0" w:footer="0" w:header="0"/>
        </w:sectPr>
      </w:pPr>
    </w:p>
    <w:bookmarkStart w:id="231" w:name="page232"/>
    <w:bookmarkEnd w:id="231"/>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Family Members</w:t>
            </w:r>
          </w:p>
        </w:tc>
        <w:tc>
          <w:tcPr>
            <w:tcW w:w="8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Include, but are not limited to, a spouse, children and stepchildren (including if away at college), grandchildren,</w:t>
            </w:r>
          </w:p>
        </w:tc>
      </w:tr>
      <w:tr>
        <w:trPr>
          <w:trHeight w:val="238"/>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parents, stepparents, grandparents, siblings and in-laws of a Covered Person who (i) reside with such Covered</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 or (ii) do not reside in the household with such Covered Person, but whose transactions in Lilly</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are directed by them or are subject to their influence or control, such as parents or children who</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consult with them before they trade in Lilly Securities.</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 144</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Required under Rule 144 of the Securities Act, Form 144 must be filed by any person who is or was an Affiliate</w:t>
            </w:r>
          </w:p>
        </w:tc>
      </w:tr>
      <w:tr>
        <w:trPr>
          <w:trHeight w:val="238"/>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within the past 90 days who intends to sell either restricted securities or control securities if the amount of</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to be sold in reliance thereon in a three month period exceeds 5,000 shares or other units or has an</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aggregate sale price in excess of $50,000. Form 144 is notification to the SEC of this intention to sell and must</w:t>
            </w:r>
          </w:p>
        </w:tc>
      </w:tr>
      <w:tr>
        <w:trPr>
          <w:trHeight w:val="238"/>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take place at the time the sell order is placed with the broker-dealer. The securities may be sold within the ninety</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 day period after Form 144 is filed.</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Full Market Trading Day</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period of at least 24 hours that includes both the open and close of a single trading day on the New York Stock</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Exchange.</w:t>
            </w:r>
          </w:p>
        </w:tc>
      </w:tr>
      <w:tr>
        <w:trPr>
          <w:trHeight w:val="337"/>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respect to an announcement that is made prior to market open on a day on which the New York Stock</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Exchange is open, one (1) Full Market Trading Day will have elapsed at the next market open of the New York</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 Exchange.</w:t>
            </w:r>
          </w:p>
        </w:tc>
      </w:tr>
      <w:tr>
        <w:trPr>
          <w:trHeight w:val="33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respect to an announcement that is made after market open, one (1) Full Market Trading Day will have</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elapsed after the close of market on the next day the New York Stock Exchange is open.</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HSR Act</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Hart-Scott-Rodino Antitrust Improvements Act of 1976, as amended.</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Lilly</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Eli Lilly and Company and its subsidiaries.</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Lilly Securities</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Lilly’s securities, including Lilly’s common stock, options to purchase common stock or any other type of</w:t>
            </w:r>
          </w:p>
        </w:tc>
      </w:tr>
      <w:tr>
        <w:trPr>
          <w:trHeight w:val="238"/>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that Lilly may issue, including (but not limited to) preferred stock, convertible debentures and</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warrants, as well as derivative securities that are not issued by Lilly, such as exchange-traded put or call options</w:t>
            </w:r>
          </w:p>
        </w:tc>
      </w:tr>
      <w:tr>
        <w:trPr>
          <w:trHeight w:val="243"/>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swaps relating to Lilly’s securities.</w:t>
            </w:r>
          </w:p>
        </w:tc>
      </w:tr>
      <w:tr>
        <w:trPr>
          <w:trHeight w:val="34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Excludes interests in mutual funds or similar broad-based indices that are not concentrated in Lilly Securities or</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securities of any other pharmaceutical company.</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763"/>
        </w:trPr>
        <w:tc>
          <w:tcPr>
            <w:tcW w:w="1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r>
      <w:tr>
        <w:trPr>
          <w:trHeight w:val="26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832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9</w:t>
            </w:r>
          </w:p>
        </w:tc>
      </w:tr>
    </w:tbl>
    <w:p>
      <w:pPr>
        <w:sectPr>
          <w:pgSz w:w="11900" w:h="16838" w:orient="portrait"/>
          <w:cols w:equalWidth="0" w:num="1">
            <w:col w:w="11260"/>
          </w:cols>
          <w:pgMar w:left="320" w:top="603" w:right="319" w:bottom="1440" w:gutter="0" w:footer="0" w:header="0"/>
        </w:sectPr>
      </w:pPr>
    </w:p>
    <w:bookmarkStart w:id="232" w:name="page233"/>
    <w:bookmarkEnd w:id="232"/>
    <w:p>
      <w:pPr>
        <w:ind w:left="1520"/>
        <w:spacing w:after="0"/>
        <w:tabs>
          <w:tab w:leader="none" w:pos="9680" w:val="left"/>
        </w:tabs>
        <w:rPr>
          <w:sz w:val="20"/>
          <w:szCs w:val="20"/>
          <w:color w:val="auto"/>
        </w:rPr>
      </w:pPr>
      <w:r>
        <w:rPr>
          <w:rFonts w:ascii="Times New Roman" w:cs="Times New Roman" w:eastAsia="Times New Roman" w:hAnsi="Times New Roman"/>
          <w:sz w:val="25"/>
          <w:szCs w:val="25"/>
          <w:color w:val="auto"/>
        </w:rPr>
        <w:t>Trading Lilly Securities</w:t>
      </w:r>
      <w:r>
        <w:rPr>
          <w:sz w:val="20"/>
          <w:szCs w:val="20"/>
          <w:color w:val="auto"/>
        </w:rPr>
        <w:tab/>
      </w:r>
      <w:r>
        <w:rPr>
          <w:rFonts w:ascii="Times New Roman" w:cs="Times New Roman" w:eastAsia="Times New Roman" w:hAnsi="Times New Roman"/>
          <w:sz w:val="21"/>
          <w:szCs w:val="21"/>
          <w:color w:val="auto"/>
        </w:rPr>
        <w:t>Global Procedure</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Version 1.3</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Material, Non-Public Information</w:t>
            </w:r>
          </w:p>
        </w:tc>
        <w:tc>
          <w:tcPr>
            <w:tcW w:w="8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See “Definition of Material, Non-Public Information,” above.</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Rule 10b5-1 Plan</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trading plan that meets certain requirements specified in Rule 10b5-1(c) under the Exchange Act.</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r>
        <w:trPr>
          <w:trHeight w:val="250"/>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48"/>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3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358"/>
        </w:trPr>
        <w:tc>
          <w:tcPr>
            <w:tcW w:w="1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5"/>
                <w:szCs w:val="25"/>
                <w:color w:val="auto"/>
              </w:rPr>
              <w:t>Owner:</w:t>
            </w:r>
          </w:p>
        </w:tc>
        <w:tc>
          <w:tcPr>
            <w:tcW w:w="886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Executive Vice President, General Counsel and Secretary</w:t>
            </w:r>
          </w:p>
        </w:tc>
      </w:tr>
      <w:tr>
        <w:trPr>
          <w:trHeight w:val="345"/>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5"/>
                <w:szCs w:val="25"/>
                <w:color w:val="auto"/>
              </w:rPr>
              <w:t>Approver:</w:t>
            </w: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Policy Subcommittee</w:t>
            </w:r>
          </w:p>
        </w:tc>
        <w:tc>
          <w:tcPr>
            <w:tcW w:w="6540" w:type="dxa"/>
            <w:vAlign w:val="bottom"/>
            <w:tcBorders>
              <w:bottom w:val="single" w:sz="8" w:color="auto"/>
              <w:right w:val="single" w:sz="8" w:color="auto"/>
            </w:tcBorders>
          </w:tcPr>
          <w:p>
            <w:pPr>
              <w:spacing w:after="0"/>
              <w:rPr>
                <w:sz w:val="24"/>
                <w:szCs w:val="24"/>
                <w:color w:val="auto"/>
              </w:rPr>
            </w:pPr>
          </w:p>
        </w:tc>
      </w:tr>
      <w:tr>
        <w:trPr>
          <w:trHeight w:val="76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Ethical Interactions: Communicating Honestly</w:t>
            </w:r>
          </w:p>
        </w:tc>
        <w:tc>
          <w:tcPr>
            <w:tcW w:w="6540" w:type="dxa"/>
            <w:vAlign w:val="bottom"/>
          </w:tcPr>
          <w:p>
            <w:pPr>
              <w:spacing w:after="0"/>
              <w:rPr>
                <w:sz w:val="24"/>
                <w:szCs w:val="24"/>
                <w:color w:val="auto"/>
              </w:rPr>
            </w:pPr>
          </w:p>
        </w:tc>
      </w:tr>
      <w:tr>
        <w:trPr>
          <w:trHeight w:val="264"/>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2023 Eli Lilly and Company Confidential</w:t>
            </w:r>
          </w:p>
        </w:tc>
        <w:tc>
          <w:tcPr>
            <w:tcW w:w="6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9</w:t>
            </w:r>
          </w:p>
        </w:tc>
      </w:tr>
    </w:tbl>
    <w:p>
      <w:pPr>
        <w:sectPr>
          <w:pgSz w:w="11900" w:h="16838" w:orient="portrait"/>
          <w:cols w:equalWidth="0" w:num="1">
            <w:col w:w="11260"/>
          </w:cols>
          <w:pgMar w:left="320" w:top="603" w:right="319" w:bottom="1440" w:gutter="0" w:footer="0" w:header="0"/>
        </w:sectPr>
      </w:pPr>
    </w:p>
    <w:bookmarkStart w:id="233" w:name="page234"/>
    <w:bookmarkEnd w:id="233"/>
    <w:p>
      <w:pPr>
        <w:spacing w:after="0" w:line="1" w:lineRule="exact"/>
        <w:rPr>
          <w:sz w:val="20"/>
          <w:szCs w:val="20"/>
          <w:color w:val="auto"/>
        </w:rPr>
      </w:pPr>
    </w:p>
    <w:tbl>
      <w:tblPr>
        <w:tblLayout w:type="fixed"/>
        <w:tblInd w:w="1512" w:type="dxa"/>
        <w:tblCellMar>
          <w:top w:w="0" w:type="dxa"/>
          <w:left w:w="0" w:type="dxa"/>
          <w:bottom w:w="0" w:type="dxa"/>
          <w:right w:w="0" w:type="dxa"/>
        </w:tblCellMar>
      </w:tblPr>
      <w:tr>
        <w:trPr>
          <w:trHeight w:val="253"/>
        </w:trPr>
        <w:tc>
          <w:tcPr>
            <w:tcW w:w="528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Trading Lilly Securities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Global Procedure</w:t>
            </w: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Version 1.3</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22,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21" w:lineRule="exact"/>
        <w:rPr>
          <w:sz w:val="20"/>
          <w:szCs w:val="20"/>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18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w:t>
      </w:r>
    </w:p>
    <w:p>
      <w:pPr>
        <w:spacing w:after="0" w:line="19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SAP/COR access employees (to be updated quarterly);</w:t>
      </w:r>
    </w:p>
    <w:p>
      <w:pPr>
        <w:spacing w:after="0" w:line="18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M4/P6+ Finance employees (to be updated quarterly based on HR system search);</w:t>
      </w:r>
    </w:p>
    <w:p>
      <w:pPr>
        <w:spacing w:after="0" w:line="18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Employees in the following departments who participate in earnings/10-Q process (updated quarterly by point of contact):</w:t>
      </w:r>
    </w:p>
    <w:p>
      <w:pPr>
        <w:spacing w:after="0" w:line="211"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Finance;</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IR;</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HR/IDS;</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Communications;</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Accounting;</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Legal; and</w:t>
      </w:r>
    </w:p>
    <w:p>
      <w:pPr>
        <w:spacing w:after="0" w:line="223" w:lineRule="exact"/>
        <w:rPr>
          <w:rFonts w:ascii="Courier New" w:cs="Courier New" w:eastAsia="Courier New" w:hAnsi="Courier New"/>
          <w:sz w:val="18"/>
          <w:szCs w:val="18"/>
          <w:color w:val="auto"/>
        </w:rPr>
      </w:pPr>
    </w:p>
    <w:p>
      <w:pPr>
        <w:ind w:left="652" w:hanging="328"/>
        <w:spacing w:after="0"/>
        <w:tabs>
          <w:tab w:leader="none" w:pos="652" w:val="left"/>
        </w:tabs>
        <w:numPr>
          <w:ilvl w:val="1"/>
          <w:numId w:val="19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Tax;</w:t>
      </w:r>
    </w:p>
    <w:p>
      <w:pPr>
        <w:spacing w:after="0" w:line="209" w:lineRule="exact"/>
        <w:rPr>
          <w:rFonts w:ascii="Courier New" w:cs="Courier New" w:eastAsia="Courier New" w:hAnsi="Courier New"/>
          <w:sz w:val="18"/>
          <w:szCs w:val="18"/>
          <w:color w:val="auto"/>
        </w:rPr>
      </w:pPr>
    </w:p>
    <w:p>
      <w:pPr>
        <w:ind w:left="312" w:hanging="312"/>
        <w:spacing w:after="0"/>
        <w:tabs>
          <w:tab w:leader="none" w:pos="31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subject to the Pre-Clearance Policy not otherwise represented in the above list.</w:t>
      </w:r>
    </w:p>
    <w:p>
      <w:pPr>
        <w:sectPr>
          <w:pgSz w:w="11900" w:h="16838" w:orient="portrait"/>
          <w:cols w:equalWidth="0" w:num="1">
            <w:col w:w="11212"/>
          </w:cols>
          <w:pgMar w:left="328" w:top="179" w:right="359" w:bottom="1440" w:gutter="0" w:footer="0" w:header="0"/>
        </w:sectPr>
      </w:pPr>
    </w:p>
    <w:bookmarkStart w:id="234" w:name="page235"/>
    <w:bookmarkEnd w:id="234"/>
    <w:p>
      <w:pPr>
        <w:ind w:left="370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The following are subsidiaries and affiliated companies of Eli Lilly and Company at December 31, 2024.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Akouos Securities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Akouos,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Aparito Espanya S.L.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Aparito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Aparito,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Balance Pharmacy Services,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DICE Alpha,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DICE Molecules SV,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DICE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Bosnia and Herzegovina</w:t>
            </w:r>
          </w:p>
        </w:tc>
      </w:tr>
    </w:tbl>
    <w:p>
      <w:pPr>
        <w:sectPr>
          <w:pgSz w:w="11900" w:h="16838" w:orient="portrait"/>
          <w:cols w:equalWidth="0" w:num="1">
            <w:col w:w="11180"/>
          </w:cols>
          <w:pgMar w:left="360" w:top="890" w:right="35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Clinical Diagnostics Laboratory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de Costa Rica,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Costa 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Polska Sp. 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Vostok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Emergence Therapeutics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Emergence Therapeutics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Epitopia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IASO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bl>
    <w:p>
      <w:pPr>
        <w:sectPr>
          <w:pgSz w:w="11900" w:h="16838" w:orient="portrait"/>
          <w:cols w:equalWidth="0" w:num="1">
            <w:col w:w="11180"/>
          </w:cols>
          <w:pgMar w:left="360" w:top="928" w:right="359" w:bottom="1440" w:gutter="0" w:footer="0" w:header="0"/>
        </w:sectPr>
      </w:pPr>
    </w:p>
    <w:bookmarkStart w:id="236" w:name="page237"/>
    <w:bookmarkEnd w:id="2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ImClone Systems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Immunitrack ApS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Isopro Holdings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III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IV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 2023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LDH VI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Ilac Ticaret Limited Sirketi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Lebanon Advanced Therapies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Mablink Bioscience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Manet Holdings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Morphic Holding,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Morphic Security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bl>
    <w:p>
      <w:pPr>
        <w:sectPr>
          <w:pgSz w:w="11900" w:h="16838" w:orient="portrait"/>
          <w:cols w:equalWidth="0" w:num="1">
            <w:col w:w="11180"/>
          </w:cols>
          <w:pgMar w:left="360" w:top="928" w:right="359"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44"/>
        </w:trPr>
        <w:tc>
          <w:tcPr>
            <w:tcW w:w="6000" w:type="dxa"/>
            <w:vAlign w:val="bottom"/>
          </w:tcPr>
          <w:p>
            <w:pPr>
              <w:spacing w:after="0"/>
              <w:rPr>
                <w:sz w:val="12"/>
                <w:szCs w:val="12"/>
                <w:color w:val="auto"/>
              </w:rPr>
            </w:pPr>
          </w:p>
        </w:tc>
        <w:tc>
          <w:tcPr>
            <w:tcW w:w="5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Incorporation</w:t>
            </w:r>
          </w:p>
        </w:tc>
      </w:tr>
      <w:tr>
        <w:trPr>
          <w:trHeight w:val="189"/>
        </w:trPr>
        <w:tc>
          <w:tcPr>
            <w:tcW w:w="600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58"/>
        </w:trPr>
        <w:tc>
          <w:tcPr>
            <w:tcW w:w="6000" w:type="dxa"/>
            <w:vAlign w:val="bottom"/>
          </w:tcPr>
          <w:p>
            <w:pPr>
              <w:spacing w:after="0"/>
              <w:rPr>
                <w:sz w:val="20"/>
                <w:szCs w:val="20"/>
                <w:color w:val="auto"/>
              </w:rPr>
            </w:pPr>
            <w:r>
              <w:rPr>
                <w:rFonts w:ascii="Arial" w:cs="Arial" w:eastAsia="Arial" w:hAnsi="Arial"/>
                <w:sz w:val="18"/>
                <w:szCs w:val="18"/>
                <w:color w:val="auto"/>
              </w:rPr>
              <w:t>Morphic Therapeutic UK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Morphic Therapeutic,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NexPharm Parent Holdco,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Corp.</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Global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Point Biopharma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Point Biopharma USA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Prevail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Protomer Technologies,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Sigilon Securities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Sigilon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Versanis Bio Australia PTY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Versanis Bio,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Vitalfarma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West 78th Street,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bl>
    <w:p>
      <w:pPr>
        <w:sectPr>
          <w:pgSz w:w="11900" w:h="16838" w:orient="portrait"/>
          <w:cols w:equalWidth="0" w:num="1">
            <w:col w:w="11180"/>
          </w:cols>
          <w:pgMar w:left="360" w:top="928" w:right="359" w:bottom="1440" w:gutter="0" w:footer="0" w:header="0"/>
        </w:sectPr>
      </w:pPr>
    </w:p>
    <w:bookmarkStart w:id="238" w:name="page239"/>
    <w:bookmarkEnd w:id="238"/>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(Form S-8 Nos. 333-104057, 333-172422, 333-258801, and</w:t>
      </w:r>
    </w:p>
    <w:p>
      <w:pPr>
        <w:spacing w:after="0" w:line="117"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333-258803) of Eli Lilly and Company and in the related Prospectus of our reports dated February 19, 2025, with respect to the consolidated financial statements of Eli Lilly and Company and subsidiaries, and the effectiveness of internal control over financial reporting of Eli Lilly and Company and subsidiaries, included in this Annual Report (Form 10-K) for the year ended December 31, 2024.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2025</w:t>
      </w:r>
    </w:p>
    <w:p>
      <w:pPr>
        <w:sectPr>
          <w:pgSz w:w="11900" w:h="16838" w:orient="portrait"/>
          <w:cols w:equalWidth="0" w:num="1">
            <w:col w:w="11180"/>
          </w:cols>
          <w:pgMar w:left="320" w:top="1440" w:right="39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Ricks</w:t>
            </w:r>
          </w:p>
        </w:tc>
      </w:tr>
      <w:tr>
        <w:trPr>
          <w:trHeight w:val="218"/>
        </w:trPr>
        <w:tc>
          <w:tcPr>
            <w:tcW w:w="60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Ricks</w:t>
            </w:r>
          </w:p>
        </w:tc>
      </w:tr>
      <w:tr>
        <w:trPr>
          <w:trHeight w:val="239"/>
        </w:trPr>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890" w:right="3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68" w:lineRule="auto"/>
        <w:tabs>
          <w:tab w:leader="none" w:pos="6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hanging="328"/>
        <w:spacing w:after="0" w:line="268" w:lineRule="auto"/>
        <w:tabs>
          <w:tab w:leader="none" w:pos="6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hanging="320"/>
        <w:spacing w:after="0" w:line="268" w:lineRule="auto"/>
        <w:tabs>
          <w:tab w:leader="none" w:pos="128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520" w:hanging="320"/>
        <w:spacing w:after="0" w:line="291" w:lineRule="auto"/>
        <w:tabs>
          <w:tab w:leader="none" w:pos="128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280" w:hanging="320"/>
        <w:spacing w:after="0" w:line="268" w:lineRule="auto"/>
        <w:tabs>
          <w:tab w:leader="none" w:pos="12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40" w:hanging="320"/>
        <w:spacing w:after="0" w:line="268" w:lineRule="auto"/>
        <w:tabs>
          <w:tab w:leader="none" w:pos="128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60" w:hanging="320"/>
        <w:spacing w:after="0" w:line="287" w:lineRule="auto"/>
        <w:tabs>
          <w:tab w:leader="none" w:pos="128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2025</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Lucas Montarce</w:t>
            </w:r>
          </w:p>
        </w:tc>
      </w:tr>
      <w:tr>
        <w:trPr>
          <w:trHeight w:val="218"/>
        </w:trPr>
        <w:tc>
          <w:tcPr>
            <w:tcW w:w="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Lucas Montarce</w:t>
            </w:r>
          </w:p>
        </w:tc>
      </w:tr>
      <w:tr>
        <w:trPr>
          <w:trHeight w:val="239"/>
        </w:trPr>
        <w:tc>
          <w:tcPr>
            <w:tcW w:w="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890" w:right="3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Annual Report on Form 10-K for the year ended December 31, 2024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Date: February 19, 2025</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Ricks</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Ricks</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 President, and Chief Executive Officer</w:t>
            </w:r>
          </w:p>
        </w:tc>
      </w:tr>
      <w:tr>
        <w:trPr>
          <w:trHeight w:val="631"/>
        </w:trPr>
        <w:tc>
          <w:tcPr>
            <w:tcW w:w="5080" w:type="dxa"/>
            <w:vAlign w:val="bottom"/>
          </w:tcPr>
          <w:p>
            <w:pPr>
              <w:spacing w:after="0"/>
              <w:rPr>
                <w:sz w:val="20"/>
                <w:szCs w:val="20"/>
                <w:color w:val="auto"/>
              </w:rPr>
            </w:pPr>
            <w:r>
              <w:rPr>
                <w:rFonts w:ascii="Arial" w:cs="Arial" w:eastAsia="Arial" w:hAnsi="Arial"/>
                <w:sz w:val="18"/>
                <w:szCs w:val="18"/>
                <w:color w:val="auto"/>
              </w:rPr>
              <w:t>Date: February 19, 2025</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Lucas Montarce</w:t>
            </w:r>
          </w:p>
        </w:tc>
      </w:tr>
      <w:tr>
        <w:trPr>
          <w:trHeight w:val="218"/>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Lucas Montarce</w:t>
            </w:r>
          </w:p>
        </w:tc>
      </w:tr>
      <w:tr>
        <w:trPr>
          <w:trHeight w:val="181"/>
        </w:trPr>
        <w:tc>
          <w:tcPr>
            <w:tcW w:w="5080" w:type="dxa"/>
            <w:vAlign w:val="bottom"/>
          </w:tcPr>
          <w:p>
            <w:pPr>
              <w:spacing w:after="0"/>
              <w:rPr>
                <w:sz w:val="15"/>
                <w:szCs w:val="15"/>
                <w:color w:val="auto"/>
              </w:rPr>
            </w:pPr>
          </w:p>
        </w:tc>
        <w:tc>
          <w:tcPr>
            <w:tcW w:w="5900" w:type="dxa"/>
            <w:vAlign w:val="bottom"/>
          </w:tcPr>
          <w:p>
            <w:pPr>
              <w:ind w:left="160"/>
              <w:spacing w:after="0" w:line="181" w:lineRule="exact"/>
              <w:rPr>
                <w:sz w:val="20"/>
                <w:szCs w:val="20"/>
                <w:color w:val="auto"/>
              </w:rPr>
            </w:pPr>
            <w:r>
              <w:rPr>
                <w:rFonts w:ascii="Arial" w:cs="Arial" w:eastAsia="Arial" w:hAnsi="Arial"/>
                <w:sz w:val="18"/>
                <w:szCs w:val="18"/>
                <w:color w:val="auto"/>
              </w:rPr>
              <w:t>Executive Vice President and</w:t>
            </w:r>
          </w:p>
        </w:tc>
      </w:tr>
      <w:tr>
        <w:trPr>
          <w:trHeight w:val="239"/>
        </w:trPr>
        <w:tc>
          <w:tcPr>
            <w:tcW w:w="508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lvl w:ilvl="1">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1)"/>
      <w:numFmt w:val="decimal"/>
      <w:start w:val="1"/>
    </w:lvl>
  </w:abstractNum>
  <w:abstractNum w:abstractNumId="20">
    <w:nsid w:val="97E1B4E"/>
    <w:multiLevelType w:val="hybridMultilevel"/>
    <w:lvl w:ilvl="0">
      <w:lvlJc w:val="left"/>
      <w:lvlText w:val="(%1)"/>
      <w:numFmt w:val="decimal"/>
      <w:start w:val="1"/>
    </w:lvl>
  </w:abstractNum>
  <w:abstractNum w:abstractNumId="21">
    <w:nsid w:val="51088277"/>
    <w:multiLevelType w:val="hybridMultilevel"/>
    <w:lvl w:ilvl="0">
      <w:lvlJc w:val="left"/>
      <w:lvlText w:val="(%1)"/>
      <w:numFmt w:val="decimal"/>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1)"/>
      <w:numFmt w:val="decimal"/>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1)"/>
      <w:numFmt w:val="decimal"/>
      <w:start w:val="1"/>
    </w:lvl>
  </w:abstractNum>
  <w:abstractNum w:abstractNumId="29">
    <w:nsid w:val="E7FFA2B"/>
    <w:multiLevelType w:val="hybridMultilevel"/>
    <w:lvl w:ilvl="0">
      <w:lvlJc w:val="left"/>
      <w:lvlText w:val="(%1)"/>
      <w:numFmt w:val="decimal"/>
      <w:start w:val="1"/>
    </w:lvl>
  </w:abstractNum>
  <w:abstractNum w:abstractNumId="30">
    <w:nsid w:val="3C5991AA"/>
    <w:multiLevelType w:val="hybridMultilevel"/>
    <w:lvl w:ilvl="0">
      <w:lvlJc w:val="left"/>
      <w:lvlText w:val="(%1)"/>
      <w:numFmt w:val="decimal"/>
      <w:start w:val="1"/>
    </w:lvl>
  </w:abstractNum>
  <w:abstractNum w:abstractNumId="31">
    <w:nsid w:val="4BD8591A"/>
    <w:multiLevelType w:val="hybridMultilevel"/>
    <w:lvl w:ilvl="0">
      <w:lvlJc w:val="left"/>
      <w:lvlText w:val="(%1)"/>
      <w:numFmt w:val="decimal"/>
      <w:start w:val="1"/>
    </w:lvl>
  </w:abstractNum>
  <w:abstractNum w:abstractNumId="32">
    <w:nsid w:val="78DF6A55"/>
    <w:multiLevelType w:val="hybridMultilevel"/>
    <w:lvl w:ilvl="0">
      <w:lvlJc w:val="left"/>
      <w:lvlText w:val="(%1)"/>
      <w:numFmt w:val="decimal"/>
      <w:start w:val="1"/>
    </w:lvl>
  </w:abstractNum>
  <w:abstractNum w:abstractNumId="33">
    <w:nsid w:val="39B7AAA2"/>
    <w:multiLevelType w:val="hybridMultilevel"/>
    <w:lvl w:ilvl="0">
      <w:lvlJc w:val="left"/>
      <w:lvlText w:val="(%1)"/>
      <w:numFmt w:val="decimal"/>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1)"/>
      <w:numFmt w:val="decimal"/>
      <w:start w:val="1"/>
    </w:lvl>
  </w:abstractNum>
  <w:abstractNum w:abstractNumId="36">
    <w:nsid w:val="379E21B5"/>
    <w:multiLevelType w:val="hybridMultilevel"/>
    <w:lvl w:ilvl="0">
      <w:lvlJc w:val="left"/>
      <w:lvlText w:val="(%1)"/>
      <w:numFmt w:val="decimal"/>
      <w:start w:val="1"/>
    </w:lvl>
  </w:abstractNum>
  <w:abstractNum w:abstractNumId="37">
    <w:nsid w:val="69E373"/>
    <w:multiLevelType w:val="hybridMultilevel"/>
    <w:lvl w:ilvl="0">
      <w:lvlJc w:val="left"/>
      <w:lvlText w:val="(%1)"/>
      <w:numFmt w:val="decimal"/>
      <w:start w:val="1"/>
    </w:lvl>
  </w:abstractNum>
  <w:abstractNum w:abstractNumId="38">
    <w:nsid w:val="2C27173B"/>
    <w:multiLevelType w:val="hybridMultilevel"/>
    <w:lvl w:ilvl="0">
      <w:lvlJc w:val="left"/>
      <w:lvlText w:val="(%1)"/>
      <w:numFmt w:val="decimal"/>
      <w:start w:val="1"/>
    </w:lvl>
  </w:abstractNum>
  <w:abstractNum w:abstractNumId="39">
    <w:nsid w:val="4C9B0904"/>
    <w:multiLevelType w:val="hybridMultilevel"/>
    <w:lvl w:ilvl="0">
      <w:lvlJc w:val="left"/>
      <w:lvlText w:val="(%1)"/>
      <w:numFmt w:val="decimal"/>
      <w:start w:val="1"/>
    </w:lvl>
  </w:abstractNum>
  <w:abstractNum w:abstractNumId="40">
    <w:nsid w:val="6AA7B75C"/>
    <w:multiLevelType w:val="hybridMultilevel"/>
    <w:lvl w:ilvl="0">
      <w:lvlJc w:val="left"/>
      <w:lvlText w:val="(%1)"/>
      <w:numFmt w:val="decimal"/>
      <w:start w:val="1"/>
    </w:lvl>
  </w:abstractNum>
  <w:abstractNum w:abstractNumId="41">
    <w:nsid w:val="1DF029D3"/>
    <w:multiLevelType w:val="hybridMultilevel"/>
    <w:lvl w:ilvl="0">
      <w:lvlJc w:val="left"/>
      <w:lvlText w:val="(%1)"/>
      <w:numFmt w:val="decimal"/>
      <w:start w:val="1"/>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1)"/>
      <w:numFmt w:val="lowerLetter"/>
      <w:start w:val="3"/>
    </w:lvl>
  </w:abstractNum>
  <w:abstractNum w:abstractNumId="44">
    <w:nsid w:val="3DB012B3"/>
    <w:multiLevelType w:val="hybridMultilevel"/>
    <w:lvl w:ilvl="0">
      <w:lvlJc w:val="left"/>
      <w:lvlText w:val="(%1)"/>
      <w:numFmt w:val="decimal"/>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1)"/>
      <w:numFmt w:val="decimal"/>
      <w:start w:val="1"/>
    </w:lvl>
  </w:abstractNum>
  <w:abstractNum w:abstractNumId="47">
    <w:nsid w:val="175DFCF0"/>
    <w:multiLevelType w:val="hybridMultilevel"/>
    <w:lvl w:ilvl="0">
      <w:lvlJc w:val="left"/>
      <w:lvlText w:val="%1."/>
      <w:numFmt w:val="lowerLetter"/>
      <w:start w:val="1"/>
    </w:lvl>
  </w:abstractNum>
  <w:abstractNum w:abstractNumId="48">
    <w:nsid w:val="4F97E3E4"/>
    <w:multiLevelType w:val="hybridMultilevel"/>
    <w:lvl w:ilvl="0">
      <w:lvlJc w:val="left"/>
      <w:lvlText w:val="%1."/>
      <w:numFmt w:val="lowerLetter"/>
      <w:start w:val="1"/>
    </w:lvl>
  </w:abstractNum>
  <w:abstractNum w:abstractNumId="49">
    <w:nsid w:val="53B0A9E"/>
    <w:multiLevelType w:val="hybridMultilevel"/>
    <w:lvl w:ilvl="0">
      <w:lvlJc w:val="left"/>
      <w:lvlText w:val="(%1)"/>
      <w:numFmt w:val="upperLetter"/>
      <w:start w:val="5"/>
    </w:lvl>
  </w:abstractNum>
  <w:abstractNum w:abstractNumId="50">
    <w:nsid w:val="34FD6B4F"/>
    <w:multiLevelType w:val="hybridMultilevel"/>
    <w:lvl w:ilvl="0">
      <w:lvlJc w:val="left"/>
      <w:lvlText w:val="%1."/>
      <w:numFmt w:val="lowerLetter"/>
      <w:start w:val="2"/>
    </w:lvl>
    <w:lvl w:ilvl="1">
      <w:lvlJc w:val="left"/>
      <w:lvlText w:val="%2."/>
      <w:numFmt w:val="lowerRoman"/>
      <w:start w:val="1"/>
    </w:lvl>
  </w:abstractNum>
  <w:abstractNum w:abstractNumId="51">
    <w:nsid w:val="5915FF32"/>
    <w:multiLevelType w:val="hybridMultilevel"/>
    <w:lvl w:ilvl="0">
      <w:lvlJc w:val="left"/>
      <w:lvlText w:val="%1."/>
      <w:numFmt w:val="lowerLetter"/>
      <w:start w:val="3"/>
    </w:lvl>
  </w:abstractNum>
  <w:abstractNum w:abstractNumId="52">
    <w:nsid w:val="56438D15"/>
    <w:multiLevelType w:val="hybridMultilevel"/>
    <w:lvl w:ilvl="0">
      <w:lvlJc w:val="left"/>
      <w:lvlText w:val="%1."/>
      <w:numFmt w:val="lowerLetter"/>
      <w:start w:val="1"/>
    </w:lvl>
    <w:lvl w:ilvl="1">
      <w:lvlJc w:val="left"/>
      <w:lvlText w:val="%2."/>
      <w:numFmt w:val="lowerRoman"/>
      <w:start w:val="1"/>
    </w:lvl>
  </w:abstractNum>
  <w:abstractNum w:abstractNumId="53">
    <w:nsid w:val="519E3149"/>
    <w:multiLevelType w:val="hybridMultilevel"/>
    <w:lvl w:ilvl="0">
      <w:lvlJc w:val="left"/>
      <w:lvlText w:val="%1."/>
      <w:numFmt w:val="lowerLetter"/>
      <w:start w:val="4"/>
    </w:lvl>
  </w:abstractNum>
  <w:abstractNum w:abstractNumId="54">
    <w:nsid w:val="2C6E4AFD"/>
    <w:multiLevelType w:val="hybridMultilevel"/>
    <w:lvl w:ilvl="0">
      <w:lvlJc w:val="left"/>
      <w:lvlText w:val="%1."/>
      <w:numFmt w:val="lowerLetter"/>
      <w:start w:val="1"/>
    </w:lvl>
  </w:abstractNum>
  <w:abstractNum w:abstractNumId="55">
    <w:nsid w:val="17A1B582"/>
    <w:multiLevelType w:val="hybridMultilevel"/>
    <w:lvl w:ilvl="0">
      <w:lvlJc w:val="left"/>
      <w:lvlText w:val="%1."/>
      <w:numFmt w:val="lowerLetter"/>
      <w:start w:val="5"/>
    </w:lvl>
  </w:abstractNum>
  <w:abstractNum w:abstractNumId="56">
    <w:nsid w:val="4DF72E4E"/>
    <w:multiLevelType w:val="hybridMultilevel"/>
    <w:lvl w:ilvl="0">
      <w:lvlJc w:val="left"/>
      <w:lvlText w:val="%1."/>
      <w:numFmt w:val="lowerLetter"/>
      <w:start w:val="1"/>
    </w:lvl>
  </w:abstractNum>
  <w:abstractNum w:abstractNumId="57">
    <w:nsid w:val="5046B5A9"/>
    <w:multiLevelType w:val="hybridMultilevel"/>
    <w:lvl w:ilvl="0">
      <w:lvlJc w:val="left"/>
      <w:lvlText w:val="%1."/>
      <w:numFmt w:val="lowerLetter"/>
      <w:start w:val="1"/>
    </w:lvl>
  </w:abstractNum>
  <w:abstractNum w:abstractNumId="58">
    <w:nsid w:val="5D888A08"/>
    <w:multiLevelType w:val="hybridMultilevel"/>
    <w:lvl w:ilvl="0">
      <w:lvlJc w:val="left"/>
      <w:lvlText w:val="%1."/>
      <w:numFmt w:val="lowerLetter"/>
      <w:start w:val="1"/>
    </w:lvl>
  </w:abstractNum>
  <w:abstractNum w:abstractNumId="59">
    <w:nsid w:val="2A082C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0">
    <w:nsid w:val="5EC6AFD4"/>
    <w:multiLevelType w:val="hybridMultilevel"/>
    <w:lvl w:ilvl="0">
      <w:lvlJc w:val="left"/>
      <w:lvlText w:val="%1."/>
      <w:numFmt w:val="lowerLetter"/>
      <w:start w:val="3"/>
    </w:lvl>
  </w:abstractNum>
  <w:abstractNum w:abstractNumId="61">
    <w:nsid w:val="19E21BB2"/>
    <w:multiLevelType w:val="hybridMultilevel"/>
    <w:lvl w:ilvl="0">
      <w:lvlJc w:val="left"/>
      <w:lvlText w:val="%1."/>
      <w:numFmt w:val="lowerLetter"/>
      <w:start w:val="1"/>
    </w:lvl>
  </w:abstractNum>
  <w:abstractNum w:abstractNumId="62">
    <w:nsid w:val="75E0858A"/>
    <w:multiLevelType w:val="hybridMultilevel"/>
    <w:lvl w:ilvl="0">
      <w:lvlJc w:val="left"/>
      <w:lvlText w:val="%1."/>
      <w:numFmt w:val="lowerLetter"/>
      <w:start w:val="6"/>
    </w:lvl>
  </w:abstractNum>
  <w:abstractNum w:abstractNumId="63">
    <w:nsid w:val="57A61A29"/>
    <w:multiLevelType w:val="hybridMultilevel"/>
    <w:lvl w:ilvl="0">
      <w:lvlJc w:val="left"/>
      <w:lvlText w:val="%1."/>
      <w:numFmt w:val="lowerLetter"/>
      <w:start w:val="13"/>
    </w:lvl>
  </w:abstractNum>
  <w:abstractNum w:abstractNumId="64">
    <w:nsid w:val="5399C654"/>
    <w:multiLevelType w:val="hybridMultilevel"/>
    <w:lvl w:ilvl="0">
      <w:lvlJc w:val="left"/>
      <w:lvlText w:val="%1."/>
      <w:numFmt w:val="lowerLetter"/>
      <w:start w:val="1"/>
    </w:lvl>
  </w:abstractNum>
  <w:abstractNum w:abstractNumId="65">
    <w:nsid w:val="20EE1348"/>
    <w:multiLevelType w:val="hybridMultilevel"/>
    <w:lvl w:ilvl="0">
      <w:lvlJc w:val="left"/>
      <w:lvlText w:val="%1."/>
      <w:numFmt w:val="lowerLetter"/>
      <w:start w:val="3"/>
    </w:lvl>
  </w:abstractNum>
  <w:abstractNum w:abstractNumId="66">
    <w:nsid w:val="4427069A"/>
    <w:multiLevelType w:val="hybridMultilevel"/>
    <w:lvl w:ilvl="0">
      <w:lvlJc w:val="left"/>
      <w:lvlText w:val="%1."/>
      <w:numFmt w:val="lowerLetter"/>
      <w:start w:val="1"/>
    </w:lvl>
    <w:lvl w:ilvl="1">
      <w:lvlJc w:val="left"/>
      <w:lvlText w:val="%2."/>
      <w:numFmt w:val="lowerRoman"/>
      <w:start w:val="1"/>
    </w:lvl>
  </w:abstractNum>
  <w:abstractNum w:abstractNumId="67">
    <w:nsid w:val="B37E80A"/>
    <w:multiLevelType w:val="hybridMultilevel"/>
    <w:lvl w:ilvl="0">
      <w:lvlJc w:val="left"/>
      <w:lvlText w:val="%1."/>
      <w:numFmt w:val="lowerLetter"/>
      <w:start w:val="2"/>
    </w:lvl>
  </w:abstractNum>
  <w:abstractNum w:abstractNumId="68">
    <w:nsid w:val="2157F6BC"/>
    <w:multiLevelType w:val="hybridMultilevel"/>
    <w:lvl w:ilvl="0">
      <w:lvlJc w:val="left"/>
      <w:lvlText w:val="%1."/>
      <w:numFmt w:val="lowerLetter"/>
      <w:start w:val="4"/>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Letter"/>
      <w:start w:val="2"/>
    </w:lvl>
  </w:abstractNum>
  <w:abstractNum w:abstractNumId="71">
    <w:nsid w:val="BFFAE18"/>
    <w:multiLevelType w:val="hybridMultilevel"/>
    <w:lvl w:ilvl="0">
      <w:lvlJc w:val="left"/>
      <w:lvlText w:val="%1."/>
      <w:numFmt w:val="lowerLetter"/>
      <w:start w:val="5"/>
    </w:lvl>
  </w:abstractNum>
  <w:abstractNum w:abstractNumId="72">
    <w:nsid w:val="E3E47A8"/>
    <w:multiLevelType w:val="hybridMultilevel"/>
    <w:lvl w:ilvl="0">
      <w:lvlJc w:val="left"/>
      <w:lvlText w:val="%1."/>
      <w:numFmt w:val="lowerLetter"/>
      <w:start w:val="1"/>
    </w:lvl>
  </w:abstractNum>
  <w:abstractNum w:abstractNumId="73">
    <w:nsid w:val="2E48F044"/>
    <w:multiLevelType w:val="hybridMultilevel"/>
    <w:lvl w:ilvl="0">
      <w:lvlJc w:val="left"/>
      <w:lvlText w:val="%1."/>
      <w:numFmt w:val="lowerLetter"/>
      <w:start w:val="2"/>
    </w:lvl>
    <w:lvl w:ilvl="1">
      <w:lvlJc w:val="left"/>
      <w:lvlText w:val="%2."/>
      <w:numFmt w:val="lowerRoman"/>
      <w:start w:val="1"/>
    </w:lvl>
  </w:abstractNum>
  <w:abstractNum w:abstractNumId="74">
    <w:nsid w:val="49D0FEAC"/>
    <w:multiLevelType w:val="hybridMultilevel"/>
    <w:lvl w:ilvl="0">
      <w:lvlJc w:val="left"/>
      <w:lvlText w:val="%1."/>
      <w:numFmt w:val="lowerLetter"/>
      <w:start w:val="3"/>
    </w:lvl>
  </w:abstractNum>
  <w:abstractNum w:abstractNumId="75">
    <w:nsid w:val="4BEE5A5B"/>
    <w:multiLevelType w:val="hybridMultilevel"/>
    <w:lvl w:ilvl="0">
      <w:lvlJc w:val="left"/>
      <w:lvlText w:val="%1."/>
      <w:numFmt w:val="lowerLetter"/>
      <w:start w:val="1"/>
    </w:lvl>
  </w:abstractNum>
  <w:abstractNum w:abstractNumId="76">
    <w:nsid w:val="5551B9F3"/>
    <w:multiLevelType w:val="hybridMultilevel"/>
    <w:lvl w:ilvl="0">
      <w:lvlJc w:val="left"/>
      <w:lvlText w:val="%1."/>
      <w:numFmt w:val="lowerLetter"/>
      <w:start w:val="4"/>
    </w:lvl>
  </w:abstractNum>
  <w:abstractNum w:abstractNumId="77">
    <w:nsid w:val="24F6AB8E"/>
    <w:multiLevelType w:val="hybridMultilevel"/>
    <w:lvl w:ilvl="0">
      <w:lvlJc w:val="left"/>
      <w:lvlText w:val="%1."/>
      <w:numFmt w:val="lowerLetter"/>
      <w:start w:val="5"/>
    </w:lvl>
  </w:abstractNum>
  <w:abstractNum w:abstractNumId="78">
    <w:nsid w:val="634C574C"/>
    <w:multiLevelType w:val="hybridMultilevel"/>
    <w:lvl w:ilvl="0">
      <w:lvlJc w:val="left"/>
      <w:lvlText w:val="%1."/>
      <w:numFmt w:val="lowerLetter"/>
      <w:start w:val="1"/>
    </w:lvl>
  </w:abstractNum>
  <w:abstractNum w:abstractNumId="79">
    <w:nsid w:val="24E99DD7"/>
    <w:multiLevelType w:val="hybridMultilevel"/>
    <w:lvl w:ilvl="0">
      <w:lvlJc w:val="left"/>
      <w:lvlText w:val="(%1)"/>
      <w:numFmt w:val="upperLetter"/>
      <w:start w:val="5"/>
    </w:lvl>
  </w:abstractNum>
  <w:abstractNum w:abstractNumId="80">
    <w:nsid w:val="2A31B62D"/>
    <w:multiLevelType w:val="hybridMultilevel"/>
    <w:lvl w:ilvl="0">
      <w:lvlJc w:val="left"/>
      <w:lvlText w:val="%1."/>
      <w:numFmt w:val="lowerLetter"/>
      <w:start w:val="2"/>
    </w:lvl>
    <w:lvl w:ilvl="1">
      <w:lvlJc w:val="left"/>
      <w:lvlText w:val="%2."/>
      <w:numFmt w:val="lowerRoman"/>
      <w:start w:val="1"/>
    </w:lvl>
  </w:abstractNum>
  <w:abstractNum w:abstractNumId="81">
    <w:nsid w:val="1849C29B"/>
    <w:multiLevelType w:val="hybridMultilevel"/>
    <w:lvl w:ilvl="0">
      <w:lvlJc w:val="left"/>
      <w:lvlText w:val="%1."/>
      <w:numFmt w:val="lowerLetter"/>
      <w:start w:val="3"/>
    </w:lvl>
  </w:abstractNum>
  <w:abstractNum w:abstractNumId="82">
    <w:nsid w:val="7DFF9D09"/>
    <w:multiLevelType w:val="hybridMultilevel"/>
    <w:lvl w:ilvl="0">
      <w:lvlJc w:val="left"/>
      <w:lvlText w:val="%1."/>
      <w:numFmt w:val="lowerLetter"/>
      <w:start w:val="1"/>
    </w:lvl>
    <w:lvl w:ilvl="1">
      <w:lvlJc w:val="left"/>
      <w:lvlText w:val="%2."/>
      <w:numFmt w:val="lowerRoman"/>
      <w:start w:val="1"/>
    </w:lvl>
  </w:abstractNum>
  <w:abstractNum w:abstractNumId="83">
    <w:nsid w:val="754342"/>
    <w:multiLevelType w:val="hybridMultilevel"/>
    <w:lvl w:ilvl="0">
      <w:lvlJc w:val="left"/>
      <w:lvlText w:val="%1."/>
      <w:numFmt w:val="lowerLetter"/>
      <w:start w:val="4"/>
    </w:lvl>
  </w:abstractNum>
  <w:abstractNum w:abstractNumId="84">
    <w:nsid w:val="69E7F3E5"/>
    <w:multiLevelType w:val="hybridMultilevel"/>
    <w:lvl w:ilvl="0">
      <w:lvlJc w:val="left"/>
      <w:lvlText w:val="%1."/>
      <w:numFmt w:val="lowerLetter"/>
      <w:start w:val="1"/>
    </w:lvl>
  </w:abstractNum>
  <w:abstractNum w:abstractNumId="85">
    <w:nsid w:val="2A6DE806"/>
    <w:multiLevelType w:val="hybridMultilevel"/>
    <w:lvl w:ilvl="0">
      <w:lvlJc w:val="left"/>
      <w:lvlText w:val="%1."/>
      <w:numFmt w:val="lowerLetter"/>
      <w:start w:val="1"/>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1."/>
      <w:numFmt w:val="lowerLetter"/>
      <w:start w:val="1"/>
    </w:lvl>
    <w:lvl w:ilvl="1">
      <w:lvlJc w:val="left"/>
      <w:lvlText w:val="(%2)"/>
      <w:numFmt w:val="lowerRoman"/>
      <w:start w:val="1"/>
    </w:lvl>
  </w:abstractNum>
  <w:abstractNum w:abstractNumId="88">
    <w:nsid w:val="7AB49DAF"/>
    <w:multiLevelType w:val="hybridMultilevel"/>
    <w:lvl w:ilvl="0">
      <w:lvlJc w:val="left"/>
      <w:lvlText w:val="%1."/>
      <w:numFmt w:val="lowerLetter"/>
      <w:start w:val="2"/>
    </w:lvl>
    <w:lvl w:ilvl="1">
      <w:lvlJc w:val="left"/>
      <w:lvlText w:val="%2."/>
      <w:numFmt w:val="lowerRoman"/>
      <w:start w:val="1"/>
    </w:lvl>
  </w:abstractNum>
  <w:abstractNum w:abstractNumId="89">
    <w:nsid w:val="759F82CD"/>
    <w:multiLevelType w:val="hybridMultilevel"/>
    <w:lvl w:ilvl="0">
      <w:lvlJc w:val="left"/>
      <w:lvlText w:val="%1."/>
      <w:numFmt w:val="lowerLetter"/>
      <w:start w:val="4"/>
    </w:lvl>
  </w:abstractNum>
  <w:abstractNum w:abstractNumId="90">
    <w:nsid w:val="61E74EA3"/>
    <w:multiLevelType w:val="hybridMultilevel"/>
    <w:lvl w:ilvl="0">
      <w:lvlJc w:val="left"/>
      <w:lvlText w:val="%1."/>
      <w:numFmt w:val="lowerLetter"/>
      <w:start w:val="1"/>
    </w:lvl>
  </w:abstractNum>
  <w:abstractNum w:abstractNumId="91">
    <w:nsid w:val="597B4D84"/>
    <w:multiLevelType w:val="hybridMultilevel"/>
    <w:lvl w:ilvl="0">
      <w:lvlJc w:val="left"/>
      <w:lvlText w:val="%1."/>
      <w:numFmt w:val="lowerLetter"/>
      <w:start w:val="8"/>
    </w:lvl>
  </w:abstractNum>
  <w:abstractNum w:abstractNumId="92">
    <w:nsid w:val="F819E7F"/>
    <w:multiLevelType w:val="hybridMultilevel"/>
    <w:lvl w:ilvl="0">
      <w:lvlJc w:val="left"/>
      <w:lvlText w:val="%1."/>
      <w:numFmt w:val="lowerLetter"/>
      <w:start w:val="14"/>
    </w:lvl>
  </w:abstractNum>
  <w:abstractNum w:abstractNumId="93">
    <w:nsid w:val="57C7D42D"/>
    <w:multiLevelType w:val="hybridMultilevel"/>
    <w:lvl w:ilvl="0">
      <w:lvlJc w:val="left"/>
      <w:lvlText w:val="%1."/>
      <w:numFmt w:val="lowerLetter"/>
      <w:start w:val="1"/>
    </w:lvl>
  </w:abstractNum>
  <w:abstractNum w:abstractNumId="94">
    <w:nsid w:val="312167AD"/>
    <w:multiLevelType w:val="hybridMultilevel"/>
    <w:lvl w:ilvl="0">
      <w:lvlJc w:val="left"/>
      <w:lvlText w:val="%1."/>
      <w:numFmt w:val="lowerLetter"/>
      <w:start w:val="4"/>
    </w:lvl>
  </w:abstractNum>
  <w:abstractNum w:abstractNumId="95">
    <w:nsid w:val="631B64D4"/>
    <w:multiLevelType w:val="hybridMultilevel"/>
    <w:lvl w:ilvl="0">
      <w:lvlJc w:val="left"/>
      <w:lvlText w:val="%1."/>
      <w:numFmt w:val="lowerLetter"/>
      <w:start w:val="1"/>
    </w:lvl>
  </w:abstractNum>
  <w:abstractNum w:abstractNumId="96">
    <w:nsid w:val="78B5E776"/>
    <w:multiLevelType w:val="hybridMultilevel"/>
    <w:lvl w:ilvl="0">
      <w:lvlJc w:val="left"/>
      <w:lvlText w:val="%1."/>
      <w:numFmt w:val="lowerRoman"/>
      <w:start w:val="1"/>
    </w:lvl>
  </w:abstractNum>
  <w:abstractNum w:abstractNumId="97">
    <w:nsid w:val="75486E47"/>
    <w:multiLevelType w:val="hybridMultilevel"/>
    <w:lvl w:ilvl="0">
      <w:lvlJc w:val="left"/>
      <w:lvlText w:val="%1."/>
      <w:numFmt w:val="lowerLetter"/>
      <w:start w:val="2"/>
    </w:lvl>
  </w:abstractNum>
  <w:abstractNum w:abstractNumId="98">
    <w:nsid w:val="6E534CDE"/>
    <w:multiLevelType w:val="hybridMultilevel"/>
    <w:lvl w:ilvl="0">
      <w:lvlJc w:val="left"/>
      <w:lvlText w:val="%1."/>
      <w:numFmt w:val="lowerLetter"/>
      <w:start w:val="5"/>
    </w:lvl>
  </w:abstractNum>
  <w:abstractNum w:abstractNumId="99">
    <w:nsid w:val="1A0DDE32"/>
    <w:multiLevelType w:val="hybridMultilevel"/>
    <w:lvl w:ilvl="0">
      <w:lvlJc w:val="left"/>
      <w:lvlText w:val="%1."/>
      <w:numFmt w:val="lowerLetter"/>
      <w:start w:val="1"/>
    </w:lvl>
  </w:abstractNum>
  <w:abstractNum w:abstractNumId="100">
    <w:nsid w:val="65968C1C"/>
    <w:multiLevelType w:val="hybridMultilevel"/>
    <w:lvl w:ilvl="0">
      <w:lvlJc w:val="left"/>
      <w:lvlText w:val="%1."/>
      <w:numFmt w:val="lowerLetter"/>
      <w:start w:val="2"/>
    </w:lvl>
  </w:abstractNum>
  <w:abstractNum w:abstractNumId="101">
    <w:nsid w:val="46263DEC"/>
    <w:multiLevelType w:val="hybridMultilevel"/>
    <w:lvl w:ilvl="0">
      <w:lvlJc w:val="left"/>
      <w:lvlText w:val="%1."/>
      <w:numFmt w:val="lowerLetter"/>
      <w:start w:val="5"/>
    </w:lvl>
  </w:abstractNum>
  <w:abstractNum w:abstractNumId="102">
    <w:nsid w:val="260D8C4A"/>
    <w:multiLevelType w:val="hybridMultilevel"/>
    <w:lvl w:ilvl="0">
      <w:lvlJc w:val="left"/>
      <w:lvlText w:val="%1."/>
      <w:numFmt w:val="lowerLetter"/>
      <w:start w:val="1"/>
    </w:lvl>
  </w:abstractNum>
  <w:abstractNum w:abstractNumId="103">
    <w:nsid w:val="73D4D3C4"/>
    <w:multiLevelType w:val="hybridMultilevel"/>
    <w:lvl w:ilvl="0">
      <w:lvlJc w:val="left"/>
      <w:lvlText w:val="%1."/>
      <w:numFmt w:val="lowerRoman"/>
      <w:start w:val="1"/>
    </w:lvl>
  </w:abstractNum>
  <w:abstractNum w:abstractNumId="104">
    <w:nsid w:val="746F2E30"/>
    <w:multiLevelType w:val="hybridMultilevel"/>
    <w:lvl w:ilvl="0">
      <w:lvlJc w:val="left"/>
      <w:lvlText w:val="%1."/>
      <w:numFmt w:val="lowerLetter"/>
      <w:start w:val="3"/>
    </w:lvl>
  </w:abstractNum>
  <w:abstractNum w:abstractNumId="105">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
    <w:nsid w:val="3FC32E20"/>
    <w:multiLevelType w:val="hybridMultilevel"/>
    <w:lvl w:ilvl="0">
      <w:lvlJc w:val="left"/>
      <w:lvlText w:val="%1."/>
      <w:numFmt w:val="lowerLetter"/>
      <w:start w:val="2"/>
    </w:lvl>
  </w:abstractNum>
  <w:abstractNum w:abstractNumId="107">
    <w:nsid w:val="49C0E823"/>
    <w:multiLevelType w:val="hybridMultilevel"/>
    <w:lvl w:ilvl="0">
      <w:lvlJc w:val="left"/>
      <w:lvlText w:val="(%1)"/>
      <w:numFmt w:val="lowerRoman"/>
      <w:start w:val="1"/>
    </w:lvl>
  </w:abstractNum>
  <w:abstractNum w:abstractNumId="108">
    <w:nsid w:val="14D53685"/>
    <w:multiLevelType w:val="hybridMultilevel"/>
    <w:lvl w:ilvl="0">
      <w:lvlJc w:val="left"/>
      <w:lvlText w:val="%1."/>
      <w:numFmt w:val="lowerLetter"/>
      <w:start w:val="3"/>
    </w:lvl>
  </w:abstractNum>
  <w:abstractNum w:abstractNumId="109">
    <w:nsid w:val="230F856C"/>
    <w:multiLevelType w:val="hybridMultilevel"/>
    <w:lvl w:ilvl="0">
      <w:lvlJc w:val="left"/>
      <w:lvlText w:val="%1."/>
      <w:numFmt w:val="lowerLetter"/>
      <w:start w:val="1"/>
    </w:lvl>
  </w:abstractNum>
  <w:abstractNum w:abstractNumId="110">
    <w:nsid w:val="6EAA85FB"/>
    <w:multiLevelType w:val="hybridMultilevel"/>
    <w:lvl w:ilvl="0">
      <w:lvlJc w:val="left"/>
      <w:lvlText w:val="%1."/>
      <w:numFmt w:val="lowerLetter"/>
      <w:start w:val="2"/>
    </w:lvl>
  </w:abstractNum>
  <w:abstractNum w:abstractNumId="111">
    <w:nsid w:val="3F06ECB2"/>
    <w:multiLevelType w:val="hybridMultilevel"/>
    <w:lvl w:ilvl="0">
      <w:lvlJc w:val="left"/>
      <w:lvlText w:val="%1."/>
      <w:numFmt w:val="lowerLetter"/>
      <w:start w:val="5"/>
    </w:lvl>
  </w:abstractNum>
  <w:abstractNum w:abstractNumId="112">
    <w:nsid w:val="3B594807"/>
    <w:multiLevelType w:val="hybridMultilevel"/>
    <w:lvl w:ilvl="0">
      <w:lvlJc w:val="left"/>
      <w:lvlText w:val="%1."/>
      <w:numFmt w:val="lowerLetter"/>
      <w:start w:val="1"/>
    </w:lvl>
  </w:abstractNum>
  <w:abstractNum w:abstractNumId="113">
    <w:nsid w:val="6CAA2304"/>
    <w:multiLevelType w:val="hybridMultilevel"/>
    <w:lvl w:ilvl="0">
      <w:lvlJc w:val="left"/>
      <w:lvlText w:val="%1."/>
      <w:numFmt w:val="lowerLetter"/>
      <w:start w:val="3"/>
    </w:lvl>
  </w:abstractNum>
  <w:abstractNum w:abstractNumId="114">
    <w:nsid w:val="3F7C2FF4"/>
    <w:multiLevelType w:val="hybridMultilevel"/>
    <w:lvl w:ilvl="0">
      <w:lvlJc w:val="left"/>
      <w:lvlText w:val="%1."/>
      <w:numFmt w:val="lowerLetter"/>
      <w:start w:val="1"/>
    </w:lvl>
  </w:abstractNum>
  <w:abstractNum w:abstractNumId="115">
    <w:nsid w:val="25413BEC"/>
    <w:multiLevelType w:val="hybridMultilevel"/>
    <w:lvl w:ilvl="0">
      <w:lvlJc w:val="left"/>
      <w:lvlText w:val="%1."/>
      <w:numFmt w:val="lowerLetter"/>
      <w:start w:val="1"/>
    </w:lvl>
  </w:abstractNum>
  <w:abstractNum w:abstractNumId="116">
    <w:nsid w:val="17180B0B"/>
    <w:multiLevelType w:val="hybridMultilevel"/>
    <w:lvl w:ilvl="0">
      <w:lvlJc w:val="left"/>
      <w:lvlText w:val="%1."/>
      <w:numFmt w:val="lowerLetter"/>
      <w:start w:val="2"/>
    </w:lvl>
  </w:abstractNum>
  <w:abstractNum w:abstractNumId="117">
    <w:nsid w:val="579328B9"/>
    <w:multiLevelType w:val="hybridMultilevel"/>
    <w:lvl w:ilvl="0">
      <w:lvlJc w:val="left"/>
      <w:lvlText w:val="%1."/>
      <w:numFmt w:val="lowerLetter"/>
      <w:start w:val="1"/>
    </w:lvl>
    <w:lvl w:ilvl="1">
      <w:lvlJc w:val="left"/>
      <w:lvlText w:val="(%2)"/>
      <w:numFmt w:val="lowerRoman"/>
      <w:start w:val="1"/>
    </w:lvl>
  </w:abstractNum>
  <w:abstractNum w:abstractNumId="118">
    <w:nsid w:val="5D205E20"/>
    <w:multiLevelType w:val="hybridMultilevel"/>
    <w:lvl w:ilvl="0">
      <w:lvlJc w:val="left"/>
      <w:lvlText w:val="%1"/>
      <w:numFmt w:val="lowerLetter"/>
      <w:start w:val="1"/>
    </w:lvl>
    <w:lvl w:ilvl="1">
      <w:lvlJc w:val="left"/>
      <w:lvlText w:val="(%2)"/>
      <w:numFmt w:val="lowerRoman"/>
      <w:start w:val="2"/>
    </w:lvl>
  </w:abstractNum>
  <w:abstractNum w:abstractNumId="119">
    <w:nsid w:val="11CCA8BA"/>
    <w:multiLevelType w:val="hybridMultilevel"/>
    <w:lvl w:ilvl="0">
      <w:lvlJc w:val="left"/>
      <w:lvlText w:val="%1."/>
      <w:numFmt w:val="lowerLetter"/>
      <w:start w:val="3"/>
    </w:lvl>
    <w:lvl w:ilvl="1">
      <w:lvlJc w:val="left"/>
      <w:lvlText w:val="%2"/>
      <w:numFmt w:val="lowerRoman"/>
      <w:start w:val="1"/>
    </w:lvl>
  </w:abstractNum>
  <w:abstractNum w:abstractNumId="120">
    <w:nsid w:val="4D32AB86"/>
    <w:multiLevelType w:val="hybridMultilevel"/>
    <w:lvl w:ilvl="0">
      <w:lvlJc w:val="left"/>
      <w:lvlText w:val="%1."/>
      <w:numFmt w:val="lowerLetter"/>
      <w:start w:val="5"/>
    </w:lvl>
  </w:abstractNum>
  <w:abstractNum w:abstractNumId="121">
    <w:nsid w:val="3F07ACC3"/>
    <w:multiLevelType w:val="hybridMultilevel"/>
    <w:lvl w:ilvl="0">
      <w:lvlJc w:val="left"/>
      <w:lvlText w:val="%1."/>
      <w:numFmt w:val="lowerLetter"/>
      <w:start w:val="1"/>
    </w:lvl>
  </w:abstractNum>
  <w:abstractNum w:abstractNumId="122">
    <w:nsid w:val="6B47F63E"/>
    <w:multiLevelType w:val="hybridMultilevel"/>
    <w:lvl w:ilvl="0">
      <w:lvlJc w:val="left"/>
      <w:lvlText w:val="%1."/>
      <w:numFmt w:val="lowerLetter"/>
      <w:start w:val="8"/>
    </w:lvl>
  </w:abstractNum>
  <w:abstractNum w:abstractNumId="123">
    <w:nsid w:val="5CB44A05"/>
    <w:multiLevelType w:val="hybridMultilevel"/>
    <w:lvl w:ilvl="0">
      <w:lvlJc w:val="left"/>
      <w:lvlText w:val="%1."/>
      <w:numFmt w:val="lowerLetter"/>
      <w:start w:val="14"/>
    </w:lvl>
  </w:abstractNum>
  <w:abstractNum w:abstractNumId="124">
    <w:nsid w:val="16CF80F1"/>
    <w:multiLevelType w:val="hybridMultilevel"/>
    <w:lvl w:ilvl="0">
      <w:lvlJc w:val="left"/>
      <w:lvlText w:val="%1."/>
      <w:numFmt w:val="lowerLetter"/>
      <w:start w:val="1"/>
    </w:lvl>
  </w:abstractNum>
  <w:abstractNum w:abstractNumId="125">
    <w:nsid w:val="1C695DEC"/>
    <w:multiLevelType w:val="hybridMultilevel"/>
    <w:lvl w:ilvl="0">
      <w:lvlJc w:val="left"/>
      <w:lvlText w:val="%1."/>
      <w:numFmt w:val="lowerLetter"/>
      <w:start w:val="3"/>
    </w:lvl>
  </w:abstractNum>
  <w:abstractNum w:abstractNumId="126">
    <w:nsid w:val="3FCFAED9"/>
    <w:multiLevelType w:val="hybridMultilevel"/>
    <w:lvl w:ilvl="0">
      <w:lvlJc w:val="left"/>
      <w:lvlText w:val="%1."/>
      <w:numFmt w:val="lowerLetter"/>
      <w:start w:val="7"/>
    </w:lvl>
  </w:abstractNum>
  <w:abstractNum w:abstractNumId="127">
    <w:nsid w:val="F856867"/>
    <w:multiLevelType w:val="hybridMultilevel"/>
    <w:lvl w:ilvl="0">
      <w:lvlJc w:val="left"/>
      <w:lvlText w:val="%1."/>
      <w:numFmt w:val="lowerLetter"/>
      <w:start w:val="1"/>
    </w:lvl>
    <w:lvl w:ilvl="1">
      <w:lvlJc w:val="left"/>
      <w:lvlText w:val="%2."/>
      <w:numFmt w:val="lowerRoman"/>
      <w:start w:val="1"/>
    </w:lvl>
  </w:abstractNum>
  <w:abstractNum w:abstractNumId="128">
    <w:nsid w:val="11B1CC33"/>
    <w:multiLevelType w:val="hybridMultilevel"/>
    <w:lvl w:ilvl="0">
      <w:lvlJc w:val="left"/>
      <w:lvlText w:val="%1."/>
      <w:numFmt w:val="lowerLetter"/>
      <w:start w:val="2"/>
    </w:lvl>
  </w:abstractNum>
  <w:abstractNum w:abstractNumId="129">
    <w:nsid w:val="2E22FBB7"/>
    <w:multiLevelType w:val="hybridMultilevel"/>
    <w:lvl w:ilvl="0">
      <w:lvlJc w:val="left"/>
      <w:lvlText w:val="%1."/>
      <w:numFmt w:val="lowerLetter"/>
      <w:start w:val="1"/>
    </w:lvl>
  </w:abstractNum>
  <w:abstractNum w:abstractNumId="130">
    <w:nsid w:val="29934699"/>
    <w:multiLevelType w:val="hybridMultilevel"/>
    <w:lvl w:ilvl="0">
      <w:lvlJc w:val="left"/>
      <w:lvlText w:val="%1."/>
      <w:numFmt w:val="lowerLetter"/>
      <w:start w:val="4"/>
    </w:lvl>
  </w:abstractNum>
  <w:abstractNum w:abstractNumId="131">
    <w:nsid w:val="77485850"/>
    <w:multiLevelType w:val="hybridMultilevel"/>
    <w:lvl w:ilvl="0">
      <w:lvlJc w:val="left"/>
      <w:lvlText w:val="%1."/>
      <w:numFmt w:val="lowerLetter"/>
      <w:start w:val="1"/>
    </w:lvl>
    <w:lvl w:ilvl="1">
      <w:lvlJc w:val="left"/>
      <w:lvlText w:val="%2."/>
      <w:numFmt w:val="lowerLetter"/>
      <w:start w:val="9"/>
    </w:lvl>
  </w:abstractNum>
  <w:abstractNum w:abstractNumId="132">
    <w:nsid w:val="744939A3"/>
    <w:multiLevelType w:val="hybridMultilevel"/>
    <w:lvl w:ilvl="0">
      <w:lvlJc w:val="left"/>
      <w:lvlText w:val="%1."/>
      <w:numFmt w:val="lowerRoman"/>
      <w:start w:val="2"/>
    </w:lvl>
  </w:abstractNum>
  <w:abstractNum w:abstractNumId="133">
    <w:nsid w:val="4FA0D2E3"/>
    <w:multiLevelType w:val="hybridMultilevel"/>
    <w:lvl w:ilvl="0">
      <w:lvlJc w:val="left"/>
      <w:lvlText w:val="%1."/>
      <w:numFmt w:val="lowerLetter"/>
      <w:start w:val="3"/>
    </w:lvl>
  </w:abstractNum>
  <w:abstractNum w:abstractNumId="134">
    <w:nsid w:val="6B1D2C14"/>
    <w:multiLevelType w:val="hybridMultilevel"/>
    <w:lvl w:ilvl="0">
      <w:lvlJc w:val="left"/>
      <w:lvlText w:val="(%1)"/>
      <w:numFmt w:val="lowerLetter"/>
      <w:start w:val="1"/>
    </w:lvl>
  </w:abstractNum>
  <w:abstractNum w:abstractNumId="135">
    <w:nsid w:val="68B867D3"/>
    <w:multiLevelType w:val="hybridMultilevel"/>
    <w:lvl w:ilvl="0">
      <w:lvlJc w:val="left"/>
      <w:lvlText w:val="(%1)"/>
      <w:numFmt w:val="lowerLetter"/>
      <w:start w:val="2"/>
    </w:lvl>
  </w:abstractNum>
  <w:abstractNum w:abstractNumId="136">
    <w:nsid w:val="3F7F5DD9"/>
    <w:multiLevelType w:val="hybridMultilevel"/>
    <w:lvl w:ilvl="0">
      <w:lvlJc w:val="left"/>
      <w:lvlText w:val="(%1)"/>
      <w:numFmt w:val="lowerLetter"/>
      <w:start w:val="5"/>
    </w:lvl>
  </w:abstractNum>
  <w:abstractNum w:abstractNumId="137">
    <w:nsid w:val="2AE05A34"/>
    <w:multiLevelType w:val="hybridMultilevel"/>
    <w:lvl w:ilvl="0">
      <w:lvlJc w:val="left"/>
      <w:lvlText w:val="(%1)"/>
      <w:numFmt w:val="lowerLetter"/>
      <w:start w:val="17"/>
    </w:lvl>
  </w:abstractNum>
  <w:abstractNum w:abstractNumId="138">
    <w:nsid w:val="32794FF7"/>
    <w:multiLevelType w:val="hybridMultilevel"/>
    <w:lvl w:ilvl="0">
      <w:lvlJc w:val="left"/>
      <w:lvlText w:val="(%1)"/>
      <w:numFmt w:val="lowerLetter"/>
      <w:start w:val="1"/>
    </w:lvl>
  </w:abstractNum>
  <w:abstractNum w:abstractNumId="139">
    <w:nsid w:val="5454945E"/>
    <w:multiLevelType w:val="hybridMultilevel"/>
    <w:lvl w:ilvl="0">
      <w:lvlJc w:val="left"/>
      <w:lvlText w:val="(%1)"/>
      <w:numFmt w:val="lowerLetter"/>
      <w:start w:val="2"/>
    </w:lvl>
  </w:abstractNum>
  <w:abstractNum w:abstractNumId="140">
    <w:nsid w:val="4DEFDFA0"/>
    <w:multiLevelType w:val="hybridMultilevel"/>
    <w:lvl w:ilvl="0">
      <w:lvlJc w:val="left"/>
      <w:lvlText w:val="(%1)"/>
      <w:numFmt w:val="lowerLetter"/>
      <w:start w:val="1"/>
    </w:lvl>
    <w:lvl w:ilvl="1">
      <w:lvlJc w:val="left"/>
      <w:lvlText w:val="(%2)"/>
      <w:numFmt w:val="lowerRoman"/>
      <w:start w:val="1"/>
    </w:lvl>
  </w:abstractNum>
  <w:abstractNum w:abstractNumId="141">
    <w:nsid w:val="2123D5F2"/>
    <w:multiLevelType w:val="hybridMultilevel"/>
    <w:lvl w:ilvl="0">
      <w:lvlJc w:val="left"/>
      <w:lvlText w:val="(%1)"/>
      <w:numFmt w:val="lowerLetter"/>
      <w:start w:val="1"/>
    </w:lvl>
  </w:abstractNum>
  <w:abstractNum w:abstractNumId="142">
    <w:nsid w:val="135B8110"/>
    <w:multiLevelType w:val="hybridMultilevel"/>
    <w:lvl w:ilvl="0">
      <w:lvlJc w:val="left"/>
      <w:lvlText w:val="(%1)"/>
      <w:numFmt w:val="lowerRoman"/>
      <w:start w:val="1"/>
    </w:lvl>
  </w:abstractNum>
  <w:abstractNum w:abstractNumId="143">
    <w:nsid w:val="94927A8"/>
    <w:multiLevelType w:val="hybridMultilevel"/>
    <w:lvl w:ilvl="0">
      <w:lvlJc w:val="left"/>
      <w:lvlText w:val="(%1)"/>
      <w:numFmt w:val="lowerRoman"/>
      <w:start w:val="2"/>
    </w:lvl>
  </w:abstractNum>
  <w:abstractNum w:abstractNumId="144">
    <w:nsid w:val="DCDF8F6"/>
    <w:multiLevelType w:val="hybridMultilevel"/>
    <w:lvl w:ilvl="0">
      <w:lvlJc w:val="left"/>
      <w:lvlText w:val="(%1)"/>
      <w:numFmt w:val="lowerLetter"/>
      <w:start w:val="5"/>
    </w:lvl>
  </w:abstractNum>
  <w:abstractNum w:abstractNumId="145">
    <w:nsid w:val="52D7B105"/>
    <w:multiLevelType w:val="hybridMultilevel"/>
    <w:lvl w:ilvl="0">
      <w:lvlJc w:val="left"/>
      <w:lvlText w:val="(%1)"/>
      <w:numFmt w:val="lowerLetter"/>
      <w:start w:val="1"/>
    </w:lvl>
    <w:lvl w:ilvl="1">
      <w:lvlJc w:val="left"/>
      <w:lvlText w:val="(%2)"/>
      <w:numFmt w:val="lowerRoman"/>
      <w:start w:val="1"/>
    </w:lvl>
  </w:abstractNum>
  <w:abstractNum w:abstractNumId="146">
    <w:nsid w:val="2E8A6394"/>
    <w:multiLevelType w:val="hybridMultilevel"/>
    <w:lvl w:ilvl="0">
      <w:lvlJc w:val="left"/>
      <w:lvlText w:val="(%1)"/>
      <w:numFmt w:val="lowerLetter"/>
      <w:start w:val="2"/>
    </w:lvl>
  </w:abstractNum>
  <w:abstractNum w:abstractNumId="147">
    <w:nsid w:val="24E60401"/>
    <w:multiLevelType w:val="hybridMultilevel"/>
    <w:lvl w:ilvl="0">
      <w:lvlJc w:val="left"/>
      <w:lvlText w:val="(%1)"/>
      <w:numFmt w:val="lowerLetter"/>
      <w:start w:val="3"/>
    </w:lvl>
  </w:abstractNum>
  <w:abstractNum w:abstractNumId="148">
    <w:nsid w:val="2A6AD9BE"/>
    <w:multiLevelType w:val="hybridMultilevel"/>
    <w:lvl w:ilvl="0">
      <w:lvlJc w:val="left"/>
      <w:lvlText w:val="(%1)"/>
      <w:numFmt w:val="lowerLetter"/>
      <w:start w:val="1"/>
    </w:lvl>
    <w:lvl w:ilvl="1">
      <w:lvlJc w:val="left"/>
      <w:lvlText w:val="(%2)"/>
      <w:numFmt w:val="lowerRoman"/>
      <w:start w:val="1"/>
    </w:lvl>
  </w:abstractNum>
  <w:abstractNum w:abstractNumId="149">
    <w:nsid w:val="BAAC1B4"/>
    <w:multiLevelType w:val="hybridMultilevel"/>
    <w:lvl w:ilvl="0">
      <w:lvlJc w:val="left"/>
      <w:lvlText w:val="(%1)"/>
      <w:numFmt w:val="lowerLetter"/>
      <w:start w:val="2"/>
    </w:lvl>
  </w:abstractNum>
  <w:abstractNum w:abstractNumId="150">
    <w:nsid w:val="36B2ACBC"/>
    <w:multiLevelType w:val="hybridMultilevel"/>
    <w:lvl w:ilvl="0">
      <w:lvlJc w:val="left"/>
      <w:lvlText w:val="%1"/>
      <w:numFmt w:val="lowerRoman"/>
      <w:start w:val="1"/>
    </w:lvl>
    <w:lvl w:ilvl="1">
      <w:lvlJc w:val="left"/>
      <w:lvlText w:val="(%2)"/>
      <w:numFmt w:val="lowerRoman"/>
      <w:start w:val="1"/>
    </w:lvl>
  </w:abstractNum>
  <w:abstractNum w:abstractNumId="151">
    <w:nsid w:val="779D8544"/>
    <w:multiLevelType w:val="hybridMultilevel"/>
    <w:lvl w:ilvl="0">
      <w:lvlJc w:val="left"/>
      <w:lvlText w:val="(%1)"/>
      <w:numFmt w:val="lowerRoman"/>
      <w:start w:val="2"/>
    </w:lvl>
    <w:lvl w:ilvl="1">
      <w:lvlJc w:val="left"/>
      <w:lvlText w:val="%2"/>
      <w:numFmt w:val="lowerRoman"/>
      <w:start w:val="1"/>
    </w:lvl>
  </w:abstractNum>
  <w:abstractNum w:abstractNumId="152">
    <w:nsid w:val="4AB26E78"/>
    <w:multiLevelType w:val="hybridMultilevel"/>
    <w:lvl w:ilvl="0">
      <w:lvlJc w:val="left"/>
      <w:lvlText w:val="(%1)"/>
      <w:numFmt w:val="lowerRoman"/>
      <w:start w:val="1"/>
    </w:lvl>
  </w:abstractNum>
  <w:abstractNum w:abstractNumId="153">
    <w:nsid w:val="21FAA2FA"/>
    <w:multiLevelType w:val="hybridMultilevel"/>
    <w:lvl w:ilvl="0">
      <w:lvlJc w:val="left"/>
      <w:lvlText w:val="(%1)"/>
      <w:numFmt w:val="lowerRoman"/>
      <w:start w:val="1"/>
    </w:lvl>
  </w:abstractNum>
  <w:abstractNum w:abstractNumId="154">
    <w:nsid w:val="5451CF49"/>
    <w:multiLevelType w:val="hybridMultilevel"/>
    <w:lvl w:ilvl="0">
      <w:lvlJc w:val="left"/>
      <w:lvlText w:val="(%1)"/>
      <w:numFmt w:val="lowerRoman"/>
      <w:start w:val="1"/>
    </w:lvl>
  </w:abstractNum>
  <w:abstractNum w:abstractNumId="155">
    <w:nsid w:val="6181EF69"/>
    <w:multiLevelType w:val="hybridMultilevel"/>
    <w:lvl w:ilvl="0">
      <w:lvlJc w:val="left"/>
      <w:lvlText w:val="."/>
      <w:numFmt w:val="bullet"/>
      <w:start w:val="1"/>
    </w:lvl>
    <w:lvl w:ilvl="1">
      <w:lvlJc w:val="left"/>
      <w:lvlText w:val="(%2)"/>
      <w:numFmt w:val="lowerRoman"/>
      <w:start w:val="1"/>
    </w:lvl>
  </w:abstractNum>
  <w:abstractNum w:abstractNumId="156">
    <w:nsid w:val="3E6400E6"/>
    <w:multiLevelType w:val="hybridMultilevel"/>
    <w:lvl w:ilvl="0">
      <w:lvlJc w:val="left"/>
      <w:lvlText w:val="(%1)"/>
      <w:numFmt w:val="lowerRoman"/>
      <w:start w:val="3"/>
    </w:lvl>
  </w:abstractNum>
  <w:abstractNum w:abstractNumId="157">
    <w:nsid w:val="14217E23"/>
    <w:multiLevelType w:val="hybridMultilevel"/>
    <w:lvl w:ilvl="0">
      <w:lvlJc w:val="left"/>
      <w:lvlText w:val="(%1)"/>
      <w:numFmt w:val="lowerLetter"/>
      <w:start w:val="1"/>
    </w:lvl>
  </w:abstractNum>
  <w:abstractNum w:abstractNumId="158">
    <w:nsid w:val="710757D0"/>
    <w:multiLevelType w:val="hybridMultilevel"/>
    <w:lvl w:ilvl="0">
      <w:lvlJc w:val="left"/>
      <w:lvlText w:val="(%1)"/>
      <w:numFmt w:val="lowerLetter"/>
      <w:start w:val="2"/>
    </w:lvl>
  </w:abstractNum>
  <w:abstractNum w:abstractNumId="159">
    <w:nsid w:val="5015CD1A"/>
    <w:multiLevelType w:val="hybridMultilevel"/>
    <w:lvl w:ilvl="0">
      <w:lvlJc w:val="left"/>
      <w:lvlText w:val="(%1)"/>
      <w:numFmt w:val="lowerLetter"/>
      <w:start w:val="15"/>
    </w:lvl>
  </w:abstractNum>
  <w:abstractNum w:abstractNumId="160">
    <w:nsid w:val="424479DA"/>
    <w:multiLevelType w:val="hybridMultilevel"/>
    <w:lvl w:ilvl="0">
      <w:lvlJc w:val="left"/>
      <w:lvlText w:val="(%1)"/>
      <w:numFmt w:val="lowerLetter"/>
      <w:start w:val="25"/>
    </w:lvl>
  </w:abstractNum>
  <w:abstractNum w:abstractNumId="161">
    <w:nsid w:val="1A9A9E69"/>
    <w:multiLevelType w:val="hybridMultilevel"/>
    <w:lvl w:ilvl="0">
      <w:lvlJc w:val="left"/>
      <w:lvlText w:val="(%1)"/>
      <w:numFmt w:val="lowerLetter"/>
      <w:start w:val="27"/>
    </w:lvl>
  </w:abstractNum>
  <w:abstractNum w:abstractNumId="162">
    <w:nsid w:val="475E256A"/>
    <w:multiLevelType w:val="hybridMultilevel"/>
    <w:lvl w:ilvl="0">
      <w:lvlJc w:val="left"/>
      <w:lvlText w:val="(%1)"/>
      <w:numFmt w:val="lowerLetter"/>
      <w:start w:val="1"/>
    </w:lvl>
  </w:abstractNum>
  <w:abstractNum w:abstractNumId="163">
    <w:nsid w:val="368DB37E"/>
    <w:multiLevelType w:val="hybridMultilevel"/>
    <w:lvl w:ilvl="0">
      <w:lvlJc w:val="left"/>
      <w:lvlText w:val="(%1)"/>
      <w:numFmt w:val="lowerLetter"/>
      <w:start w:val="1"/>
    </w:lvl>
    <w:lvl w:ilvl="1">
      <w:lvlJc w:val="left"/>
      <w:lvlText w:val="(%2)"/>
      <w:numFmt w:val="lowerRoman"/>
      <w:start w:val="1"/>
    </w:lvl>
  </w:abstractNum>
  <w:abstractNum w:abstractNumId="164">
    <w:nsid w:val="6A3B714C"/>
    <w:multiLevelType w:val="hybridMultilevel"/>
    <w:lvl w:ilvl="0">
      <w:lvlJc w:val="left"/>
      <w:lvlText w:val="(%1)"/>
      <w:numFmt w:val="decimal"/>
      <w:start w:val="30"/>
    </w:lvl>
  </w:abstractNum>
  <w:abstractNum w:abstractNumId="165">
    <w:nsid w:val="327B517E"/>
    <w:multiLevelType w:val="hybridMultilevel"/>
    <w:lvl w:ilvl="0">
      <w:lvlJc w:val="left"/>
      <w:lvlText w:val="(%1)"/>
      <w:numFmt w:val="lowerLetter"/>
      <w:start w:val="1"/>
    </w:lvl>
    <w:lvl w:ilvl="1">
      <w:lvlJc w:val="left"/>
      <w:lvlText w:val="(%2)"/>
      <w:numFmt w:val="lowerRoman"/>
      <w:start w:val="1"/>
    </w:lvl>
  </w:abstractNum>
  <w:abstractNum w:abstractNumId="166">
    <w:nsid w:val="1F461B51"/>
    <w:multiLevelType w:val="hybridMultilevel"/>
    <w:lvl w:ilvl="0">
      <w:lvlJc w:val="left"/>
      <w:lvlText w:val="%1"/>
      <w:numFmt w:val="lowerLetter"/>
      <w:start w:val="1"/>
    </w:lvl>
    <w:lvl w:ilvl="1">
      <w:lvlJc w:val="left"/>
      <w:lvlText w:val="(%2)"/>
      <w:numFmt w:val="lowerLetter"/>
      <w:start w:val="2"/>
    </w:lvl>
  </w:abstractNum>
  <w:abstractNum w:abstractNumId="167">
    <w:nsid w:val="29BACF25"/>
    <w:multiLevelType w:val="hybridMultilevel"/>
    <w:lvl w:ilvl="0">
      <w:lvlJc w:val="left"/>
      <w:lvlText w:val="(%1)"/>
      <w:numFmt w:val="lowerLetter"/>
      <w:start w:val="4"/>
    </w:lvl>
    <w:lvl w:ilvl="1">
      <w:lvlJc w:val="left"/>
      <w:lvlText w:val="%2"/>
      <w:numFmt w:val="lowerLetter"/>
      <w:start w:val="1"/>
    </w:lvl>
  </w:abstractNum>
  <w:abstractNum w:abstractNumId="168">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169">
    <w:nsid w:val="51BF6B48"/>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Roman"/>
      <w:start w:val="1"/>
    </w:lvl>
  </w:abstractNum>
  <w:abstractNum w:abstractNumId="170">
    <w:nsid w:val="7E0F6384"/>
    <w:multiLevelType w:val="hybridMultilevel"/>
    <w:lvl w:ilvl="0">
      <w:lvlJc w:val="left"/>
      <w:lvlText w:val="(%1)"/>
      <w:numFmt w:val="lowerLetter"/>
      <w:start w:val="8"/>
    </w:lvl>
  </w:abstractNum>
  <w:abstractNum w:abstractNumId="171">
    <w:nsid w:val="2B4B8B53"/>
    <w:multiLevelType w:val="hybridMultilevel"/>
    <w:lvl w:ilvl="0">
      <w:lvlJc w:val="left"/>
      <w:lvlText w:val="(%1)"/>
      <w:numFmt w:val="lowerRoman"/>
      <w:start w:val="1"/>
    </w:lvl>
  </w:abstractNum>
  <w:abstractNum w:abstractNumId="172">
    <w:nsid w:val="72E3413A"/>
    <w:multiLevelType w:val="hybridMultilevel"/>
    <w:lvl w:ilvl="0">
      <w:lvlJc w:val="left"/>
      <w:lvlText w:val="(%1)"/>
      <w:numFmt w:val="lowerLetter"/>
      <w:start w:val="1"/>
    </w:lvl>
    <w:lvl w:ilvl="1">
      <w:lvlJc w:val="left"/>
      <w:lvlText w:val="(%2)"/>
      <w:numFmt w:val="lowerRoman"/>
      <w:start w:val="1"/>
    </w:lvl>
  </w:abstractNum>
  <w:abstractNum w:abstractNumId="173">
    <w:nsid w:val="116AE494"/>
    <w:multiLevelType w:val="hybridMultilevel"/>
    <w:lvl w:ilvl="0">
      <w:lvlJc w:val="left"/>
      <w:lvlText w:val="(%1)"/>
      <w:numFmt w:val="lowerLetter"/>
      <w:start w:val="2"/>
    </w:lvl>
  </w:abstractNum>
  <w:abstractNum w:abstractNumId="174">
    <w:nsid w:val="3494B2FB"/>
    <w:multiLevelType w:val="hybridMultilevel"/>
    <w:lvl w:ilvl="0">
      <w:lvlJc w:val="left"/>
      <w:lvlText w:val="(%1)"/>
      <w:numFmt w:val="lowerLetter"/>
      <w:start w:val="3"/>
    </w:lvl>
  </w:abstractNum>
  <w:abstractNum w:abstractNumId="175">
    <w:nsid w:val="B13A31"/>
    <w:multiLevelType w:val="hybridMultilevel"/>
    <w:lvl w:ilvl="0">
      <w:lvlJc w:val="left"/>
      <w:lvlText w:val="(%1)"/>
      <w:numFmt w:val="lowerLetter"/>
      <w:start w:val="7"/>
    </w:lvl>
  </w:abstractNum>
  <w:abstractNum w:abstractNumId="176">
    <w:nsid w:val="64429599"/>
    <w:multiLevelType w:val="hybridMultilevel"/>
    <w:lvl w:ilvl="0">
      <w:lvlJc w:val="left"/>
      <w:lvlText w:val="(%1)"/>
      <w:numFmt w:val="lowerLetter"/>
      <w:start w:val="1"/>
    </w:lvl>
  </w:abstractNum>
  <w:abstractNum w:abstractNumId="177">
    <w:nsid w:val="631F1690"/>
    <w:multiLevelType w:val="hybridMultilevel"/>
    <w:lvl w:ilvl="0">
      <w:lvlJc w:val="left"/>
      <w:lvlText w:val="(%1)"/>
      <w:numFmt w:val="lowerLetter"/>
      <w:start w:val="5"/>
    </w:lvl>
  </w:abstractNum>
  <w:abstractNum w:abstractNumId="178">
    <w:nsid w:val="25973E32"/>
    <w:multiLevelType w:val="hybridMultilevel"/>
    <w:lvl w:ilvl="0">
      <w:lvlJc w:val="left"/>
      <w:lvlText w:val="(%1)"/>
      <w:numFmt w:val="lowerLetter"/>
      <w:start w:val="1"/>
    </w:lvl>
  </w:abstractNum>
  <w:abstractNum w:abstractNumId="179">
    <w:nsid w:val="EAD6F57"/>
    <w:multiLevelType w:val="hybridMultilevel"/>
    <w:lvl w:ilvl="0">
      <w:lvlJc w:val="left"/>
      <w:lvlText w:val="(%1)"/>
      <w:numFmt w:val="lowerRoman"/>
      <w:start w:val="1"/>
    </w:lvl>
  </w:abstractNum>
  <w:abstractNum w:abstractNumId="180">
    <w:nsid w:val="6EC9D844"/>
    <w:multiLevelType w:val="hybridMultilevel"/>
    <w:lvl w:ilvl="0">
      <w:lvlJc w:val="left"/>
      <w:lvlText w:val="(%1)"/>
      <w:numFmt w:val="lowerRoman"/>
      <w:start w:val="1"/>
    </w:lvl>
  </w:abstractNum>
  <w:abstractNum w:abstractNumId="181">
    <w:nsid w:val="5C49EAEE"/>
    <w:multiLevelType w:val="hybridMultilevel"/>
    <w:lvl w:ilvl="0">
      <w:lvlJc w:val="left"/>
      <w:lvlText w:val="(%1)"/>
      <w:numFmt w:val="lowerRoman"/>
      <w:start w:val="1"/>
    </w:lvl>
  </w:abstractNum>
  <w:abstractNum w:abstractNumId="182">
    <w:nsid w:val="64AF49B"/>
    <w:multiLevelType w:val="hybridMultilevel"/>
    <w:lvl w:ilvl="0">
      <w:lvlJc w:val="left"/>
      <w:lvlText w:val="(%1)"/>
      <w:numFmt w:val="lowerRoman"/>
      <w:start w:val="1"/>
    </w:lvl>
    <w:lvl w:ilvl="1">
      <w:lvlJc w:val="left"/>
      <w:lvlText w:val="(%2)"/>
      <w:numFmt w:val="lowerRoman"/>
      <w:start w:val="2"/>
    </w:lvl>
  </w:abstractNum>
  <w:abstractNum w:abstractNumId="183">
    <w:nsid w:val="397C46BC"/>
    <w:multiLevelType w:val="hybridMultilevel"/>
    <w:lvl w:ilvl="0">
      <w:lvlJc w:val="left"/>
      <w:lvlText w:val="•"/>
      <w:numFmt w:val="bullet"/>
      <w:start w:val="1"/>
    </w:lvl>
  </w:abstractNum>
  <w:abstractNum w:abstractNumId="184">
    <w:nsid w:val="7E448DE9"/>
    <w:multiLevelType w:val="hybridMultilevel"/>
    <w:lvl w:ilvl="0">
      <w:lvlJc w:val="left"/>
      <w:lvlText w:val="o"/>
      <w:numFmt w:val="bullet"/>
      <w:start w:val="1"/>
    </w:lvl>
  </w:abstractNum>
  <w:abstractNum w:abstractNumId="185">
    <w:nsid w:val="5A9CC3E5"/>
    <w:multiLevelType w:val="hybridMultilevel"/>
    <w:lvl w:ilvl="0">
      <w:lvlJc w:val="left"/>
      <w:lvlText w:val="1"/>
      <w:numFmt w:val="bullet"/>
      <w:start w:val="1"/>
    </w:lvl>
  </w:abstractNum>
  <w:abstractNum w:abstractNumId="186">
    <w:nsid w:val="1AFE3625"/>
    <w:multiLevelType w:val="hybridMultilevel"/>
    <w:lvl w:ilvl="0">
      <w:lvlJc w:val="left"/>
      <w:lvlText w:val="o"/>
      <w:numFmt w:val="bullet"/>
      <w:start w:val="1"/>
    </w:lvl>
  </w:abstractNum>
  <w:abstractNum w:abstractNumId="187">
    <w:nsid w:val="3CA88ECF"/>
    <w:multiLevelType w:val="hybridMultilevel"/>
    <w:lvl w:ilvl="0">
      <w:lvlJc w:val="left"/>
      <w:lvlText w:val="o"/>
      <w:numFmt w:val="bullet"/>
      <w:start w:val="1"/>
    </w:lvl>
  </w:abstractNum>
  <w:abstractNum w:abstractNumId="188">
    <w:nsid w:val="6EBE4208"/>
    <w:multiLevelType w:val="hybridMultilevel"/>
    <w:lvl w:ilvl="0">
      <w:lvlJc w:val="left"/>
      <w:lvlText w:val="•"/>
      <w:numFmt w:val="bullet"/>
      <w:start w:val="1"/>
    </w:lvl>
  </w:abstractNum>
  <w:abstractNum w:abstractNumId="189">
    <w:nsid w:val="C058DF5"/>
    <w:multiLevelType w:val="hybridMultilevel"/>
    <w:lvl w:ilvl="0">
      <w:lvlJc w:val="left"/>
      <w:lvlText w:val="•"/>
      <w:numFmt w:val="bullet"/>
      <w:start w:val="1"/>
    </w:lvl>
  </w:abstractNum>
  <w:abstractNum w:abstractNumId="190">
    <w:nsid w:val="CBE5BE9"/>
    <w:multiLevelType w:val="hybridMultilevel"/>
    <w:lvl w:ilvl="0">
      <w:lvlJc w:val="left"/>
      <w:lvlText w:val="•"/>
      <w:numFmt w:val="bullet"/>
      <w:start w:val="1"/>
    </w:lvl>
  </w:abstractNum>
  <w:abstractNum w:abstractNumId="191">
    <w:nsid w:val="3102BBE2"/>
    <w:multiLevelType w:val="hybridMultilevel"/>
    <w:lvl w:ilvl="0">
      <w:lvlJc w:val="left"/>
      <w:lvlText w:val="•"/>
      <w:numFmt w:val="bullet"/>
      <w:start w:val="1"/>
    </w:lvl>
    <w:lvl w:ilvl="1">
      <w:lvlJc w:val="left"/>
      <w:lvlText w:val="o"/>
      <w:numFmt w:val="bullet"/>
      <w:start w:val="1"/>
    </w:lvl>
  </w:abstractNum>
  <w:abstractNum w:abstractNumId="192">
    <w:nsid w:val="26A02C5E"/>
    <w:multiLevelType w:val="hybridMultilevel"/>
    <w:lvl w:ilvl="0">
      <w:lvlJc w:val="left"/>
      <w:lvlText w:val="•"/>
      <w:numFmt w:val="bullet"/>
      <w:start w:val="1"/>
    </w:lvl>
  </w:abstractNum>
  <w:abstractNum w:abstractNumId="193">
    <w:nsid w:val="541C8153"/>
    <w:multiLevelType w:val="hybridMultilevel"/>
    <w:lvl w:ilvl="0">
      <w:lvlJc w:val="left"/>
      <w:lvlText w:val="•"/>
      <w:numFmt w:val="bullet"/>
      <w:start w:val="1"/>
    </w:lvl>
  </w:abstractNum>
  <w:abstractNum w:abstractNumId="194">
    <w:nsid w:val="67906F60"/>
    <w:multiLevelType w:val="hybridMultilevel"/>
    <w:lvl w:ilvl="0">
      <w:lvlJc w:val="left"/>
      <w:lvlText w:val="•"/>
      <w:numFmt w:val="bullet"/>
      <w:start w:val="1"/>
    </w:lvl>
  </w:abstractNum>
  <w:abstractNum w:abstractNumId="195">
    <w:nsid w:val="10DB9DAA"/>
    <w:multiLevelType w:val="hybridMultilevel"/>
    <w:lvl w:ilvl="0">
      <w:lvlJc w:val="left"/>
      <w:lvlText w:val="•"/>
      <w:numFmt w:val="bullet"/>
      <w:start w:val="1"/>
    </w:lvl>
    <w:lvl w:ilvl="1">
      <w:lvlJc w:val="left"/>
      <w:lvlText w:val="•"/>
      <w:numFmt w:val="bullet"/>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65" Type="http://schemas.openxmlformats.org/officeDocument/2006/relationships/hyperlink" Target="https://www.sec.gov/Archives/edgar/data/59478/000005947824000065/lly-20231231.htm" TargetMode="External"/><Relationship Id="rId166" Type="http://schemas.openxmlformats.org/officeDocument/2006/relationships/hyperlink" Target="https://www.sec.gov/Archives/edgar/data/59478/000005947822000138/articlesofincorporationlly.htm" TargetMode="External"/><Relationship Id="rId167" Type="http://schemas.openxmlformats.org/officeDocument/2006/relationships/hyperlink" Target="https://www.sec.gov/Archives/edgar/data/59478/000005947822000138/bylaws.htm" TargetMode="External"/><Relationship Id="rId168" Type="http://schemas.openxmlformats.org/officeDocument/2006/relationships/hyperlink" Target="https://www.sec.gov/Archives/edgar/data/59478/000005947813000010/exhibit41-indenturedatedfe.htm" TargetMode="External"/><Relationship Id="rId169" Type="http://schemas.openxmlformats.org/officeDocument/2006/relationships/hyperlink" Target="https://www.sec.gov/Archives/edgar/data/59478/000095015209001897/c49534exv4w2.htm" TargetMode="External"/><Relationship Id="rId170" Type="http://schemas.openxmlformats.org/officeDocument/2006/relationships/hyperlink" Target="https://www.sec.gov/Archives/edgar/data/59478/000005947824000065/lly-20231231x10kexhibit43.htm" TargetMode="External"/><Relationship Id="rId171" Type="http://schemas.openxmlformats.org/officeDocument/2006/relationships/hyperlink" Target="https://www.sec.gov/Archives/edgar/data/59478/000005947820000057/lly-20191231x10kexhibit44.htm" TargetMode="External"/><Relationship Id="rId172" Type="http://schemas.openxmlformats.org/officeDocument/2006/relationships/hyperlink" Target="https://www.sec.gov/Archives/edgar/data/59478/000005947820000057/lly-20191231x10kexhibit45.htm" TargetMode="External"/><Relationship Id="rId173" Type="http://schemas.openxmlformats.org/officeDocument/2006/relationships/hyperlink" Target="https://www.sec.gov/Archives/edgar/data/59478/000005947820000057/lly-20191231x10kexhibit46.htm" TargetMode="External"/><Relationship Id="rId174" Type="http://schemas.openxmlformats.org/officeDocument/2006/relationships/hyperlink" Target="https://www.sec.gov/Archives/edgar/data/59478/000005947820000057/lly-20191231x10kexhibit47.htm" TargetMode="External"/><Relationship Id="rId175" Type="http://schemas.openxmlformats.org/officeDocument/2006/relationships/hyperlink" Target="https://www.sec.gov/Archives/edgar/data/59478/000005947822000068/lly-20211231x10kexhibit48.htm" TargetMode="External"/><Relationship Id="rId178" Type="http://schemas.openxmlformats.org/officeDocument/2006/relationships/hyperlink" Target="https://www.sec.gov/Archives/edgar/data/59478/000005947822000068/lly-20211231x10kexhibit49.htm" TargetMode="External"/><Relationship Id="rId179" Type="http://schemas.openxmlformats.org/officeDocument/2006/relationships/hyperlink" Target="https://www.sec.gov/Archives/edgar/data/59478/000005947824000187/lly-06302024x10qxexhibit101.htm" TargetMode="External"/><Relationship Id="rId180" Type="http://schemas.openxmlformats.org/officeDocument/2006/relationships/hyperlink" Target="https://www.sec.gov/Archives/edgar/data/59478/000005947823000082/lly-20221231x10kexhibit102.htm" TargetMode="External"/><Relationship Id="rId181" Type="http://schemas.openxmlformats.org/officeDocument/2006/relationships/hyperlink" Target="https://www.sec.gov/Archives/edgar/data/59478/000005947823000082/lly-20221231x10kexhibit105.htm" TargetMode="External"/><Relationship Id="rId182" Type="http://schemas.openxmlformats.org/officeDocument/2006/relationships/hyperlink" Target="https://www.sec.gov/Archives/edgar/data/0000059478/000005947821000083/lly-20201231x10kexhibit1014.htm" TargetMode="External"/><Relationship Id="rId183" Type="http://schemas.openxmlformats.org/officeDocument/2006/relationships/hyperlink" Target="https://www.sec.gov/Archives/edgar/data/59478/000005947824000065/lly-20231231x10kexhibit1010.htm" TargetMode="External"/><Relationship Id="rId184" Type="http://schemas.openxmlformats.org/officeDocument/2006/relationships/hyperlink" Target="https://www.sec.gov/Archives/edgar/data/59478/000005947824000065/lly-20231231x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2025-02-19T09:19:56Z</dcterms:created>
  <dcterms:modified xsi:type="dcterms:W3CDTF">2025-02-19T09:19:56Z</dcterms:modified>
</cp:coreProperties>
</file>