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18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0" w:lineRule="exact"/>
        <w:rPr>
          <w:sz w:val="24"/>
          <w:szCs w:val="24"/>
          <w:color w:val="auto"/>
        </w:rPr>
      </w:pPr>
    </w:p>
    <w:p>
      <w:pPr>
        <w:jc w:val="center"/>
        <w:ind w:right="-21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right="2740" w:firstLine="8"/>
        <w:spacing w:after="0" w:line="261"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2015</w:t>
      </w:r>
      <w:r>
        <w:rPr>
          <w:rFonts w:ascii="Arial" w:cs="Arial" w:eastAsia="Arial" w:hAnsi="Arial"/>
          <w:sz w:val="18"/>
          <w:szCs w:val="18"/>
          <w:color w:val="auto"/>
        </w:rPr>
        <w:t>.</w:t>
      </w:r>
    </w:p>
    <w:p>
      <w:pPr>
        <w:jc w:val="center"/>
        <w:ind w:right="-219"/>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980" w:right="2440" w:hanging="971"/>
        <w:spacing w:after="0" w:line="290" w:lineRule="auto"/>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15(d) OF THE SECURITIES EXCHANGE ACT OF 1934</w:t>
      </w:r>
      <w:r>
        <w:rPr>
          <w:rFonts w:ascii="Arial" w:cs="Arial" w:eastAsia="Arial" w:hAnsi="Arial"/>
          <w:sz w:val="17"/>
          <w:szCs w:val="17"/>
          <w:color w:val="auto"/>
        </w:rPr>
        <w:t xml:space="preserve"> For the transition period from __________________________to __________________________</w:t>
      </w:r>
    </w:p>
    <w:p>
      <w:pPr>
        <w:spacing w:after="0" w:line="18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001-6351</w:t>
      </w:r>
    </w:p>
    <w:p>
      <w:pPr>
        <w:spacing w:after="0" w:line="24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6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200" w:lineRule="exact"/>
        <w:rPr>
          <w:sz w:val="24"/>
          <w:szCs w:val="24"/>
          <w:color w:val="auto"/>
        </w:rPr>
      </w:pP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Lilly Employee 401(k) Plan</w:t>
      </w:r>
    </w:p>
    <w:p>
      <w:pPr>
        <w:spacing w:after="0" w:line="5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Savings Plan for Lilly Affiliate Employees in Puerto Rico</w:t>
      </w:r>
    </w:p>
    <w:p>
      <w:pPr>
        <w:spacing w:after="0" w:line="57"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Eli Lilly and Company</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Lilly Corporate Center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Indianapolis, Indiana 46285</w:t>
      </w:r>
    </w:p>
    <w:p>
      <w:pPr>
        <w:spacing w:after="0" w:line="200" w:lineRule="exact"/>
        <w:rPr>
          <w:sz w:val="24"/>
          <w:szCs w:val="24"/>
          <w:color w:val="auto"/>
        </w:rPr>
      </w:pPr>
    </w:p>
    <w:p>
      <w:pPr>
        <w:spacing w:after="0" w:line="306"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REQUIRED INFORMATION</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financial statements shall be furnished for the plan:</w:t>
      </w:r>
    </w:p>
    <w:p>
      <w:pPr>
        <w:spacing w:after="0" w:line="23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828" w:right="4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Financial Statements and Supplemental Schedules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December 31, 2015 and 2014 and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0040" w:type="dxa"/>
            <w:vAlign w:val="bottom"/>
          </w:tcPr>
          <w:p>
            <w:pPr>
              <w:ind w:left="4320"/>
              <w:spacing w:after="0"/>
              <w:rPr>
                <w:sz w:val="20"/>
                <w:szCs w:val="20"/>
                <w:color w:val="auto"/>
              </w:rPr>
            </w:pPr>
            <w:r>
              <w:rPr>
                <w:rFonts w:ascii="Arial" w:cs="Arial" w:eastAsia="Arial" w:hAnsi="Arial"/>
                <w:sz w:val="25"/>
                <w:szCs w:val="25"/>
                <w:b w:val="1"/>
                <w:bCs w:val="1"/>
                <w:color w:val="auto"/>
              </w:rPr>
              <w:t>Table of Contents</w:t>
            </w:r>
          </w:p>
        </w:tc>
        <w:tc>
          <w:tcPr>
            <w:tcW w:w="480" w:type="dxa"/>
            <w:vAlign w:val="bottom"/>
          </w:tcPr>
          <w:p>
            <w:pPr>
              <w:spacing w:after="0"/>
              <w:rPr>
                <w:sz w:val="24"/>
                <w:szCs w:val="24"/>
                <w:color w:val="auto"/>
              </w:rPr>
            </w:pPr>
          </w:p>
        </w:tc>
      </w:tr>
      <w:tr>
        <w:trPr>
          <w:trHeight w:val="775"/>
        </w:trPr>
        <w:tc>
          <w:tcPr>
            <w:tcW w:w="1004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4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324"/>
        </w:trPr>
        <w:tc>
          <w:tcPr>
            <w:tcW w:w="10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00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1"/>
                <w:szCs w:val="21"/>
                <w:color w:val="auto"/>
              </w:rPr>
            </w:pPr>
          </w:p>
        </w:tc>
      </w:tr>
      <w:tr>
        <w:trPr>
          <w:trHeight w:val="54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- 2015</w:t>
            </w:r>
          </w:p>
        </w:tc>
        <w:tc>
          <w:tcPr>
            <w:tcW w:w="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Net Assets Available for Benefits - 2014</w:t>
            </w:r>
          </w:p>
        </w:tc>
        <w:tc>
          <w:tcPr>
            <w:tcW w:w="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Statements of Changes in Net Assets Available for Benefits</w:t>
            </w:r>
          </w:p>
        </w:tc>
        <w:tc>
          <w:tcPr>
            <w:tcW w:w="4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4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324"/>
        </w:trPr>
        <w:tc>
          <w:tcPr>
            <w:tcW w:w="10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100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8"/>
                <w:szCs w:val="18"/>
                <w:color w:val="auto"/>
              </w:rPr>
              <w:t>Supplemental Schedules</w:t>
            </w:r>
          </w:p>
        </w:tc>
        <w:tc>
          <w:tcPr>
            <w:tcW w:w="480" w:type="dxa"/>
            <w:vAlign w:val="bottom"/>
          </w:tcPr>
          <w:p>
            <w:pPr>
              <w:spacing w:after="0"/>
              <w:rPr>
                <w:sz w:val="21"/>
                <w:szCs w:val="21"/>
                <w:color w:val="auto"/>
              </w:rPr>
            </w:pPr>
          </w:p>
        </w:tc>
      </w:tr>
      <w:tr>
        <w:trPr>
          <w:trHeight w:val="526"/>
        </w:trPr>
        <w:tc>
          <w:tcPr>
            <w:tcW w:w="10040" w:type="dxa"/>
            <w:vAlign w:val="bottom"/>
          </w:tcPr>
          <w:p>
            <w:pPr>
              <w:ind w:left="20"/>
              <w:spacing w:after="0"/>
              <w:rPr>
                <w:sz w:val="20"/>
                <w:szCs w:val="20"/>
                <w:color w:val="auto"/>
              </w:rPr>
            </w:pPr>
            <w:r>
              <w:rPr>
                <w:rFonts w:ascii="Arial" w:cs="Arial" w:eastAsia="Arial" w:hAnsi="Arial"/>
                <w:sz w:val="18"/>
                <w:szCs w:val="18"/>
                <w:color w:val="auto"/>
              </w:rPr>
              <w:t>Schedule H, Line 4i - Schedule of Assets (Held at End of Year) -</w:t>
            </w:r>
          </w:p>
        </w:tc>
        <w:tc>
          <w:tcPr>
            <w:tcW w:w="480" w:type="dxa"/>
            <w:vAlign w:val="bottom"/>
          </w:tcPr>
          <w:p>
            <w:pPr>
              <w:spacing w:after="0"/>
              <w:rPr>
                <w:sz w:val="24"/>
                <w:szCs w:val="24"/>
                <w:color w:val="auto"/>
              </w:rPr>
            </w:pPr>
          </w:p>
        </w:tc>
      </w:tr>
      <w:tr>
        <w:trPr>
          <w:trHeight w:val="230"/>
        </w:trPr>
        <w:tc>
          <w:tcPr>
            <w:tcW w:w="10040" w:type="dxa"/>
            <w:vAlign w:val="bottom"/>
          </w:tcPr>
          <w:p>
            <w:pPr>
              <w:ind w:left="340"/>
              <w:spacing w:after="0"/>
              <w:rPr>
                <w:sz w:val="20"/>
                <w:szCs w:val="20"/>
                <w:color w:val="auto"/>
              </w:rPr>
            </w:pPr>
            <w:r>
              <w:rPr>
                <w:rFonts w:ascii="Arial" w:cs="Arial" w:eastAsia="Arial" w:hAnsi="Arial"/>
                <w:sz w:val="18"/>
                <w:szCs w:val="18"/>
                <w:color w:val="auto"/>
              </w:rPr>
              <w:t>The Lilly Employee 401(k) Plan</w:t>
            </w:r>
          </w:p>
        </w:tc>
        <w:tc>
          <w:tcPr>
            <w:tcW w:w="48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56"/>
        </w:trPr>
        <w:tc>
          <w:tcPr>
            <w:tcW w:w="10040" w:type="dxa"/>
            <w:vAlign w:val="bottom"/>
          </w:tcPr>
          <w:p>
            <w:pPr>
              <w:ind w:left="20"/>
              <w:spacing w:after="0"/>
              <w:rPr>
                <w:sz w:val="20"/>
                <w:szCs w:val="20"/>
                <w:color w:val="auto"/>
              </w:rPr>
            </w:pPr>
            <w:r>
              <w:rPr>
                <w:rFonts w:ascii="Arial" w:cs="Arial" w:eastAsia="Arial" w:hAnsi="Arial"/>
                <w:sz w:val="18"/>
                <w:szCs w:val="18"/>
                <w:color w:val="auto"/>
              </w:rPr>
              <w:t>Schedule H, Line 4i - Schedule of Assets (Held at End of Year) -</w:t>
            </w:r>
          </w:p>
        </w:tc>
        <w:tc>
          <w:tcPr>
            <w:tcW w:w="480" w:type="dxa"/>
            <w:vAlign w:val="bottom"/>
          </w:tcPr>
          <w:p>
            <w:pPr>
              <w:spacing w:after="0"/>
              <w:rPr>
                <w:sz w:val="22"/>
                <w:szCs w:val="22"/>
                <w:color w:val="auto"/>
              </w:rPr>
            </w:pPr>
          </w:p>
        </w:tc>
      </w:tr>
      <w:tr>
        <w:trPr>
          <w:trHeight w:val="230"/>
        </w:trPr>
        <w:tc>
          <w:tcPr>
            <w:tcW w:w="10040" w:type="dxa"/>
            <w:vAlign w:val="bottom"/>
          </w:tcPr>
          <w:p>
            <w:pPr>
              <w:ind w:left="340"/>
              <w:spacing w:after="0"/>
              <w:rPr>
                <w:sz w:val="20"/>
                <w:szCs w:val="20"/>
                <w:color w:val="auto"/>
              </w:rPr>
            </w:pPr>
            <w:r>
              <w:rPr>
                <w:rFonts w:ascii="Arial" w:cs="Arial" w:eastAsia="Arial" w:hAnsi="Arial"/>
                <w:sz w:val="18"/>
                <w:szCs w:val="18"/>
                <w:color w:val="auto"/>
              </w:rPr>
              <w:t>The Savings Plan for Lilly Affiliate Employees in Puerto Rico</w:t>
            </w:r>
          </w:p>
        </w:tc>
        <w:tc>
          <w:tcPr>
            <w:tcW w:w="48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4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70"/>
        </w:trPr>
        <w:tc>
          <w:tcPr>
            <w:tcW w:w="10040" w:type="dxa"/>
            <w:vAlign w:val="bottom"/>
          </w:tcPr>
          <w:p>
            <w:pPr>
              <w:ind w:left="20"/>
              <w:spacing w:after="0"/>
              <w:rPr>
                <w:sz w:val="20"/>
                <w:szCs w:val="20"/>
                <w:color w:val="auto"/>
              </w:rPr>
            </w:pPr>
            <w:r>
              <w:rPr>
                <w:rFonts w:ascii="Arial" w:cs="Arial" w:eastAsia="Arial" w:hAnsi="Arial"/>
                <w:sz w:val="18"/>
                <w:szCs w:val="18"/>
                <w:color w:val="auto"/>
              </w:rPr>
              <w:t>Exhibit 23 Consent of Independent Registered Public Accounting Firm</w:t>
            </w:r>
          </w:p>
        </w:tc>
        <w:tc>
          <w:tcPr>
            <w:tcW w:w="4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702"/>
        </w:trPr>
        <w:tc>
          <w:tcPr>
            <w:tcW w:w="10040" w:type="dxa"/>
            <w:vAlign w:val="bottom"/>
          </w:tcPr>
          <w:p>
            <w:pPr>
              <w:ind w:left="52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r>
    </w:tbl>
    <w:p>
      <w:pPr>
        <w:sectPr>
          <w:pgSz w:w="11900" w:h="16838" w:orient="portrait"/>
          <w:cols w:equalWidth="0" w:num="1">
            <w:col w:w="10520"/>
          </w:cols>
          <w:pgMar w:left="680" w:top="427" w:right="699" w:bottom="1440" w:gutter="0" w:footer="0" w:header="0"/>
        </w:sectPr>
      </w:pPr>
    </w:p>
    <w:bookmarkStart w:id="2" w:name="page3"/>
    <w:bookmarkEnd w:id="2"/>
    <w:p>
      <w:pPr>
        <w:spacing w:after="0" w:line="39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The Employee Benefits Committee</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Eli Lilly and Company</w:t>
      </w:r>
    </w:p>
    <w:p>
      <w:pPr>
        <w:spacing w:after="0" w:line="200" w:lineRule="exact"/>
        <w:rPr>
          <w:sz w:val="20"/>
          <w:szCs w:val="20"/>
          <w:color w:val="auto"/>
        </w:rPr>
      </w:pPr>
    </w:p>
    <w:p>
      <w:pPr>
        <w:spacing w:after="0" w:line="30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have audited each of the accompanying statements of net assets available for benefits of The Lilly Employee 401(k) Plan and The Savings Plan for Lilly Affiliate Employees in Puerto Rico (the Plans) as of December 31, 2015 and 2014, and the related statements of changes in net assets available for benefits for the Plans for the year ended December 31, 2015. These financial statements are the responsibility of the Plans’ management. Our responsibility is to express an opinion on these financial statements based on our audits.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our opinion, the financial statements referred to above present fairly, in all material respects, the net assets available for benefits of the Plans at December 31, 2015 and 2014, and the changes in net assets available for benefits for the Plans for the year ended December 31, 2015, in conformity with U.S. generally accepted accounting principles.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accompanying supplemental schedules of assets (held at end of year) as of December 31, 2015 have been subjected to audit procedures performed in conjunction with the audit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Indianapolis, Indiana</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June 21, 2016</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40" w:right="239" w:bottom="1440" w:gutter="0" w:footer="0" w:header="0"/>
          <w:type w:val="continuous"/>
        </w:sectPr>
      </w:pPr>
    </w:p>
    <w:bookmarkStart w:id="3" w:name="page4"/>
    <w:bookmarkEnd w:id="3"/>
    <w:p>
      <w:pPr>
        <w:jc w:val="center"/>
        <w:ind w:right="-699"/>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69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ind w:left="2940"/>
        <w:spacing w:after="0"/>
        <w:rPr>
          <w:sz w:val="20"/>
          <w:szCs w:val="20"/>
          <w:color w:val="auto"/>
        </w:rPr>
      </w:pPr>
      <w:r>
        <w:rPr>
          <w:rFonts w:ascii="Arial" w:cs="Arial" w:eastAsia="Arial" w:hAnsi="Arial"/>
          <w:sz w:val="25"/>
          <w:szCs w:val="25"/>
          <w:color w:val="auto"/>
        </w:rPr>
        <w:t>Statements of Net Assets Available for Benefits</w:t>
      </w:r>
    </w:p>
    <w:p>
      <w:pPr>
        <w:spacing w:after="0" w:line="38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The Savings Plan</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jc w:val="center"/>
              <w:ind w:right="81"/>
              <w:spacing w:after="0"/>
              <w:rPr>
                <w:sz w:val="20"/>
                <w:szCs w:val="20"/>
                <w:color w:val="auto"/>
              </w:rPr>
            </w:pPr>
            <w:r>
              <w:rPr>
                <w:rFonts w:ascii="Arial" w:cs="Arial" w:eastAsia="Arial" w:hAnsi="Arial"/>
                <w:sz w:val="20"/>
                <w:szCs w:val="20"/>
                <w:b w:val="1"/>
                <w:bCs w:val="1"/>
                <w:color w:val="auto"/>
                <w:w w:val="96"/>
              </w:rPr>
              <w:t>for Lilly</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2"/>
          </w:tcPr>
          <w:p>
            <w:pPr>
              <w:jc w:val="center"/>
              <w:ind w:right="460"/>
              <w:spacing w:after="0"/>
              <w:rPr>
                <w:sz w:val="20"/>
                <w:szCs w:val="20"/>
                <w:color w:val="auto"/>
              </w:rPr>
            </w:pPr>
            <w:r>
              <w:rPr>
                <w:rFonts w:ascii="Arial" w:cs="Arial" w:eastAsia="Arial" w:hAnsi="Arial"/>
                <w:sz w:val="20"/>
                <w:szCs w:val="20"/>
                <w:b w:val="1"/>
                <w:bCs w:val="1"/>
                <w:color w:val="auto"/>
                <w:w w:val="91"/>
              </w:rPr>
              <w:t>The Lilly Employee</w:t>
            </w:r>
          </w:p>
        </w:tc>
        <w:tc>
          <w:tcPr>
            <w:tcW w:w="160" w:type="dxa"/>
            <w:vAlign w:val="bottom"/>
          </w:tcPr>
          <w:p>
            <w:pPr>
              <w:spacing w:after="0"/>
              <w:rPr>
                <w:sz w:val="19"/>
                <w:szCs w:val="19"/>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90"/>
              </w:rPr>
              <w:t>Affiliate Employees in</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0"/>
              </w:rPr>
              <w:t>401(k) Plan</w:t>
            </w:r>
          </w:p>
        </w:tc>
        <w:tc>
          <w:tcPr>
            <w:tcW w:w="160" w:type="dxa"/>
            <w:vAlign w:val="bottom"/>
          </w:tcPr>
          <w:p>
            <w:pPr>
              <w:spacing w:after="0"/>
              <w:rPr>
                <w:sz w:val="19"/>
                <w:szCs w:val="19"/>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Puerto Rico</w:t>
            </w: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40" w:type="dxa"/>
            <w:vAlign w:val="bottom"/>
            <w:gridSpan w:val="2"/>
          </w:tcPr>
          <w:p>
            <w:pPr>
              <w:jc w:val="center"/>
              <w:ind w:right="440"/>
              <w:spacing w:after="0"/>
              <w:rPr>
                <w:sz w:val="20"/>
                <w:szCs w:val="20"/>
                <w:color w:val="auto"/>
              </w:rPr>
            </w:pPr>
            <w:r>
              <w:rPr>
                <w:rFonts w:ascii="Arial" w:cs="Arial" w:eastAsia="Arial" w:hAnsi="Arial"/>
                <w:sz w:val="20"/>
                <w:szCs w:val="20"/>
                <w:b w:val="1"/>
                <w:bCs w:val="1"/>
                <w:color w:val="auto"/>
                <w:w w:val="90"/>
              </w:rPr>
              <w:t>(Plan No. 002)</w:t>
            </w:r>
          </w:p>
        </w:tc>
        <w:tc>
          <w:tcPr>
            <w:tcW w:w="160" w:type="dxa"/>
            <w:vAlign w:val="bottom"/>
          </w:tcPr>
          <w:p>
            <w:pPr>
              <w:spacing w:after="0"/>
              <w:rPr>
                <w:sz w:val="22"/>
                <w:szCs w:val="22"/>
                <w:color w:val="auto"/>
              </w:rPr>
            </w:pPr>
          </w:p>
        </w:tc>
        <w:tc>
          <w:tcPr>
            <w:tcW w:w="2120" w:type="dxa"/>
            <w:vAlign w:val="bottom"/>
          </w:tcPr>
          <w:p>
            <w:pPr>
              <w:jc w:val="center"/>
              <w:ind w:right="61"/>
              <w:spacing w:after="0"/>
              <w:rPr>
                <w:sz w:val="20"/>
                <w:szCs w:val="20"/>
                <w:color w:val="auto"/>
              </w:rPr>
            </w:pPr>
            <w:r>
              <w:rPr>
                <w:rFonts w:ascii="Arial" w:cs="Arial" w:eastAsia="Arial" w:hAnsi="Arial"/>
                <w:sz w:val="20"/>
                <w:szCs w:val="20"/>
                <w:b w:val="1"/>
                <w:bCs w:val="1"/>
                <w:color w:val="auto"/>
                <w:w w:val="90"/>
              </w:rPr>
              <w:t>(Plan No. 004)</w:t>
            </w:r>
          </w:p>
        </w:tc>
        <w:tc>
          <w:tcPr>
            <w:tcW w:w="0" w:type="dxa"/>
            <w:vAlign w:val="bottom"/>
          </w:tcPr>
          <w:p>
            <w:pPr>
              <w:spacing w:after="0"/>
              <w:rPr>
                <w:sz w:val="1"/>
                <w:szCs w:val="1"/>
                <w:color w:val="auto"/>
              </w:rPr>
            </w:pPr>
          </w:p>
        </w:tc>
      </w:tr>
      <w:tr>
        <w:trPr>
          <w:trHeight w:val="23"/>
        </w:trPr>
        <w:tc>
          <w:tcPr>
            <w:tcW w:w="514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Investments:</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160"/>
              <w:spacing w:after="0"/>
              <w:rPr>
                <w:sz w:val="20"/>
                <w:szCs w:val="20"/>
                <w:color w:val="auto"/>
              </w:rPr>
            </w:pPr>
            <w:r>
              <w:rPr>
                <w:rFonts w:ascii="Arial" w:cs="Arial" w:eastAsia="Arial" w:hAnsi="Arial"/>
                <w:sz w:val="20"/>
                <w:szCs w:val="20"/>
                <w:color w:val="auto"/>
              </w:rPr>
              <w:t>Interest in net assets of The Lilly</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300"/>
              <w:spacing w:after="0"/>
              <w:rPr>
                <w:sz w:val="20"/>
                <w:szCs w:val="20"/>
                <w:color w:val="auto"/>
              </w:rPr>
            </w:pPr>
            <w:r>
              <w:rPr>
                <w:rFonts w:ascii="Arial" w:cs="Arial" w:eastAsia="Arial" w:hAnsi="Arial"/>
                <w:sz w:val="20"/>
                <w:szCs w:val="20"/>
                <w:color w:val="auto"/>
              </w:rPr>
              <w:t>Employee Savings Plan Master Trust</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ind w:right="2"/>
              <w:spacing w:after="0"/>
              <w:rPr>
                <w:sz w:val="20"/>
                <w:szCs w:val="20"/>
                <w:color w:val="auto"/>
              </w:rPr>
            </w:pPr>
            <w:r>
              <w:rPr>
                <w:rFonts w:ascii="Arial" w:cs="Arial" w:eastAsia="Arial" w:hAnsi="Arial"/>
                <w:sz w:val="20"/>
                <w:szCs w:val="20"/>
                <w:color w:val="auto"/>
              </w:rPr>
              <w:t>5,622,785,685</w:t>
            </w:r>
          </w:p>
        </w:tc>
        <w:tc>
          <w:tcPr>
            <w:tcW w:w="3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165,407,062</w:t>
            </w:r>
          </w:p>
        </w:tc>
        <w:tc>
          <w:tcPr>
            <w:tcW w:w="0" w:type="dxa"/>
            <w:vAlign w:val="bottom"/>
          </w:tcPr>
          <w:p>
            <w:pPr>
              <w:spacing w:after="0"/>
              <w:rPr>
                <w:sz w:val="1"/>
                <w:szCs w:val="1"/>
                <w:color w:val="auto"/>
              </w:rPr>
            </w:pPr>
          </w:p>
        </w:tc>
      </w:tr>
      <w:tr>
        <w:trPr>
          <w:trHeight w:val="608"/>
        </w:trPr>
        <w:tc>
          <w:tcPr>
            <w:tcW w:w="5140" w:type="dxa"/>
            <w:vAlign w:val="bottom"/>
          </w:tcPr>
          <w:p>
            <w:pPr>
              <w:spacing w:after="0"/>
              <w:rPr>
                <w:sz w:val="20"/>
                <w:szCs w:val="20"/>
                <w:color w:val="auto"/>
              </w:rPr>
            </w:pPr>
            <w:r>
              <w:rPr>
                <w:rFonts w:ascii="Arial" w:cs="Arial" w:eastAsia="Arial" w:hAnsi="Arial"/>
                <w:sz w:val="20"/>
                <w:szCs w:val="20"/>
                <w:color w:val="auto"/>
              </w:rPr>
              <w:t>Receivables:</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tcPr>
          <w:p>
            <w:pPr>
              <w:ind w:left="160"/>
              <w:spacing w:after="0"/>
              <w:rPr>
                <w:sz w:val="20"/>
                <w:szCs w:val="20"/>
                <w:color w:val="auto"/>
              </w:rPr>
            </w:pPr>
            <w:r>
              <w:rPr>
                <w:rFonts w:ascii="Arial" w:cs="Arial" w:eastAsia="Arial" w:hAnsi="Arial"/>
                <w:sz w:val="20"/>
                <w:szCs w:val="20"/>
                <w:color w:val="auto"/>
              </w:rPr>
              <w:t>Employer contribution</w:t>
            </w:r>
          </w:p>
        </w:tc>
        <w:tc>
          <w:tcPr>
            <w:tcW w:w="140" w:type="dxa"/>
            <w:vAlign w:val="bottom"/>
          </w:tcPr>
          <w:p>
            <w:pPr>
              <w:spacing w:after="0"/>
              <w:rPr>
                <w:sz w:val="24"/>
                <w:szCs w:val="24"/>
                <w:color w:val="auto"/>
              </w:rPr>
            </w:pPr>
          </w:p>
        </w:tc>
        <w:tc>
          <w:tcPr>
            <w:tcW w:w="2140" w:type="dxa"/>
            <w:vAlign w:val="bottom"/>
          </w:tcPr>
          <w:p>
            <w:pPr>
              <w:jc w:val="right"/>
              <w:ind w:right="2"/>
              <w:spacing w:after="0"/>
              <w:rPr>
                <w:sz w:val="20"/>
                <w:szCs w:val="20"/>
                <w:color w:val="auto"/>
              </w:rPr>
            </w:pPr>
            <w:r>
              <w:rPr>
                <w:rFonts w:ascii="Arial" w:cs="Arial" w:eastAsia="Arial" w:hAnsi="Arial"/>
                <w:sz w:val="20"/>
                <w:szCs w:val="20"/>
                <w:color w:val="auto"/>
              </w:rPr>
              <w:t>8,776,030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390,973</w:t>
            </w:r>
          </w:p>
        </w:tc>
        <w:tc>
          <w:tcPr>
            <w:tcW w:w="0" w:type="dxa"/>
            <w:vAlign w:val="bottom"/>
          </w:tcPr>
          <w:p>
            <w:pPr>
              <w:spacing w:after="0"/>
              <w:rPr>
                <w:sz w:val="1"/>
                <w:szCs w:val="1"/>
                <w:color w:val="auto"/>
              </w:rPr>
            </w:pPr>
          </w:p>
        </w:tc>
      </w:tr>
      <w:tr>
        <w:trPr>
          <w:trHeight w:val="284"/>
        </w:trPr>
        <w:tc>
          <w:tcPr>
            <w:tcW w:w="5140" w:type="dxa"/>
            <w:vAlign w:val="bottom"/>
          </w:tcPr>
          <w:p>
            <w:pPr>
              <w:ind w:left="160"/>
              <w:spacing w:after="0"/>
              <w:rPr>
                <w:sz w:val="20"/>
                <w:szCs w:val="20"/>
                <w:color w:val="auto"/>
              </w:rPr>
            </w:pPr>
            <w:r>
              <w:rPr>
                <w:rFonts w:ascii="Arial" w:cs="Arial" w:eastAsia="Arial" w:hAnsi="Arial"/>
                <w:sz w:val="20"/>
                <w:szCs w:val="20"/>
                <w:color w:val="auto"/>
              </w:rPr>
              <w:t>Notes receivable from participants</w:t>
            </w:r>
          </w:p>
        </w:tc>
        <w:tc>
          <w:tcPr>
            <w:tcW w:w="140" w:type="dxa"/>
            <w:vAlign w:val="bottom"/>
          </w:tcPr>
          <w:p>
            <w:pPr>
              <w:spacing w:after="0"/>
              <w:rPr>
                <w:sz w:val="24"/>
                <w:szCs w:val="24"/>
                <w:color w:val="auto"/>
              </w:rPr>
            </w:pPr>
          </w:p>
        </w:tc>
        <w:tc>
          <w:tcPr>
            <w:tcW w:w="2140" w:type="dxa"/>
            <w:vAlign w:val="bottom"/>
          </w:tcPr>
          <w:p>
            <w:pPr>
              <w:jc w:val="right"/>
              <w:ind w:right="2"/>
              <w:spacing w:after="0"/>
              <w:rPr>
                <w:sz w:val="20"/>
                <w:szCs w:val="20"/>
                <w:color w:val="auto"/>
              </w:rPr>
            </w:pPr>
            <w:r>
              <w:rPr>
                <w:rFonts w:ascii="Arial" w:cs="Arial" w:eastAsia="Arial" w:hAnsi="Arial"/>
                <w:sz w:val="20"/>
                <w:szCs w:val="20"/>
                <w:color w:val="auto"/>
              </w:rPr>
              <w:t>34,612,352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3,227,708</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tcPr>
          <w:p>
            <w:pPr>
              <w:jc w:val="right"/>
              <w:ind w:right="2"/>
              <w:spacing w:after="0"/>
              <w:rPr>
                <w:sz w:val="20"/>
                <w:szCs w:val="20"/>
                <w:color w:val="auto"/>
              </w:rPr>
            </w:pPr>
            <w:r>
              <w:rPr>
                <w:rFonts w:ascii="Arial" w:cs="Arial" w:eastAsia="Arial" w:hAnsi="Arial"/>
                <w:sz w:val="20"/>
                <w:szCs w:val="20"/>
                <w:color w:val="auto"/>
              </w:rPr>
              <w:t>43,388,382</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3,618,681</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9"/>
        </w:trPr>
        <w:tc>
          <w:tcPr>
            <w:tcW w:w="514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5,666,174,067</w:t>
            </w:r>
          </w:p>
        </w:tc>
        <w:tc>
          <w:tcPr>
            <w:tcW w:w="3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169,025,743</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20"/>
                <w:szCs w:val="20"/>
                <w:i w:val="1"/>
                <w:iCs w:val="1"/>
                <w:color w:val="auto"/>
              </w:rPr>
              <w:t>See accompanying notes.</w:t>
            </w: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1922"/>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00"/>
          </w:cols>
          <w:pgMar w:left="600" w:top="960" w:right="1299" w:bottom="1440" w:gutter="0" w:footer="0" w:header="0"/>
        </w:sectPr>
      </w:pPr>
    </w:p>
    <w:bookmarkStart w:id="4" w:name="page5"/>
    <w:bookmarkEnd w:id="4"/>
    <w:p>
      <w:pPr>
        <w:jc w:val="center"/>
        <w:ind w:right="-819"/>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8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ind w:left="3020"/>
        <w:spacing w:after="0"/>
        <w:rPr>
          <w:sz w:val="20"/>
          <w:szCs w:val="20"/>
          <w:color w:val="auto"/>
        </w:rPr>
      </w:pPr>
      <w:r>
        <w:rPr>
          <w:rFonts w:ascii="Arial" w:cs="Arial" w:eastAsia="Arial" w:hAnsi="Arial"/>
          <w:sz w:val="25"/>
          <w:szCs w:val="25"/>
          <w:color w:val="auto"/>
        </w:rPr>
        <w:t>Statements of Net Assets Available for Benefits</w:t>
      </w:r>
    </w:p>
    <w:p>
      <w:pPr>
        <w:spacing w:after="0" w:line="388" w:lineRule="exact"/>
        <w:rPr>
          <w:sz w:val="20"/>
          <w:szCs w:val="20"/>
          <w:color w:val="auto"/>
        </w:rPr>
      </w:pPr>
    </w:p>
    <w:p>
      <w:pPr>
        <w:ind w:left="4660"/>
        <w:spacing w:after="0"/>
        <w:rPr>
          <w:sz w:val="20"/>
          <w:szCs w:val="20"/>
          <w:color w:val="auto"/>
        </w:rPr>
      </w:pPr>
      <w:r>
        <w:rPr>
          <w:rFonts w:ascii="Arial" w:cs="Arial" w:eastAsia="Arial" w:hAnsi="Arial"/>
          <w:sz w:val="20"/>
          <w:szCs w:val="20"/>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center"/>
              <w:ind w:right="101"/>
              <w:spacing w:after="0"/>
              <w:rPr>
                <w:sz w:val="20"/>
                <w:szCs w:val="20"/>
                <w:color w:val="auto"/>
              </w:rPr>
            </w:pPr>
            <w:r>
              <w:rPr>
                <w:rFonts w:ascii="Arial" w:cs="Arial" w:eastAsia="Arial" w:hAnsi="Arial"/>
                <w:sz w:val="20"/>
                <w:szCs w:val="20"/>
                <w:b w:val="1"/>
                <w:bCs w:val="1"/>
                <w:color w:val="auto"/>
                <w:w w:val="88"/>
              </w:rPr>
              <w:t>The Savings Plan</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Pr>
          <w:p>
            <w:pPr>
              <w:jc w:val="center"/>
              <w:ind w:right="101"/>
              <w:spacing w:after="0"/>
              <w:rPr>
                <w:sz w:val="20"/>
                <w:szCs w:val="20"/>
                <w:color w:val="auto"/>
              </w:rPr>
            </w:pPr>
            <w:r>
              <w:rPr>
                <w:rFonts w:ascii="Arial" w:cs="Arial" w:eastAsia="Arial" w:hAnsi="Arial"/>
                <w:sz w:val="20"/>
                <w:szCs w:val="20"/>
                <w:b w:val="1"/>
                <w:bCs w:val="1"/>
                <w:color w:val="auto"/>
                <w:w w:val="96"/>
              </w:rPr>
              <w:t>for Lilly</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640" w:type="dxa"/>
            <w:vAlign w:val="bottom"/>
            <w:gridSpan w:val="3"/>
          </w:tcPr>
          <w:p>
            <w:pPr>
              <w:ind w:left="20"/>
              <w:spacing w:after="0"/>
              <w:rPr>
                <w:sz w:val="20"/>
                <w:szCs w:val="20"/>
                <w:color w:val="auto"/>
              </w:rPr>
            </w:pPr>
            <w:r>
              <w:rPr>
                <w:rFonts w:ascii="Arial" w:cs="Arial" w:eastAsia="Arial" w:hAnsi="Arial"/>
                <w:sz w:val="20"/>
                <w:szCs w:val="20"/>
                <w:b w:val="1"/>
                <w:bCs w:val="1"/>
                <w:color w:val="auto"/>
              </w:rPr>
              <w:t>The Lilly Employee 401(k)</w:t>
            </w:r>
          </w:p>
        </w:tc>
        <w:tc>
          <w:tcPr>
            <w:tcW w:w="200" w:type="dxa"/>
            <w:vAlign w:val="bottom"/>
          </w:tcPr>
          <w:p>
            <w:pPr>
              <w:spacing w:after="0"/>
              <w:rPr>
                <w:sz w:val="19"/>
                <w:szCs w:val="19"/>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90"/>
              </w:rPr>
              <w:t>Affiliate Employees in</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2"/>
          </w:tcPr>
          <w:p>
            <w:pPr>
              <w:jc w:val="center"/>
              <w:ind w:right="600"/>
              <w:spacing w:after="0"/>
              <w:rPr>
                <w:sz w:val="20"/>
                <w:szCs w:val="20"/>
                <w:color w:val="auto"/>
              </w:rPr>
            </w:pPr>
            <w:r>
              <w:rPr>
                <w:rFonts w:ascii="Arial" w:cs="Arial" w:eastAsia="Arial" w:hAnsi="Arial"/>
                <w:sz w:val="20"/>
                <w:szCs w:val="20"/>
                <w:b w:val="1"/>
                <w:bCs w:val="1"/>
                <w:color w:val="auto"/>
                <w:w w:val="89"/>
              </w:rPr>
              <w:t>Plan</w:t>
            </w:r>
          </w:p>
        </w:tc>
        <w:tc>
          <w:tcPr>
            <w:tcW w:w="200" w:type="dxa"/>
            <w:vAlign w:val="bottom"/>
          </w:tcPr>
          <w:p>
            <w:pPr>
              <w:spacing w:after="0"/>
              <w:rPr>
                <w:sz w:val="19"/>
                <w:szCs w:val="19"/>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89"/>
              </w:rPr>
              <w:t>Puerto Rico</w:t>
            </w: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80" w:type="dxa"/>
            <w:vAlign w:val="bottom"/>
            <w:gridSpan w:val="2"/>
          </w:tcPr>
          <w:p>
            <w:pPr>
              <w:jc w:val="center"/>
              <w:ind w:right="600"/>
              <w:spacing w:after="0"/>
              <w:rPr>
                <w:sz w:val="20"/>
                <w:szCs w:val="20"/>
                <w:color w:val="auto"/>
              </w:rPr>
            </w:pPr>
            <w:r>
              <w:rPr>
                <w:rFonts w:ascii="Arial" w:cs="Arial" w:eastAsia="Arial" w:hAnsi="Arial"/>
                <w:sz w:val="20"/>
                <w:szCs w:val="20"/>
                <w:b w:val="1"/>
                <w:bCs w:val="1"/>
                <w:color w:val="auto"/>
                <w:w w:val="92"/>
              </w:rPr>
              <w:t>(Plan No. 002)</w:t>
            </w:r>
          </w:p>
        </w:tc>
        <w:tc>
          <w:tcPr>
            <w:tcW w:w="200" w:type="dxa"/>
            <w:vAlign w:val="bottom"/>
          </w:tcPr>
          <w:p>
            <w:pPr>
              <w:spacing w:after="0"/>
              <w:rPr>
                <w:sz w:val="22"/>
                <w:szCs w:val="22"/>
                <w:color w:val="auto"/>
              </w:rPr>
            </w:pPr>
          </w:p>
        </w:tc>
        <w:tc>
          <w:tcPr>
            <w:tcW w:w="2220" w:type="dxa"/>
            <w:vAlign w:val="bottom"/>
          </w:tcPr>
          <w:p>
            <w:pPr>
              <w:jc w:val="center"/>
              <w:ind w:right="121"/>
              <w:spacing w:after="0"/>
              <w:rPr>
                <w:sz w:val="20"/>
                <w:szCs w:val="20"/>
                <w:color w:val="auto"/>
              </w:rPr>
            </w:pPr>
            <w:r>
              <w:rPr>
                <w:rFonts w:ascii="Arial" w:cs="Arial" w:eastAsia="Arial" w:hAnsi="Arial"/>
                <w:sz w:val="20"/>
                <w:szCs w:val="20"/>
                <w:b w:val="1"/>
                <w:bCs w:val="1"/>
                <w:color w:val="auto"/>
                <w:w w:val="90"/>
              </w:rPr>
              <w:t>(Plan No. 004)</w:t>
            </w:r>
          </w:p>
        </w:tc>
        <w:tc>
          <w:tcPr>
            <w:tcW w:w="0" w:type="dxa"/>
            <w:vAlign w:val="bottom"/>
          </w:tcPr>
          <w:p>
            <w:pPr>
              <w:spacing w:after="0"/>
              <w:rPr>
                <w:sz w:val="1"/>
                <w:szCs w:val="1"/>
                <w:color w:val="auto"/>
              </w:rPr>
            </w:pPr>
          </w:p>
        </w:tc>
      </w:tr>
      <w:tr>
        <w:trPr>
          <w:trHeight w:val="23"/>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Assets</w:t>
            </w: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980" w:type="dxa"/>
            <w:vAlign w:val="bottom"/>
          </w:tcPr>
          <w:p>
            <w:pPr>
              <w:spacing w:after="0"/>
              <w:rPr>
                <w:sz w:val="20"/>
                <w:szCs w:val="20"/>
                <w:color w:val="auto"/>
              </w:rPr>
            </w:pPr>
            <w:r>
              <w:rPr>
                <w:rFonts w:ascii="Arial" w:cs="Arial" w:eastAsia="Arial" w:hAnsi="Arial"/>
                <w:sz w:val="20"/>
                <w:szCs w:val="20"/>
                <w:color w:val="auto"/>
              </w:rPr>
              <w:t>Investments:</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160"/>
              <w:spacing w:after="0"/>
              <w:rPr>
                <w:sz w:val="20"/>
                <w:szCs w:val="20"/>
                <w:color w:val="auto"/>
              </w:rPr>
            </w:pPr>
            <w:r>
              <w:rPr>
                <w:rFonts w:ascii="Arial" w:cs="Arial" w:eastAsia="Arial" w:hAnsi="Arial"/>
                <w:sz w:val="20"/>
                <w:szCs w:val="20"/>
                <w:color w:val="auto"/>
              </w:rPr>
              <w:t>Interest in net assets of The Lilly</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300"/>
              <w:spacing w:after="0"/>
              <w:rPr>
                <w:sz w:val="20"/>
                <w:szCs w:val="20"/>
                <w:color w:val="auto"/>
              </w:rPr>
            </w:pPr>
            <w:r>
              <w:rPr>
                <w:rFonts w:ascii="Arial" w:cs="Arial" w:eastAsia="Arial" w:hAnsi="Arial"/>
                <w:sz w:val="20"/>
                <w:szCs w:val="20"/>
                <w:color w:val="auto"/>
              </w:rPr>
              <w:t>Employee Savings Plan Master Trust</w:t>
            </w:r>
          </w:p>
        </w:tc>
        <w:tc>
          <w:tcPr>
            <w:tcW w:w="260" w:type="dxa"/>
            <w:vAlign w:val="bottom"/>
          </w:tcPr>
          <w:p>
            <w:pPr>
              <w:ind w:left="20"/>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22"/>
              <w:spacing w:after="0"/>
              <w:rPr>
                <w:sz w:val="20"/>
                <w:szCs w:val="20"/>
                <w:color w:val="auto"/>
              </w:rPr>
            </w:pPr>
            <w:r>
              <w:rPr>
                <w:rFonts w:ascii="Arial" w:cs="Arial" w:eastAsia="Arial" w:hAnsi="Arial"/>
                <w:sz w:val="20"/>
                <w:szCs w:val="20"/>
                <w:color w:val="auto"/>
              </w:rPr>
              <w:t>5,461,863,264</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152,801,013</w:t>
            </w:r>
          </w:p>
        </w:tc>
        <w:tc>
          <w:tcPr>
            <w:tcW w:w="0" w:type="dxa"/>
            <w:vAlign w:val="bottom"/>
          </w:tcPr>
          <w:p>
            <w:pPr>
              <w:spacing w:after="0"/>
              <w:rPr>
                <w:sz w:val="1"/>
                <w:szCs w:val="1"/>
                <w:color w:val="auto"/>
              </w:rPr>
            </w:pPr>
          </w:p>
        </w:tc>
      </w:tr>
      <w:tr>
        <w:trPr>
          <w:trHeight w:val="608"/>
        </w:trPr>
        <w:tc>
          <w:tcPr>
            <w:tcW w:w="4980" w:type="dxa"/>
            <w:vAlign w:val="bottom"/>
          </w:tcPr>
          <w:p>
            <w:pPr>
              <w:spacing w:after="0"/>
              <w:rPr>
                <w:sz w:val="20"/>
                <w:szCs w:val="20"/>
                <w:color w:val="auto"/>
              </w:rPr>
            </w:pPr>
            <w:r>
              <w:rPr>
                <w:rFonts w:ascii="Arial" w:cs="Arial" w:eastAsia="Arial" w:hAnsi="Arial"/>
                <w:sz w:val="20"/>
                <w:szCs w:val="20"/>
                <w:color w:val="auto"/>
              </w:rPr>
              <w:t>Receivables:</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80" w:type="dxa"/>
            <w:vAlign w:val="bottom"/>
          </w:tcPr>
          <w:p>
            <w:pPr>
              <w:ind w:left="160"/>
              <w:spacing w:after="0"/>
              <w:rPr>
                <w:sz w:val="20"/>
                <w:szCs w:val="20"/>
                <w:color w:val="auto"/>
              </w:rPr>
            </w:pPr>
            <w:r>
              <w:rPr>
                <w:rFonts w:ascii="Arial" w:cs="Arial" w:eastAsia="Arial" w:hAnsi="Arial"/>
                <w:sz w:val="20"/>
                <w:szCs w:val="20"/>
                <w:color w:val="auto"/>
              </w:rPr>
              <w:t>Employer contribution</w:t>
            </w:r>
          </w:p>
        </w:tc>
        <w:tc>
          <w:tcPr>
            <w:tcW w:w="260" w:type="dxa"/>
            <w:vAlign w:val="bottom"/>
          </w:tcPr>
          <w:p>
            <w:pPr>
              <w:spacing w:after="0"/>
              <w:rPr>
                <w:sz w:val="24"/>
                <w:szCs w:val="24"/>
                <w:color w:val="auto"/>
              </w:rPr>
            </w:pPr>
          </w:p>
        </w:tc>
        <w:tc>
          <w:tcPr>
            <w:tcW w:w="2060" w:type="dxa"/>
            <w:vAlign w:val="bottom"/>
          </w:tcPr>
          <w:p>
            <w:pPr>
              <w:jc w:val="right"/>
              <w:ind w:right="22"/>
              <w:spacing w:after="0"/>
              <w:rPr>
                <w:sz w:val="20"/>
                <w:szCs w:val="20"/>
                <w:color w:val="auto"/>
              </w:rPr>
            </w:pPr>
            <w:r>
              <w:rPr>
                <w:rFonts w:ascii="Arial" w:cs="Arial" w:eastAsia="Arial" w:hAnsi="Arial"/>
                <w:sz w:val="20"/>
                <w:szCs w:val="20"/>
                <w:color w:val="auto"/>
              </w:rPr>
              <w:t>8,298,151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324,662</w:t>
            </w:r>
          </w:p>
        </w:tc>
        <w:tc>
          <w:tcPr>
            <w:tcW w:w="0" w:type="dxa"/>
            <w:vAlign w:val="bottom"/>
          </w:tcPr>
          <w:p>
            <w:pPr>
              <w:spacing w:after="0"/>
              <w:rPr>
                <w:sz w:val="1"/>
                <w:szCs w:val="1"/>
                <w:color w:val="auto"/>
              </w:rPr>
            </w:pPr>
          </w:p>
        </w:tc>
      </w:tr>
      <w:tr>
        <w:trPr>
          <w:trHeight w:val="284"/>
        </w:trPr>
        <w:tc>
          <w:tcPr>
            <w:tcW w:w="4980" w:type="dxa"/>
            <w:vAlign w:val="bottom"/>
          </w:tcPr>
          <w:p>
            <w:pPr>
              <w:ind w:left="160"/>
              <w:spacing w:after="0"/>
              <w:rPr>
                <w:sz w:val="20"/>
                <w:szCs w:val="20"/>
                <w:color w:val="auto"/>
              </w:rPr>
            </w:pPr>
            <w:r>
              <w:rPr>
                <w:rFonts w:ascii="Arial" w:cs="Arial" w:eastAsia="Arial" w:hAnsi="Arial"/>
                <w:sz w:val="20"/>
                <w:szCs w:val="20"/>
                <w:color w:val="auto"/>
              </w:rPr>
              <w:t>Notes receivable from participants</w:t>
            </w:r>
          </w:p>
        </w:tc>
        <w:tc>
          <w:tcPr>
            <w:tcW w:w="260" w:type="dxa"/>
            <w:vAlign w:val="bottom"/>
          </w:tcPr>
          <w:p>
            <w:pPr>
              <w:spacing w:after="0"/>
              <w:rPr>
                <w:sz w:val="24"/>
                <w:szCs w:val="24"/>
                <w:color w:val="auto"/>
              </w:rPr>
            </w:pPr>
          </w:p>
        </w:tc>
        <w:tc>
          <w:tcPr>
            <w:tcW w:w="2060" w:type="dxa"/>
            <w:vAlign w:val="bottom"/>
          </w:tcPr>
          <w:p>
            <w:pPr>
              <w:jc w:val="right"/>
              <w:ind w:right="22"/>
              <w:spacing w:after="0"/>
              <w:rPr>
                <w:sz w:val="20"/>
                <w:szCs w:val="20"/>
                <w:color w:val="auto"/>
              </w:rPr>
            </w:pPr>
            <w:r>
              <w:rPr>
                <w:rFonts w:ascii="Arial" w:cs="Arial" w:eastAsia="Arial" w:hAnsi="Arial"/>
                <w:sz w:val="20"/>
                <w:szCs w:val="20"/>
                <w:color w:val="auto"/>
              </w:rPr>
              <w:t>35,407,612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3,065,480</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tcPr>
          <w:p>
            <w:pPr>
              <w:jc w:val="right"/>
              <w:ind w:right="22"/>
              <w:spacing w:after="0"/>
              <w:rPr>
                <w:sz w:val="20"/>
                <w:szCs w:val="20"/>
                <w:color w:val="auto"/>
              </w:rPr>
            </w:pPr>
            <w:r>
              <w:rPr>
                <w:rFonts w:ascii="Arial" w:cs="Arial" w:eastAsia="Arial" w:hAnsi="Arial"/>
                <w:sz w:val="20"/>
                <w:szCs w:val="20"/>
                <w:color w:val="auto"/>
              </w:rPr>
              <w:t>43,705,763</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3,390,142</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5"/>
        </w:trPr>
        <w:tc>
          <w:tcPr>
            <w:tcW w:w="498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5,505,569,027</w:t>
            </w:r>
          </w:p>
        </w:tc>
        <w:tc>
          <w:tcPr>
            <w:tcW w:w="3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156,191,155</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20"/>
                <w:szCs w:val="20"/>
                <w:i w:val="1"/>
                <w:iCs w:val="1"/>
                <w:color w:val="auto"/>
              </w:rPr>
              <w:t>See accompanying notes.</w:t>
            </w: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4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jc w:val="right"/>
              <w:ind w:right="1722"/>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40"/>
          </w:cols>
          <w:pgMar w:left="520" w:top="528" w:right="1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25"/>
          <w:szCs w:val="25"/>
          <w:color w:val="auto"/>
        </w:rPr>
        <w:t>The Lilly Employee 401(k) Plan and</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5"/>
          <w:szCs w:val="25"/>
          <w:color w:val="auto"/>
        </w:rPr>
        <w:t>Statements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80" w:type="dxa"/>
            <w:vAlign w:val="bottom"/>
            <w:gridSpan w:val="4"/>
          </w:tcPr>
          <w:p>
            <w:pPr>
              <w:jc w:val="right"/>
              <w:ind w:right="621"/>
              <w:spacing w:after="0"/>
              <w:rPr>
                <w:sz w:val="20"/>
                <w:szCs w:val="20"/>
                <w:color w:val="auto"/>
              </w:rPr>
            </w:pPr>
            <w:r>
              <w:rPr>
                <w:rFonts w:ascii="Arial" w:cs="Arial" w:eastAsia="Arial" w:hAnsi="Arial"/>
                <w:sz w:val="20"/>
                <w:szCs w:val="20"/>
                <w:b w:val="1"/>
                <w:bCs w:val="1"/>
                <w:color w:val="auto"/>
              </w:rPr>
              <w:t>Year Ended December 31, 2015</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8"/>
        </w:trPr>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88"/>
              </w:rPr>
              <w:t>The Savings Plan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96"/>
              </w:rPr>
              <w:t>for Lilly</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1"/>
              </w:rPr>
              <w:t>The Lilly Employee</w:t>
            </w:r>
          </w:p>
        </w:tc>
        <w:tc>
          <w:tcPr>
            <w:tcW w:w="180" w:type="dxa"/>
            <w:vAlign w:val="bottom"/>
          </w:tcPr>
          <w:p>
            <w:pPr>
              <w:spacing w:after="0"/>
              <w:rPr>
                <w:sz w:val="19"/>
                <w:szCs w:val="19"/>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89"/>
              </w:rPr>
              <w:t>Affiliate Employees in</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2"/>
              </w:rPr>
              <w:t>401(k) Plan</w:t>
            </w:r>
          </w:p>
        </w:tc>
        <w:tc>
          <w:tcPr>
            <w:tcW w:w="180" w:type="dxa"/>
            <w:vAlign w:val="bottom"/>
          </w:tcPr>
          <w:p>
            <w:pPr>
              <w:spacing w:after="0"/>
              <w:rPr>
                <w:sz w:val="19"/>
                <w:szCs w:val="19"/>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90"/>
              </w:rPr>
              <w:t>Puerto Rico</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0" w:type="dxa"/>
            <w:vAlign w:val="bottom"/>
            <w:gridSpan w:val="2"/>
          </w:tcPr>
          <w:p>
            <w:pPr>
              <w:jc w:val="center"/>
              <w:ind w:right="540"/>
              <w:spacing w:after="0"/>
              <w:rPr>
                <w:sz w:val="20"/>
                <w:szCs w:val="20"/>
                <w:color w:val="auto"/>
              </w:rPr>
            </w:pPr>
            <w:r>
              <w:rPr>
                <w:rFonts w:ascii="Arial" w:cs="Arial" w:eastAsia="Arial" w:hAnsi="Arial"/>
                <w:sz w:val="20"/>
                <w:szCs w:val="20"/>
                <w:b w:val="1"/>
                <w:bCs w:val="1"/>
                <w:color w:val="auto"/>
                <w:w w:val="92"/>
              </w:rPr>
              <w:t>(Plan No. 002)</w:t>
            </w:r>
          </w:p>
        </w:tc>
        <w:tc>
          <w:tcPr>
            <w:tcW w:w="180" w:type="dxa"/>
            <w:vAlign w:val="bottom"/>
          </w:tcPr>
          <w:p>
            <w:pPr>
              <w:spacing w:after="0"/>
              <w:rPr>
                <w:sz w:val="22"/>
                <w:szCs w:val="22"/>
                <w:color w:val="auto"/>
              </w:rPr>
            </w:pPr>
          </w:p>
        </w:tc>
        <w:tc>
          <w:tcPr>
            <w:tcW w:w="2100" w:type="dxa"/>
            <w:vAlign w:val="bottom"/>
          </w:tcPr>
          <w:p>
            <w:pPr>
              <w:jc w:val="center"/>
              <w:ind w:right="61"/>
              <w:spacing w:after="0"/>
              <w:rPr>
                <w:sz w:val="20"/>
                <w:szCs w:val="20"/>
                <w:color w:val="auto"/>
              </w:rPr>
            </w:pPr>
            <w:r>
              <w:rPr>
                <w:rFonts w:ascii="Arial" w:cs="Arial" w:eastAsia="Arial" w:hAnsi="Arial"/>
                <w:sz w:val="20"/>
                <w:szCs w:val="20"/>
                <w:b w:val="1"/>
                <w:bCs w:val="1"/>
                <w:color w:val="auto"/>
                <w:w w:val="92"/>
              </w:rPr>
              <w:t>(Plan No. 004)</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Arial" w:cs="Arial" w:eastAsia="Arial" w:hAnsi="Arial"/>
                <w:sz w:val="20"/>
                <w:szCs w:val="20"/>
                <w:color w:val="auto"/>
              </w:rPr>
              <w:t>Additions: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6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Contributions: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Participants</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214,121,998</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6,795,630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Employer</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105,779,327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4,097,415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Interest income on notes receivable from participants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1,418,110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132,243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Interest in The Lilly Employee Savings Plan</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Master Trust investment income, net of</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320"/>
              <w:spacing w:after="0"/>
              <w:rPr>
                <w:sz w:val="20"/>
                <w:szCs w:val="20"/>
                <w:color w:val="auto"/>
              </w:rPr>
            </w:pPr>
            <w:r>
              <w:rPr>
                <w:rFonts w:ascii="Arial" w:cs="Arial" w:eastAsia="Arial" w:hAnsi="Arial"/>
                <w:sz w:val="20"/>
                <w:szCs w:val="20"/>
                <w:color w:val="auto"/>
              </w:rPr>
              <w:t>administrative fees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157,603,438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8,802,178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478,922,873</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19,827,466</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Deductions: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Participant withdrawals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321,309,150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6,778,912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40"/>
              <w:spacing w:after="0"/>
              <w:rPr>
                <w:sz w:val="20"/>
                <w:szCs w:val="20"/>
                <w:color w:val="auto"/>
              </w:rPr>
            </w:pPr>
            <w:r>
              <w:rPr>
                <w:rFonts w:ascii="Arial" w:cs="Arial" w:eastAsia="Arial" w:hAnsi="Arial"/>
                <w:sz w:val="20"/>
                <w:szCs w:val="20"/>
                <w:color w:val="auto"/>
              </w:rPr>
              <w:t>Administrative expenses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2,975,165</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213,966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324,284,315</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6,992,878</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Net increase before other changes</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154,638,558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12,834,588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Transfers in (Note 9)</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5,966,482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640" w:type="dxa"/>
            <w:vAlign w:val="bottom"/>
          </w:tcPr>
          <w:p>
            <w:pPr>
              <w:spacing w:after="0"/>
              <w:rPr>
                <w:sz w:val="20"/>
                <w:szCs w:val="20"/>
                <w:color w:val="auto"/>
              </w:rPr>
            </w:pPr>
            <w:r>
              <w:rPr>
                <w:rFonts w:ascii="Arial" w:cs="Arial" w:eastAsia="Arial" w:hAnsi="Arial"/>
                <w:sz w:val="20"/>
                <w:szCs w:val="20"/>
                <w:color w:val="auto"/>
              </w:rPr>
              <w:t>Net increase</w:t>
            </w:r>
          </w:p>
        </w:tc>
        <w:tc>
          <w:tcPr>
            <w:tcW w:w="220" w:type="dxa"/>
            <w:vAlign w:val="bottom"/>
          </w:tcPr>
          <w:p>
            <w:pPr>
              <w:spacing w:after="0"/>
              <w:rPr>
                <w:sz w:val="22"/>
                <w:szCs w:val="22"/>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160,605,040</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12,834,588</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640" w:type="dxa"/>
            <w:vAlign w:val="bottom"/>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40" w:type="dxa"/>
            <w:vAlign w:val="bottom"/>
          </w:tcPr>
          <w:p>
            <w:pPr>
              <w:ind w:left="160"/>
              <w:spacing w:after="0"/>
              <w:rPr>
                <w:sz w:val="20"/>
                <w:szCs w:val="20"/>
                <w:color w:val="auto"/>
              </w:rPr>
            </w:pPr>
            <w:r>
              <w:rPr>
                <w:rFonts w:ascii="Arial" w:cs="Arial" w:eastAsia="Arial" w:hAnsi="Arial"/>
                <w:sz w:val="20"/>
                <w:szCs w:val="20"/>
                <w:color w:val="auto"/>
              </w:rPr>
              <w:t>at beginning of year</w:t>
            </w:r>
          </w:p>
        </w:tc>
        <w:tc>
          <w:tcPr>
            <w:tcW w:w="220" w:type="dxa"/>
            <w:vAlign w:val="bottom"/>
          </w:tcPr>
          <w:p>
            <w:pPr>
              <w:spacing w:after="0"/>
              <w:rPr>
                <w:sz w:val="24"/>
                <w:szCs w:val="24"/>
                <w:color w:val="auto"/>
              </w:rPr>
            </w:pPr>
          </w:p>
        </w:tc>
        <w:tc>
          <w:tcPr>
            <w:tcW w:w="2060" w:type="dxa"/>
            <w:vAlign w:val="bottom"/>
          </w:tcPr>
          <w:p>
            <w:pPr>
              <w:jc w:val="right"/>
              <w:ind w:right="1"/>
              <w:spacing w:after="0"/>
              <w:rPr>
                <w:sz w:val="20"/>
                <w:szCs w:val="20"/>
                <w:color w:val="auto"/>
              </w:rPr>
            </w:pPr>
            <w:r>
              <w:rPr>
                <w:rFonts w:ascii="Arial" w:cs="Arial" w:eastAsia="Arial" w:hAnsi="Arial"/>
                <w:sz w:val="20"/>
                <w:szCs w:val="20"/>
                <w:color w:val="auto"/>
              </w:rPr>
              <w:t>5,505,569,027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
              <w:spacing w:after="0"/>
              <w:rPr>
                <w:sz w:val="20"/>
                <w:szCs w:val="20"/>
                <w:color w:val="auto"/>
              </w:rPr>
            </w:pPr>
            <w:r>
              <w:rPr>
                <w:rFonts w:ascii="Arial" w:cs="Arial" w:eastAsia="Arial" w:hAnsi="Arial"/>
                <w:sz w:val="20"/>
                <w:szCs w:val="20"/>
                <w:color w:val="auto"/>
              </w:rPr>
              <w:t>156,191,155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spacing w:after="0"/>
              <w:rPr>
                <w:sz w:val="20"/>
                <w:szCs w:val="20"/>
                <w:color w:val="auto"/>
              </w:rPr>
            </w:pPr>
            <w:r>
              <w:rPr>
                <w:rFonts w:ascii="Arial" w:cs="Arial" w:eastAsia="Arial" w:hAnsi="Arial"/>
                <w:sz w:val="20"/>
                <w:szCs w:val="20"/>
                <w:color w:val="auto"/>
              </w:rPr>
              <w:t>Net assets available for benefits</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8"/>
        </w:trPr>
        <w:tc>
          <w:tcPr>
            <w:tcW w:w="5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640" w:type="dxa"/>
            <w:vAlign w:val="bottom"/>
          </w:tcPr>
          <w:p>
            <w:pPr>
              <w:ind w:left="200"/>
              <w:spacing w:after="0"/>
              <w:rPr>
                <w:sz w:val="20"/>
                <w:szCs w:val="20"/>
                <w:color w:val="auto"/>
              </w:rPr>
            </w:pPr>
            <w:r>
              <w:rPr>
                <w:rFonts w:ascii="Arial" w:cs="Arial" w:eastAsia="Arial" w:hAnsi="Arial"/>
                <w:sz w:val="20"/>
                <w:szCs w:val="20"/>
                <w:color w:val="auto"/>
              </w:rPr>
              <w:t>at end of year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5,666,174,067</w:t>
            </w: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169,025,743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w:t>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00" w:top="852"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Description of the Plans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accompanying financial statements comprise the employee savings plans of Eli Lilly and Company (the Company) and certain of the Company’s U.S. and Puerto Rico affiliates that participate as of the end of the stated period in The Lilly Savings Plan Master Trust (the Master Trust).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General</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Lilly Employee 401(k) Plan (Plan No. 002) (the 401(k) Plan) was established for the benefit of eligible employees of Eli Lilly and Company and participating subsidiaries and affiliated companies. The Savings Plan for Lilly Affiliate Employees in Puerto Rico (Plan No. 004) (the Puerto Rico Plan) was established for the benefit of resident eligible employees of, and certain employees within, the Commonwealth of Puerto Rico.</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following description of the 401(k) Plan and the Puerto Rico Plan (collectively, the Plans) provides only general information. Participants should refer to the applicable plan documents and the Plans’ summary plan descriptions for more complete information.</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Hewitt Associates LLC is the recordkeeper of the Plans. The Company is the plan sponsor for the 401(k) Plan, and Lilly del Caribe, Inc. is the plan sponsor for the Puerto Rico Plan. The Employee Benefits Committee of the Company is the plan administrator for the Plans.</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Full-time employees become eligible for participation in the Plans on the first day of employment. Seasonal, part-time, or other special-status employees must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the employee contributions up to the 6% employee contribution level, subject to Internal Revenue Service (IRS) limits.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Contributions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designate that their contributions be invested in any of the investment options offered by the Plans. Participants may elect to direct or transfer their contributions to Eli Lilly and Company common stock (the Company Stock Fund). Participants are allowed to take payment of the Company Stock Fund dividends in lieu of having them reinvested in their participant accounts. Further, participants can buy and sell investments of the Company Stock Fund within the Plans and transfer money, vested or nonvested, from any of the investment options into and out of any of the other investment options, including the Company Stock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9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Vesting</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All participants are vested immediately in their own contributions. All participants with two credited years of service are vested and entitled to receive 100% of the Company’s matching contributions. Forfeitures of approximately $557,000 for the 401(k) Plan were applied to decrease the Company’s contributions during 2015 for the 401(k) Plan. Forfeitures of approximately $50,000 were applied to decrease the Company’s contributions during 2015 for the Puerto Rico Plan.</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Participant Loans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 Related fees are recorded as administrative expenses and are expensed when they are incurred.</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Termination</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Plans are subject to and are intended to comply with the provisions of the Employee Retirement Income Security Act of 1974 (ERISA) and applicable IRS or Puerto Rico Treasury requirements. The Company has the right to terminate the Plans subject to the provisions of ERISA and the Plans as established in the applicable plan documents. In the event the Plans are terminated, each participant’s account shall be nonforfeitable with respect to both the employee’s and the Company’s contributions, and the net assets are to be set aside for payment of withdrawals by participants.</w:t>
      </w:r>
    </w:p>
    <w:p>
      <w:pPr>
        <w:spacing w:after="0" w:line="197" w:lineRule="exact"/>
        <w:rPr>
          <w:sz w:val="20"/>
          <w:szCs w:val="20"/>
          <w:color w:val="auto"/>
        </w:rPr>
      </w:pPr>
    </w:p>
    <w:p>
      <w:pPr>
        <w:jc w:val="both"/>
        <w:ind w:right="8300" w:firstLine="8"/>
        <w:spacing w:after="0" w:line="552" w:lineRule="auto"/>
        <w:tabs>
          <w:tab w:leader="none" w:pos="216"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Significant Accounting Policies New Accounting Pronouncements</w:t>
      </w:r>
    </w:p>
    <w:p>
      <w:pPr>
        <w:jc w:val="both"/>
        <w:spacing w:after="0" w:line="258" w:lineRule="auto"/>
        <w:rPr>
          <w:sz w:val="20"/>
          <w:szCs w:val="20"/>
          <w:color w:val="auto"/>
        </w:rPr>
      </w:pPr>
      <w:r>
        <w:rPr>
          <w:rFonts w:ascii="Arial" w:cs="Arial" w:eastAsia="Arial" w:hAnsi="Arial"/>
          <w:sz w:val="21"/>
          <w:szCs w:val="21"/>
          <w:color w:val="auto"/>
        </w:rPr>
        <w:t xml:space="preserve">During 2015, the Plans adopted Accounting Standards Update (ASU) Nos. 2015-07, </w:t>
      </w:r>
      <w:r>
        <w:rPr>
          <w:rFonts w:ascii="Arial" w:cs="Arial" w:eastAsia="Arial" w:hAnsi="Arial"/>
          <w:sz w:val="21"/>
          <w:szCs w:val="21"/>
          <w:i w:val="1"/>
          <w:iCs w:val="1"/>
          <w:color w:val="auto"/>
        </w:rPr>
        <w:t>Disclosures for Investments in Certain Entities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that Calculate Net Asset Value per Share (or Its Equivalent), </w:t>
      </w:r>
      <w:r>
        <w:rPr>
          <w:rFonts w:ascii="Arial" w:cs="Arial" w:eastAsia="Arial" w:hAnsi="Arial"/>
          <w:sz w:val="21"/>
          <w:szCs w:val="21"/>
          <w:color w:val="auto"/>
        </w:rPr>
        <w:t>and 2015-12,</w:t>
      </w:r>
      <w:r>
        <w:rPr>
          <w:rFonts w:ascii="Arial" w:cs="Arial" w:eastAsia="Arial" w:hAnsi="Arial"/>
          <w:sz w:val="21"/>
          <w:szCs w:val="21"/>
          <w:i w:val="1"/>
          <w:iCs w:val="1"/>
          <w:color w:val="auto"/>
        </w:rPr>
        <w:t xml:space="preserve"> Plan Accounting: Defined Benefit Pension Plans (Topic 960), Defined Contribution Pension Plans (Topic 962), and Health and Welfare Benefit Plans (Topic 965) - I. Fully Benefit-Responsive Investment Contracts, II. Plan Investment Disclosures, and III. Measurement Date Practical Expedient</w:t>
      </w:r>
      <w:r>
        <w:rPr>
          <w:rFonts w:ascii="Arial" w:cs="Arial" w:eastAsia="Arial" w:hAnsi="Arial"/>
          <w:sz w:val="21"/>
          <w:szCs w:val="21"/>
          <w:color w:val="auto"/>
        </w:rPr>
        <w:t xml:space="preserve">. ASU No. 2015-07 amended ASC 820, </w:t>
      </w:r>
      <w:r>
        <w:rPr>
          <w:rFonts w:ascii="Arial" w:cs="Arial" w:eastAsia="Arial" w:hAnsi="Arial"/>
          <w:sz w:val="21"/>
          <w:szCs w:val="21"/>
          <w:i w:val="1"/>
          <w:iCs w:val="1"/>
          <w:color w:val="auto"/>
        </w:rPr>
        <w:t>Fair Value Measurement</w:t>
      </w:r>
      <w:r>
        <w:rPr>
          <w:rFonts w:ascii="Arial" w:cs="Arial" w:eastAsia="Arial" w:hAnsi="Arial"/>
          <w:sz w:val="21"/>
          <w:szCs w:val="21"/>
          <w:color w:val="auto"/>
        </w:rPr>
        <w:t>, and removed the requirement to categorize within the fair value hierarchy all investments for which fair value is measured using the net asset value per share as a practical expedient. Parts I and II of ASU No. 2015-12 were applicable to the Plans. Part I requires that fully benefit-responsive investment contracts be recorded at contract value without presentation of fair value or the difference between fair value and contract value and reduces the related disclosures. Part II of ASU No. 2015-12 modified certain investment disclosures under ASC 820 and 962. Part II eliminates the requirements to disclose individual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investments that represent 5 percent or more of net assets available for benefits and the net appreciation or depreciation in fair value of investments by general type. It also simplifies the level of disaggregation of investments that are measured using fair value. The Plans will continue to disaggregate investments that are measured using fair value by general type; however, the Plans are no longer required to also disaggregate investments by nature, characteristic, and risks. Further, the disclosure of information about fair value measurements shall be provided by general type of plan asset. These standards were adopted retrospectively and had no impact on the Plans’ net assets available for benefits or changes in net assets available for benefits.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Investment Valuation and Income Recognition</w:t>
      </w:r>
    </w:p>
    <w:p>
      <w:pPr>
        <w:spacing w:after="0" w:line="253"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Investments held by the Plans are stated at fair value, except for fully benefit-responsive guaranteed investment contracts,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Master Trust invests in fully benefit-responsive synthetic guaranteed investment contracts (synthetic GICs), which are stated at contract value. Contract value represents contributions made under each contract, plus earnings, less participant withdrawals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2015 or 2014. If a participant ceases to make loan repayments and the plan administrator deems the participant loan to be a distribution, the participant loan balance is reduced and a benefit payment is recorded.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 and Basis of Accounting</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preparation of financial statements in conformity with U.S. generally accepted accounting principles (U.S. GAAP) requires management to make estimates that affect the amounts reported in the financial statements and accompanying notes. Actual results could differ from these estimates. The accompanying financial statements have been prepared on the accrual basis of accounting.</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Reclassification</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Certain prior year amounts have been reclassified to conform to the current year presentation.</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Master Trust</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Plans provide that both participant contributions and company-matching contributions be held in a trust by an independent trustee for the benefit of participating employees. During 2015 and 2014, Northern Trust Company maintained the accounting of the aggregate value of assets associated with each plan participating</w:t>
      </w: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9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in the Master Trust. The respective ownership interest of each plan is determined using a unit-valuation method.</w:t>
      </w:r>
    </w:p>
    <w:p>
      <w:pPr>
        <w:spacing w:after="0" w:line="24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Purchases and sales of securities are recorded on a trade-date basis. Interest income is recorded as earned. Dividends are recorded on the ex-dividend date. Net appreciation includes gains and losses on investments bought and sold as well as held during the year.</w:t>
      </w:r>
    </w:p>
    <w:p>
      <w:pPr>
        <w:spacing w:after="0" w:line="13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Investment income, including net appreciation/depreciation in fair value of investments and expenses, is allocated to the participating plans based upon their pro rata share of the net assets of the Master Trust.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Master Trust holds synthetic GICs with third-party financial service institutions. The synthetic GICs are wrap contracts paired with an underlying investment portfolio of common/collective trust funds, owned by the Plans, that invest in average-quality, intermediate-term, fixed-income securities. A synthetic GIC credits the holder’s account with a stated interest rate for a specified period of time. Investment gains and losses are amortized over the expected duration through the calculation of the interest rate applicable to the Plans on a prospective basis. Synthetic GICs provide for a variable crediting rate, which typically resets at least quarterly, and the issuer of the wrap contract provides assurance that future adjustments to the crediting rate cannot result in a crediting rate less than zero.</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most impacted by the change in the annual effective yield-to-maturity of the underlying securities but is also affected by the differential between the contract value and the market value of the covered investments.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Generally, payments will be made pro rata, based on the percentage of investments covered by each issuer. The terms of an investment contract generally provide for settlement of payments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a synthetic GIC terminates due to a decline in the ratings of the issuer, the issuer may be required to pay to the Plans the cost of acquiring a replacement contract (i.e., replacement cost) within the meaning of the contract.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would allow for a gradual asset risk wind-down over the portfolio’s duration and would maintain contract value on the Plans.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Because the synthetic GICs are fully benefit-responsive, contract value is the relevant measurement attribute for that portion of the net assets available for benefits attributable to the synthetic GICs. Contract value represents contributions made under the contract, plus earnings, less participant withdrawals and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9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administrative expenses. Participants may ordinarily direct the withdrawal or transfer of all or a portion of their investments at contract value.</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Certain events, including (1) certain amendments to the plan documents (including complete or partial plan termination or merger with another plan), (2) changes to the Plans’ prohibition on competing investment options or deletion of equity wash provisions, (3) bankruptcy of the plan sponsors or other plan sponsor events that cause a significant withdrawal from the Plans, and (4) the failure of the trust to qualify for exemption from federal income taxes or any required prohibited transaction exemption under ERISA, limit the ability of the Plans to transact at contract value with third-party financial institutions. The plan administrator believes that the occurrence of any such value event, which would limit the Plans’ ability to transact at contract value with participants, is not probable of occurring.</w:t>
      </w: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2015 and 2014, each Plan’s respective percentage interest in the Master Trust was as follows:</w:t>
      </w:r>
    </w:p>
    <w:p>
      <w:pPr>
        <w:spacing w:after="0" w:line="394" w:lineRule="exact"/>
        <w:rPr>
          <w:sz w:val="20"/>
          <w:szCs w:val="20"/>
          <w:color w:val="auto"/>
        </w:rPr>
      </w:pPr>
    </w:p>
    <w:tbl>
      <w:tblPr>
        <w:tblLayout w:type="fixed"/>
        <w:tblInd w:w="480" w:type="dxa"/>
        <w:tblCellMar>
          <w:top w:w="0" w:type="dxa"/>
          <w:left w:w="0" w:type="dxa"/>
          <w:bottom w:w="0" w:type="dxa"/>
          <w:right w:w="0" w:type="dxa"/>
        </w:tblCellMar>
      </w:tblPr>
      <w:tr>
        <w:trPr>
          <w:trHeight w:val="256"/>
        </w:trPr>
        <w:tc>
          <w:tcPr>
            <w:tcW w:w="5880" w:type="dxa"/>
            <w:vAlign w:val="bottom"/>
          </w:tcPr>
          <w:p>
            <w:pPr>
              <w:spacing w:after="0"/>
              <w:rPr>
                <w:sz w:val="22"/>
                <w:szCs w:val="22"/>
                <w:color w:val="auto"/>
              </w:rPr>
            </w:pPr>
          </w:p>
        </w:tc>
        <w:tc>
          <w:tcPr>
            <w:tcW w:w="2420" w:type="dxa"/>
            <w:vAlign w:val="bottom"/>
            <w:gridSpan w:val="2"/>
          </w:tcPr>
          <w:p>
            <w:pPr>
              <w:ind w:left="360"/>
              <w:spacing w:after="0"/>
              <w:rPr>
                <w:sz w:val="20"/>
                <w:szCs w:val="20"/>
                <w:color w:val="auto"/>
              </w:rPr>
            </w:pPr>
            <w:r>
              <w:rPr>
                <w:rFonts w:ascii="Arial" w:cs="Arial" w:eastAsia="Arial" w:hAnsi="Arial"/>
                <w:sz w:val="20"/>
                <w:szCs w:val="20"/>
                <w:b w:val="1"/>
                <w:bCs w:val="1"/>
                <w:color w:val="auto"/>
              </w:rPr>
              <w:t>December 31, 2015</w:t>
            </w:r>
          </w:p>
        </w:tc>
        <w:tc>
          <w:tcPr>
            <w:tcW w:w="2200" w:type="dxa"/>
            <w:vAlign w:val="bottom"/>
          </w:tcPr>
          <w:p>
            <w:pPr>
              <w:ind w:left="300"/>
              <w:spacing w:after="0"/>
              <w:rPr>
                <w:sz w:val="20"/>
                <w:szCs w:val="20"/>
                <w:color w:val="auto"/>
              </w:rPr>
            </w:pPr>
            <w:r>
              <w:rPr>
                <w:rFonts w:ascii="Arial" w:cs="Arial" w:eastAsia="Arial" w:hAnsi="Arial"/>
                <w:sz w:val="20"/>
                <w:szCs w:val="20"/>
                <w:b w:val="1"/>
                <w:bCs w:val="1"/>
                <w:color w:val="auto"/>
              </w:rPr>
              <w:t>December 31, 2014</w:t>
            </w:r>
          </w:p>
        </w:tc>
      </w:tr>
      <w:tr>
        <w:trPr>
          <w:trHeight w:val="23"/>
        </w:trPr>
        <w:tc>
          <w:tcPr>
            <w:tcW w:w="58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524"/>
        </w:trPr>
        <w:tc>
          <w:tcPr>
            <w:tcW w:w="5880" w:type="dxa"/>
            <w:vAlign w:val="bottom"/>
          </w:tcPr>
          <w:p>
            <w:pPr>
              <w:spacing w:after="0"/>
              <w:rPr>
                <w:sz w:val="20"/>
                <w:szCs w:val="20"/>
                <w:color w:val="auto"/>
              </w:rPr>
            </w:pPr>
            <w:r>
              <w:rPr>
                <w:rFonts w:ascii="Arial" w:cs="Arial" w:eastAsia="Arial" w:hAnsi="Arial"/>
                <w:sz w:val="20"/>
                <w:szCs w:val="20"/>
                <w:color w:val="auto"/>
              </w:rPr>
              <w:t>401(k) Plan</w:t>
            </w:r>
          </w:p>
        </w:tc>
        <w:tc>
          <w:tcPr>
            <w:tcW w:w="2320" w:type="dxa"/>
            <w:vAlign w:val="bottom"/>
          </w:tcPr>
          <w:p>
            <w:pPr>
              <w:jc w:val="right"/>
              <w:ind w:right="761"/>
              <w:spacing w:after="0"/>
              <w:rPr>
                <w:sz w:val="20"/>
                <w:szCs w:val="20"/>
                <w:color w:val="auto"/>
              </w:rPr>
            </w:pPr>
            <w:r>
              <w:rPr>
                <w:rFonts w:ascii="Arial" w:cs="Arial" w:eastAsia="Arial" w:hAnsi="Arial"/>
                <w:sz w:val="20"/>
                <w:szCs w:val="20"/>
                <w:color w:val="auto"/>
              </w:rPr>
              <w:t>97.14%</w:t>
            </w:r>
          </w:p>
        </w:tc>
        <w:tc>
          <w:tcPr>
            <w:tcW w:w="100" w:type="dxa"/>
            <w:vAlign w:val="bottom"/>
          </w:tcPr>
          <w:p>
            <w:pPr>
              <w:spacing w:after="0"/>
              <w:rPr>
                <w:sz w:val="24"/>
                <w:szCs w:val="24"/>
                <w:color w:val="auto"/>
              </w:rPr>
            </w:pPr>
          </w:p>
        </w:tc>
        <w:tc>
          <w:tcPr>
            <w:tcW w:w="2200" w:type="dxa"/>
            <w:vAlign w:val="bottom"/>
          </w:tcPr>
          <w:p>
            <w:pPr>
              <w:jc w:val="right"/>
              <w:ind w:right="701"/>
              <w:spacing w:after="0"/>
              <w:rPr>
                <w:sz w:val="20"/>
                <w:szCs w:val="20"/>
                <w:color w:val="auto"/>
              </w:rPr>
            </w:pPr>
            <w:r>
              <w:rPr>
                <w:rFonts w:ascii="Arial" w:cs="Arial" w:eastAsia="Arial" w:hAnsi="Arial"/>
                <w:sz w:val="20"/>
                <w:szCs w:val="20"/>
                <w:color w:val="auto"/>
              </w:rPr>
              <w:t>97.28%</w:t>
            </w:r>
          </w:p>
        </w:tc>
      </w:tr>
      <w:tr>
        <w:trPr>
          <w:trHeight w:val="284"/>
        </w:trPr>
        <w:tc>
          <w:tcPr>
            <w:tcW w:w="5880" w:type="dxa"/>
            <w:vAlign w:val="bottom"/>
          </w:tcPr>
          <w:p>
            <w:pPr>
              <w:spacing w:after="0"/>
              <w:rPr>
                <w:sz w:val="20"/>
                <w:szCs w:val="20"/>
                <w:color w:val="auto"/>
              </w:rPr>
            </w:pPr>
            <w:r>
              <w:rPr>
                <w:rFonts w:ascii="Arial" w:cs="Arial" w:eastAsia="Arial" w:hAnsi="Arial"/>
                <w:sz w:val="20"/>
                <w:szCs w:val="20"/>
                <w:color w:val="auto"/>
              </w:rPr>
              <w:t>Puerto Rico Plan</w:t>
            </w:r>
          </w:p>
        </w:tc>
        <w:tc>
          <w:tcPr>
            <w:tcW w:w="2320" w:type="dxa"/>
            <w:vAlign w:val="bottom"/>
          </w:tcPr>
          <w:p>
            <w:pPr>
              <w:jc w:val="right"/>
              <w:ind w:right="821"/>
              <w:spacing w:after="0"/>
              <w:rPr>
                <w:sz w:val="20"/>
                <w:szCs w:val="20"/>
                <w:color w:val="auto"/>
              </w:rPr>
            </w:pPr>
            <w:r>
              <w:rPr>
                <w:rFonts w:ascii="Arial" w:cs="Arial" w:eastAsia="Arial" w:hAnsi="Arial"/>
                <w:sz w:val="20"/>
                <w:szCs w:val="20"/>
                <w:color w:val="auto"/>
              </w:rPr>
              <w:t>2.86%</w:t>
            </w:r>
          </w:p>
        </w:tc>
        <w:tc>
          <w:tcPr>
            <w:tcW w:w="100" w:type="dxa"/>
            <w:vAlign w:val="bottom"/>
          </w:tcPr>
          <w:p>
            <w:pPr>
              <w:spacing w:after="0"/>
              <w:rPr>
                <w:sz w:val="24"/>
                <w:szCs w:val="24"/>
                <w:color w:val="auto"/>
              </w:rPr>
            </w:pPr>
          </w:p>
        </w:tc>
        <w:tc>
          <w:tcPr>
            <w:tcW w:w="2200" w:type="dxa"/>
            <w:vAlign w:val="bottom"/>
          </w:tcPr>
          <w:p>
            <w:pPr>
              <w:jc w:val="right"/>
              <w:ind w:right="741"/>
              <w:spacing w:after="0"/>
              <w:rPr>
                <w:sz w:val="20"/>
                <w:szCs w:val="20"/>
                <w:color w:val="auto"/>
              </w:rPr>
            </w:pPr>
            <w:r>
              <w:rPr>
                <w:rFonts w:ascii="Arial" w:cs="Arial" w:eastAsia="Arial" w:hAnsi="Arial"/>
                <w:sz w:val="20"/>
                <w:szCs w:val="20"/>
                <w:color w:val="auto"/>
              </w:rPr>
              <w:t>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9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Information relating to the Master Trust’s net assets as of December 31, 2015 and 2014, and investment income for the year ended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2015, are summarized below:</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6700" w:type="dxa"/>
            <w:vAlign w:val="bottom"/>
          </w:tcPr>
          <w:p>
            <w:pPr>
              <w:spacing w:after="0"/>
              <w:rPr>
                <w:sz w:val="22"/>
                <w:szCs w:val="22"/>
                <w:color w:val="auto"/>
              </w:rPr>
            </w:pPr>
          </w:p>
        </w:tc>
        <w:tc>
          <w:tcPr>
            <w:tcW w:w="2500" w:type="dxa"/>
            <w:vAlign w:val="bottom"/>
            <w:gridSpan w:val="3"/>
          </w:tcPr>
          <w:p>
            <w:pPr>
              <w:ind w:left="20"/>
              <w:spacing w:after="0"/>
              <w:rPr>
                <w:sz w:val="20"/>
                <w:szCs w:val="20"/>
                <w:color w:val="auto"/>
              </w:rPr>
            </w:pPr>
            <w:r>
              <w:rPr>
                <w:rFonts w:ascii="Arial" w:cs="Arial" w:eastAsia="Arial" w:hAnsi="Arial"/>
                <w:sz w:val="20"/>
                <w:szCs w:val="20"/>
                <w:b w:val="1"/>
                <w:bCs w:val="1"/>
                <w:color w:val="auto"/>
              </w:rPr>
              <w:t>December 31, 2015</w:t>
            </w:r>
          </w:p>
        </w:tc>
        <w:tc>
          <w:tcPr>
            <w:tcW w:w="2180" w:type="dxa"/>
            <w:vAlign w:val="bottom"/>
            <w:gridSpan w:val="2"/>
          </w:tcPr>
          <w:p>
            <w:pPr>
              <w:ind w:left="40"/>
              <w:spacing w:after="0"/>
              <w:rPr>
                <w:sz w:val="20"/>
                <w:szCs w:val="20"/>
                <w:color w:val="auto"/>
              </w:rPr>
            </w:pPr>
            <w:r>
              <w:rPr>
                <w:rFonts w:ascii="Arial" w:cs="Arial" w:eastAsia="Arial" w:hAnsi="Arial"/>
                <w:sz w:val="20"/>
                <w:szCs w:val="20"/>
                <w:b w:val="1"/>
                <w:bCs w:val="1"/>
                <w:color w:val="auto"/>
              </w:rPr>
              <w:t>December 31, 2014</w:t>
            </w:r>
          </w:p>
        </w:tc>
        <w:tc>
          <w:tcPr>
            <w:tcW w:w="0" w:type="dxa"/>
            <w:vAlign w:val="bottom"/>
          </w:tcPr>
          <w:p>
            <w:pPr>
              <w:spacing w:after="0"/>
              <w:rPr>
                <w:sz w:val="1"/>
                <w:szCs w:val="1"/>
                <w:color w:val="auto"/>
              </w:rPr>
            </w:pPr>
          </w:p>
        </w:tc>
      </w:tr>
      <w:tr>
        <w:trPr>
          <w:trHeight w:val="23"/>
        </w:trPr>
        <w:tc>
          <w:tcPr>
            <w:tcW w:w="6700" w:type="dxa"/>
            <w:vAlign w:val="bottom"/>
            <w:vMerge w:val="restart"/>
          </w:tcPr>
          <w:p>
            <w:pPr>
              <w:spacing w:after="0"/>
              <w:rPr>
                <w:sz w:val="20"/>
                <w:szCs w:val="20"/>
                <w:color w:val="auto"/>
              </w:rPr>
            </w:pPr>
            <w:r>
              <w:rPr>
                <w:rFonts w:ascii="Arial" w:cs="Arial" w:eastAsia="Arial" w:hAnsi="Arial"/>
                <w:sz w:val="20"/>
                <w:szCs w:val="20"/>
                <w:color w:val="auto"/>
              </w:rPr>
              <w:t>Net assets:</w:t>
            </w: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7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700" w:type="dxa"/>
            <w:vAlign w:val="bottom"/>
          </w:tcPr>
          <w:p>
            <w:pPr>
              <w:ind w:left="100"/>
              <w:spacing w:after="0"/>
              <w:rPr>
                <w:sz w:val="20"/>
                <w:szCs w:val="20"/>
                <w:color w:val="auto"/>
              </w:rPr>
            </w:pPr>
            <w:r>
              <w:rPr>
                <w:rFonts w:ascii="Arial" w:cs="Arial" w:eastAsia="Arial" w:hAnsi="Arial"/>
                <w:sz w:val="20"/>
                <w:szCs w:val="20"/>
                <w:color w:val="auto"/>
              </w:rPr>
              <w:t>Investments at fair value:</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Registered investment companies</w:t>
            </w:r>
          </w:p>
        </w:tc>
        <w:tc>
          <w:tcPr>
            <w:tcW w:w="520" w:type="dxa"/>
            <w:vAlign w:val="bottom"/>
          </w:tcPr>
          <w:p>
            <w:pPr>
              <w:ind w:left="2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87,345,229</w:t>
            </w:r>
          </w:p>
        </w:tc>
        <w:tc>
          <w:tcPr>
            <w:tcW w:w="34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73,527,909</w:t>
            </w: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Self-directed brokerage accounts</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205,587,168</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201,576,416</w:t>
            </w: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Eli Lilly and Company common stock</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809,246,522</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733,657,735</w:t>
            </w:r>
          </w:p>
        </w:tc>
        <w:tc>
          <w:tcPr>
            <w:tcW w:w="0" w:type="dxa"/>
            <w:vAlign w:val="bottom"/>
          </w:tcPr>
          <w:p>
            <w:pPr>
              <w:spacing w:after="0"/>
              <w:rPr>
                <w:sz w:val="1"/>
                <w:szCs w:val="1"/>
                <w:color w:val="auto"/>
              </w:rPr>
            </w:pPr>
          </w:p>
        </w:tc>
      </w:tr>
      <w:tr>
        <w:trPr>
          <w:trHeight w:val="284"/>
        </w:trPr>
        <w:tc>
          <w:tcPr>
            <w:tcW w:w="6700" w:type="dxa"/>
            <w:vAlign w:val="bottom"/>
          </w:tcPr>
          <w:p>
            <w:pPr>
              <w:ind w:left="240"/>
              <w:spacing w:after="0"/>
              <w:rPr>
                <w:sz w:val="20"/>
                <w:szCs w:val="20"/>
                <w:color w:val="auto"/>
              </w:rPr>
            </w:pPr>
            <w:r>
              <w:rPr>
                <w:rFonts w:ascii="Arial" w:cs="Arial" w:eastAsia="Arial" w:hAnsi="Arial"/>
                <w:sz w:val="20"/>
                <w:szCs w:val="20"/>
                <w:color w:val="auto"/>
              </w:rPr>
              <w:t>Interest in common/collective trusts</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3,705,060,697</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3,646,038,279</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700" w:type="dxa"/>
            <w:vAlign w:val="bottom"/>
          </w:tcPr>
          <w:p>
            <w:pPr>
              <w:ind w:left="380"/>
              <w:spacing w:after="0"/>
              <w:rPr>
                <w:sz w:val="20"/>
                <w:szCs w:val="20"/>
                <w:color w:val="auto"/>
              </w:rPr>
            </w:pPr>
            <w:r>
              <w:rPr>
                <w:rFonts w:ascii="Arial" w:cs="Arial" w:eastAsia="Arial" w:hAnsi="Arial"/>
                <w:sz w:val="20"/>
                <w:szCs w:val="20"/>
                <w:color w:val="auto"/>
              </w:rPr>
              <w:t>Total investments at fair value</w:t>
            </w:r>
          </w:p>
        </w:tc>
        <w:tc>
          <w:tcPr>
            <w:tcW w:w="52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4,807,239,616</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4,654,800,339</w:t>
            </w:r>
          </w:p>
        </w:tc>
        <w:tc>
          <w:tcPr>
            <w:tcW w:w="0" w:type="dxa"/>
            <w:vAlign w:val="bottom"/>
          </w:tcPr>
          <w:p>
            <w:pPr>
              <w:spacing w:after="0"/>
              <w:rPr>
                <w:sz w:val="1"/>
                <w:szCs w:val="1"/>
                <w:color w:val="auto"/>
              </w:rPr>
            </w:pPr>
          </w:p>
        </w:tc>
      </w:tr>
      <w:tr>
        <w:trPr>
          <w:trHeight w:val="284"/>
        </w:trPr>
        <w:tc>
          <w:tcPr>
            <w:tcW w:w="6700" w:type="dxa"/>
            <w:vAlign w:val="bottom"/>
          </w:tcPr>
          <w:p>
            <w:pPr>
              <w:ind w:left="100"/>
              <w:spacing w:after="0"/>
              <w:rPr>
                <w:sz w:val="20"/>
                <w:szCs w:val="20"/>
                <w:color w:val="auto"/>
              </w:rPr>
            </w:pPr>
            <w:r>
              <w:rPr>
                <w:rFonts w:ascii="Arial" w:cs="Arial" w:eastAsia="Arial" w:hAnsi="Arial"/>
                <w:sz w:val="20"/>
                <w:szCs w:val="20"/>
                <w:color w:val="auto"/>
              </w:rPr>
              <w:t>Investments at contract value - synthetic GICs</w:t>
            </w:r>
          </w:p>
        </w:tc>
        <w:tc>
          <w:tcPr>
            <w:tcW w:w="52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980,953,131</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959,863,938</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00" w:type="dxa"/>
            <w:vAlign w:val="bottom"/>
          </w:tcPr>
          <w:p>
            <w:pPr>
              <w:spacing w:after="0"/>
              <w:rPr>
                <w:sz w:val="20"/>
                <w:szCs w:val="20"/>
                <w:color w:val="auto"/>
              </w:rPr>
            </w:pPr>
            <w:r>
              <w:rPr>
                <w:rFonts w:ascii="Arial" w:cs="Arial" w:eastAsia="Arial" w:hAnsi="Arial"/>
                <w:sz w:val="20"/>
                <w:szCs w:val="20"/>
                <w:color w:val="auto"/>
              </w:rPr>
              <w:t>Total Master Trust net assets</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5,788,192,747</w:t>
            </w:r>
          </w:p>
        </w:tc>
        <w:tc>
          <w:tcPr>
            <w:tcW w:w="340" w:type="dxa"/>
            <w:vAlign w:val="bottom"/>
          </w:tcPr>
          <w:p>
            <w:pPr>
              <w:spacing w:after="0"/>
              <w:rPr>
                <w:sz w:val="23"/>
                <w:szCs w:val="23"/>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5,614,664,277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80" w:type="dxa"/>
            <w:vAlign w:val="bottom"/>
          </w:tcPr>
          <w:p>
            <w:pPr>
              <w:spacing w:after="0"/>
              <w:rPr>
                <w:sz w:val="20"/>
                <w:szCs w:val="20"/>
                <w:color w:val="auto"/>
              </w:rPr>
            </w:pPr>
            <w:r>
              <w:rPr>
                <w:rFonts w:ascii="Arial" w:cs="Arial" w:eastAsia="Arial" w:hAnsi="Arial"/>
                <w:sz w:val="20"/>
                <w:szCs w:val="20"/>
                <w:color w:val="auto"/>
              </w:rPr>
              <w:t>Year ended December 31, 2015, investment income:</w:t>
            </w:r>
          </w:p>
        </w:tc>
        <w:tc>
          <w:tcPr>
            <w:tcW w:w="6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4"/>
        </w:trPr>
        <w:tc>
          <w:tcPr>
            <w:tcW w:w="6580" w:type="dxa"/>
            <w:vAlign w:val="bottom"/>
          </w:tcPr>
          <w:p>
            <w:pPr>
              <w:ind w:left="100"/>
              <w:spacing w:after="0"/>
              <w:rPr>
                <w:sz w:val="20"/>
                <w:szCs w:val="20"/>
                <w:color w:val="auto"/>
              </w:rPr>
            </w:pPr>
            <w:r>
              <w:rPr>
                <w:rFonts w:ascii="Arial" w:cs="Arial" w:eastAsia="Arial" w:hAnsi="Arial"/>
                <w:sz w:val="20"/>
                <w:szCs w:val="20"/>
                <w:color w:val="auto"/>
              </w:rPr>
              <w:t>Interest income, net of expenses</w:t>
            </w:r>
          </w:p>
        </w:tc>
        <w:tc>
          <w:tcPr>
            <w:tcW w:w="640" w:type="dxa"/>
            <w:vAlign w:val="bottom"/>
          </w:tcPr>
          <w:p>
            <w:pPr>
              <w:jc w:val="right"/>
              <w:ind w:right="421"/>
              <w:spacing w:after="0"/>
              <w:rPr>
                <w:sz w:val="20"/>
                <w:szCs w:val="20"/>
                <w:color w:val="auto"/>
              </w:rPr>
            </w:pPr>
            <w:r>
              <w:rPr>
                <w:rFonts w:ascii="Arial" w:cs="Arial" w:eastAsia="Arial" w:hAnsi="Arial"/>
                <w:sz w:val="20"/>
                <w:szCs w:val="20"/>
                <w:color w:val="auto"/>
                <w:w w:val="89"/>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8,663,544</w:t>
            </w:r>
          </w:p>
        </w:tc>
      </w:tr>
      <w:tr>
        <w:trPr>
          <w:trHeight w:val="284"/>
        </w:trPr>
        <w:tc>
          <w:tcPr>
            <w:tcW w:w="6580" w:type="dxa"/>
            <w:vAlign w:val="bottom"/>
          </w:tcPr>
          <w:p>
            <w:pPr>
              <w:ind w:left="100"/>
              <w:spacing w:after="0"/>
              <w:rPr>
                <w:sz w:val="20"/>
                <w:szCs w:val="20"/>
                <w:color w:val="auto"/>
              </w:rPr>
            </w:pPr>
            <w:r>
              <w:rPr>
                <w:rFonts w:ascii="Arial" w:cs="Arial" w:eastAsia="Arial" w:hAnsi="Arial"/>
                <w:sz w:val="20"/>
                <w:szCs w:val="20"/>
                <w:color w:val="auto"/>
              </w:rPr>
              <w:t>Dividend income</w:t>
            </w:r>
          </w:p>
        </w:tc>
        <w:tc>
          <w:tcPr>
            <w:tcW w:w="6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33,136,468</w:t>
            </w:r>
          </w:p>
        </w:tc>
      </w:tr>
      <w:tr>
        <w:trPr>
          <w:trHeight w:val="284"/>
        </w:trPr>
        <w:tc>
          <w:tcPr>
            <w:tcW w:w="6580" w:type="dxa"/>
            <w:vAlign w:val="bottom"/>
          </w:tcPr>
          <w:p>
            <w:pPr>
              <w:ind w:left="100"/>
              <w:spacing w:after="0"/>
              <w:rPr>
                <w:sz w:val="20"/>
                <w:szCs w:val="20"/>
                <w:color w:val="auto"/>
              </w:rPr>
            </w:pPr>
            <w:r>
              <w:rPr>
                <w:rFonts w:ascii="Arial" w:cs="Arial" w:eastAsia="Arial" w:hAnsi="Arial"/>
                <w:sz w:val="20"/>
                <w:szCs w:val="20"/>
                <w:color w:val="auto"/>
              </w:rPr>
              <w:t>Net appreciation (depreciation) in fair value of investments</w:t>
            </w:r>
          </w:p>
        </w:tc>
        <w:tc>
          <w:tcPr>
            <w:tcW w:w="6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124,605,604</w:t>
            </w:r>
          </w:p>
        </w:tc>
      </w:tr>
      <w:tr>
        <w:trPr>
          <w:trHeight w:val="23"/>
        </w:trPr>
        <w:tc>
          <w:tcPr>
            <w:tcW w:w="65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2"/>
        </w:trPr>
        <w:tc>
          <w:tcPr>
            <w:tcW w:w="6580" w:type="dxa"/>
            <w:vAlign w:val="bottom"/>
          </w:tcPr>
          <w:p>
            <w:pPr>
              <w:spacing w:after="0"/>
              <w:rPr>
                <w:sz w:val="20"/>
                <w:szCs w:val="20"/>
                <w:color w:val="auto"/>
              </w:rPr>
            </w:pPr>
            <w:r>
              <w:rPr>
                <w:rFonts w:ascii="Arial" w:cs="Arial" w:eastAsia="Arial" w:hAnsi="Arial"/>
                <w:sz w:val="20"/>
                <w:szCs w:val="20"/>
                <w:color w:val="auto"/>
              </w:rPr>
              <w:t>Total Master Trust investment income</w:t>
            </w:r>
          </w:p>
        </w:tc>
        <w:tc>
          <w:tcPr>
            <w:tcW w:w="6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166,405,616</w:t>
            </w:r>
          </w:p>
        </w:tc>
      </w:tr>
      <w:tr>
        <w:trPr>
          <w:trHeight w:val="20"/>
        </w:trPr>
        <w:tc>
          <w:tcPr>
            <w:tcW w:w="6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Measurements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ASC 820 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Level 1 - Inputs to the valuation methodology are unadjusted quoted prices for identical assets or liabilities in active markets.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2 - Inputs to the valuation methodology include:</w:t>
      </w:r>
    </w:p>
    <w:p>
      <w:pPr>
        <w:spacing w:after="0" w:line="24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Quoted prices for similar assets and liabilities in active markets</w:t>
      </w: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90"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246"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Inputs other than quoted prices that are for the assets or liabilities (e.g., interest rate and yield curve quotes at commonly quoted intervals)</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1"/>
          <w:szCs w:val="21"/>
          <w:color w:val="auto"/>
        </w:rPr>
      </w:pPr>
      <w:r>
        <w:rPr>
          <w:rFonts w:ascii="Arial" w:cs="Arial" w:eastAsia="Arial" w:hAnsi="Arial"/>
          <w:sz w:val="21"/>
          <w:szCs w:val="21"/>
          <w:color w:val="auto"/>
        </w:rPr>
        <w:t>Inputs that are derived principally from or corroborated by observable market data by correlation or other means</w:t>
      </w:r>
    </w:p>
    <w:p>
      <w:pPr>
        <w:spacing w:after="0" w:line="258"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If the asset or liability has a specified (contractual) term, the Level 2 input must be observable for substantially the full term of the asset or liability.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Level 3 - Inputs to the valuation methodology are unobservable and significant to the fair value measurement.</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level in the fair value hierarchy within which the fair value measurement is classified is determined based upon the lowest level of input that is significant to the fair value measurement in its entirety.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a description of the valuation techniques and inputs used for assets measured at fair value:</w:t>
      </w:r>
    </w:p>
    <w:p>
      <w:pPr>
        <w:spacing w:after="0" w:line="247" w:lineRule="exact"/>
        <w:rPr>
          <w:sz w:val="20"/>
          <w:szCs w:val="20"/>
          <w:color w:val="auto"/>
        </w:rPr>
      </w:pPr>
    </w:p>
    <w:p>
      <w:pPr>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2"/>
          <w:szCs w:val="22"/>
          <w:color w:val="auto"/>
        </w:rPr>
        <w:t>Registered investment companies (mutual funds) - Valued at the net asset value (NAV) of shares held by the Plans at year end, as quoted in the active market, and are classified within Level 1 of the valuation hierarchy.</w:t>
      </w:r>
    </w:p>
    <w:p>
      <w:pPr>
        <w:spacing w:after="0" w:line="201"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6"/>
        </w:numPr>
        <w:rPr>
          <w:rFonts w:ascii="Arial" w:cs="Arial" w:eastAsia="Arial" w:hAnsi="Arial"/>
          <w:sz w:val="21"/>
          <w:szCs w:val="21"/>
          <w:color w:val="auto"/>
        </w:rPr>
      </w:pPr>
      <w:r>
        <w:rPr>
          <w:rFonts w:ascii="Arial" w:cs="Arial" w:eastAsia="Arial" w:hAnsi="Arial"/>
          <w:sz w:val="21"/>
          <w:szCs w:val="21"/>
          <w:color w:val="auto"/>
        </w:rPr>
        <w:t>Self-directed brokerage accounts (primarily represents mutual funds) - Valued at the NAV of shares held by the Plans at year end, as quoted in the active market, and are classified within Level 1 of the valuation hierarchy.</w:t>
      </w:r>
    </w:p>
    <w:p>
      <w:pPr>
        <w:spacing w:after="0" w:line="178" w:lineRule="exact"/>
        <w:rPr>
          <w:rFonts w:ascii="Arial" w:cs="Arial" w:eastAsia="Arial" w:hAnsi="Arial"/>
          <w:sz w:val="21"/>
          <w:szCs w:val="21"/>
          <w:color w:val="auto"/>
        </w:rPr>
      </w:pPr>
    </w:p>
    <w:p>
      <w:pPr>
        <w:ind w:left="660" w:hanging="328"/>
        <w:spacing w:after="0" w:line="26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Eli Lilly and Company common stock - Valued at the closing price reported on the New York Stock Exchange and is classified within Level 1 of the valuation hierarchy.</w:t>
      </w:r>
    </w:p>
    <w:p>
      <w:pPr>
        <w:spacing w:after="0" w:line="201"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2015 and 2014.</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9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2015:</w:t>
      </w:r>
    </w:p>
    <w:p>
      <w:pPr>
        <w:spacing w:after="0" w:line="200" w:lineRule="exact"/>
        <w:rPr>
          <w:sz w:val="20"/>
          <w:szCs w:val="20"/>
          <w:color w:val="auto"/>
        </w:rPr>
      </w:pP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348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87,345,229</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87,345,229</w:t>
            </w:r>
          </w:p>
        </w:tc>
        <w:tc>
          <w:tcPr>
            <w:tcW w:w="2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4"/>
                <w:szCs w:val="14"/>
                <w:color w:val="auto"/>
              </w:rPr>
              <w:t>Self-directed brokerage accounts</w:t>
            </w:r>
          </w:p>
        </w:tc>
        <w:tc>
          <w:tcPr>
            <w:tcW w:w="3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205,587,168</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205,587,168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8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809,246,522</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809,246,522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1,102,178,919</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1,102,178,919</w:t>
            </w:r>
          </w:p>
        </w:tc>
        <w:tc>
          <w:tcPr>
            <w:tcW w:w="2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4"/>
                <w:szCs w:val="14"/>
                <w:color w:val="auto"/>
              </w:rPr>
              <w:t>Interest in common/collective trusts, measured at NAV</w:t>
            </w: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3,705,060,697</w:t>
            </w: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48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0"/>
                <w:szCs w:val="20"/>
                <w:color w:val="auto"/>
              </w:rPr>
            </w:pPr>
            <w:r>
              <w:rPr>
                <w:rFonts w:ascii="Arial" w:cs="Arial" w:eastAsia="Arial" w:hAnsi="Arial"/>
                <w:sz w:val="14"/>
                <w:szCs w:val="14"/>
                <w:color w:val="auto"/>
              </w:rPr>
              <w:t>Total Master Trust investments, at fair value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4,807,239,616</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Master Trust assets carried at fair value as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2014:</w:t>
      </w:r>
    </w:p>
    <w:p>
      <w:pPr>
        <w:spacing w:after="0" w:line="200" w:lineRule="exact"/>
        <w:rPr>
          <w:sz w:val="20"/>
          <w:szCs w:val="20"/>
          <w:color w:val="auto"/>
        </w:rPr>
      </w:pP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0"/>
                <w:szCs w:val="20"/>
                <w:color w:val="auto"/>
              </w:rPr>
            </w:pPr>
            <w:r>
              <w:rPr>
                <w:rFonts w:ascii="Arial" w:cs="Arial" w:eastAsia="Arial" w:hAnsi="Arial"/>
                <w:sz w:val="14"/>
                <w:szCs w:val="14"/>
                <w:color w:val="auto"/>
              </w:rPr>
              <w:t>Registered investment companies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73,527,909</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73,527,909</w:t>
            </w:r>
          </w:p>
        </w:tc>
        <w:tc>
          <w:tcPr>
            <w:tcW w:w="20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4"/>
                <w:szCs w:val="14"/>
                <w:color w:val="auto"/>
              </w:rPr>
              <w:t>Self-directed brokerage accounts</w:t>
            </w:r>
          </w:p>
        </w:tc>
        <w:tc>
          <w:tcPr>
            <w:tcW w:w="3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201,576,416</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201,576,416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60" w:type="dxa"/>
            <w:vAlign w:val="bottom"/>
          </w:tcPr>
          <w:p>
            <w:pPr>
              <w:spacing w:after="0"/>
              <w:rPr>
                <w:sz w:val="20"/>
                <w:szCs w:val="20"/>
                <w:color w:val="auto"/>
              </w:rPr>
            </w:pPr>
            <w:r>
              <w:rPr>
                <w:rFonts w:ascii="Arial" w:cs="Arial" w:eastAsia="Arial" w:hAnsi="Arial"/>
                <w:sz w:val="14"/>
                <w:szCs w:val="14"/>
                <w:color w:val="auto"/>
              </w:rPr>
              <w:t>Eli Lilly and Company common stock</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733,657,735</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733,657,735</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1,008,762,060</w:t>
            </w: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1,008,762,060</w:t>
            </w:r>
          </w:p>
        </w:tc>
        <w:tc>
          <w:tcPr>
            <w:tcW w:w="20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4"/>
                <w:szCs w:val="14"/>
                <w:color w:val="auto"/>
              </w:rPr>
              <w:t>Interest in common/collective trusts, measured at NAV</w:t>
            </w: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3,646,038,279</w:t>
            </w: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6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4"/>
                <w:szCs w:val="14"/>
                <w:color w:val="auto"/>
              </w:rPr>
              <w:t>Total Master Trust investments, at fair value</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4,654,800,339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Plans also hold other assets not measured at fair value on a recurring basis, including employer contributions receivable. The fair value of these assets approximates the carrying amounts in the accompanying financial statements due to the short maturity of the instruments. Under the fair value hierarchy, these financial instruments are valued primarily using Level 2 inputs.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Income Tax Status</w:t>
      </w:r>
    </w:p>
    <w:p>
      <w:pPr>
        <w:spacing w:after="0" w:line="253"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401(k) Plan has received a determination letter from the IRS dated July 30, 2014, stating that the 401 (k) Plan is qualified under Section 401(a) of the Internal Revenue Code (the Code), and therefore the related trust is exempt from taxation. Subsequent to the issuance of the determination letter, the 401(k) Plan was amended and restated. Once qualified, the 401(k) Plan is required to operate in conformity with the Code to maintain its qualification. The plan administrator believes that the 401(k) Plan, as amended and restated, is being operated in compliance with applicable requirements of the Code and, therefore, believes that the 401(k) Plan is qualified and the related trust is tax-exempt.</w:t>
      </w:r>
    </w:p>
    <w:p>
      <w:pPr>
        <w:sectPr>
          <w:pgSz w:w="11900" w:h="16838" w:orient="portrait"/>
          <w:cols w:equalWidth="0" w:num="1">
            <w:col w:w="11420"/>
          </w:cols>
          <w:pgMar w:left="240" w:top="190"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9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Puerto Rico Plan received a determination letter from the Commonwealth of Puerto Rico’s Department of Treasury dated February 3, 2016, confirming generally that the Puerto Rico Plan meets the qualification requirements of Section 1081.01 of the Puerto Rico Internal Revenue Code of 2011 (the Puerto Rico Code). Once qualified, the Puerto Rico Plan is required to operate in conformity with the Puerto Rico Code to maintain its qualification. The plan administrator believes that the Puerto Rico Plan is being operated in compliance with applicable requirements of the Puerto Rico Code and, therefore, believes that the Puerto Rico Plan is qualified and the related trust is tax exempt.</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U.S. GAAP requires plan management to evaluate uncertain tax positions taken by the Plans. The financial statement effects of a tax position are recognized when the position is more likely than not, based on technical merits, to be sustained upon examination by the IRS. The plan administrator has analyzed the tax positions taken by the Plans and has concluded that as of December 31, 2015, there are no uncertain positions taken or expected to be taken. The Plans have recognized no interest or penalties related to uncertain tax positions. The Plans are subject to routine audits by taxing jurisdictions; however, there are currently no audits for any tax periods in progress. The plan administrator believes that the Plans are no longer subject to income tax examinations for years prior to 2012.</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Risks and Uncertainties</w:t>
      </w:r>
    </w:p>
    <w:p>
      <w:pPr>
        <w:spacing w:after="0" w:line="25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Plans invest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Transactions With Related Parties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2015, the 401(k) Plan received $19,388,261 in cash dividends from the Company on the common stock of the Company owned by the 401(k) Plan. During 2015, the Puerto Rico Plan received $974,622 in cash dividends from the Company on the common stock of the Company owned by the Puerto Rico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9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Reconciliation of the Financial Statements to the Form 5500</w:t>
      </w:r>
    </w:p>
    <w:p>
      <w:pPr>
        <w:spacing w:after="0" w:line="253"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following are reconciliations of net assets available for benefits as of December 31, 2015 and 2014, and the net increase in net assets available for benefits for the year ended December 31, 2015, with the corresponding amounts in the Form 5500.</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6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2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280" w:type="dxa"/>
            <w:vAlign w:val="bottom"/>
          </w:tcPr>
          <w:p>
            <w:pPr>
              <w:spacing w:after="0"/>
              <w:rPr>
                <w:sz w:val="22"/>
                <w:szCs w:val="22"/>
                <w:color w:val="auto"/>
              </w:rPr>
            </w:pPr>
          </w:p>
        </w:tc>
        <w:tc>
          <w:tcPr>
            <w:tcW w:w="2000" w:type="dxa"/>
            <w:vAlign w:val="bottom"/>
          </w:tcPr>
          <w:p>
            <w:pPr>
              <w:jc w:val="right"/>
              <w:ind w:right="321"/>
              <w:spacing w:after="0"/>
              <w:rPr>
                <w:sz w:val="20"/>
                <w:szCs w:val="20"/>
                <w:color w:val="auto"/>
              </w:rPr>
            </w:pPr>
            <w:r>
              <w:rPr>
                <w:rFonts w:ascii="Arial" w:cs="Arial" w:eastAsia="Arial" w:hAnsi="Arial"/>
                <w:sz w:val="20"/>
                <w:szCs w:val="20"/>
                <w:b w:val="1"/>
                <w:bCs w:val="1"/>
                <w:color w:val="auto"/>
                <w:w w:val="97"/>
              </w:rPr>
              <w:t>Puerto Rico Plan</w:t>
            </w:r>
          </w:p>
        </w:tc>
        <w:tc>
          <w:tcPr>
            <w:tcW w:w="0" w:type="dxa"/>
            <w:vAlign w:val="bottom"/>
          </w:tcPr>
          <w:p>
            <w:pPr>
              <w:spacing w:after="0"/>
              <w:rPr>
                <w:sz w:val="1"/>
                <w:szCs w:val="1"/>
                <w:color w:val="auto"/>
              </w:rPr>
            </w:pPr>
          </w:p>
        </w:tc>
      </w:tr>
      <w:tr>
        <w:trPr>
          <w:trHeight w:val="30"/>
        </w:trPr>
        <w:tc>
          <w:tcPr>
            <w:tcW w:w="6500" w:type="dxa"/>
            <w:vAlign w:val="bottom"/>
            <w:vMerge w:val="restart"/>
          </w:tcPr>
          <w:p>
            <w:pPr>
              <w:spacing w:after="0"/>
              <w:rPr>
                <w:sz w:val="20"/>
                <w:szCs w:val="20"/>
                <w:color w:val="auto"/>
              </w:rPr>
            </w:pPr>
            <w:r>
              <w:rPr>
                <w:rFonts w:ascii="Arial" w:cs="Arial" w:eastAsia="Arial" w:hAnsi="Arial"/>
                <w:sz w:val="20"/>
                <w:szCs w:val="20"/>
                <w:b w:val="1"/>
                <w:bCs w:val="1"/>
                <w:color w:val="auto"/>
              </w:rPr>
              <w:t>December 31, 2015</w:t>
            </w: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5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at year end, as reported in the</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500" w:type="dxa"/>
            <w:vAlign w:val="bottom"/>
          </w:tcPr>
          <w:p>
            <w:pPr>
              <w:ind w:left="160"/>
              <w:spacing w:after="0"/>
              <w:rPr>
                <w:sz w:val="20"/>
                <w:szCs w:val="20"/>
                <w:color w:val="auto"/>
              </w:rPr>
            </w:pPr>
            <w:r>
              <w:rPr>
                <w:rFonts w:ascii="Arial" w:cs="Arial" w:eastAsia="Arial" w:hAnsi="Arial"/>
                <w:sz w:val="20"/>
                <w:szCs w:val="20"/>
                <w:color w:val="auto"/>
              </w:rPr>
              <w:t>accompanying financial statements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5,666,174,067</w:t>
            </w:r>
          </w:p>
        </w:tc>
        <w:tc>
          <w:tcPr>
            <w:tcW w:w="34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169,025,743</w:t>
            </w:r>
          </w:p>
        </w:tc>
        <w:tc>
          <w:tcPr>
            <w:tcW w:w="0" w:type="dxa"/>
            <w:vAlign w:val="bottom"/>
          </w:tcPr>
          <w:p>
            <w:pPr>
              <w:spacing w:after="0"/>
              <w:rPr>
                <w:sz w:val="1"/>
                <w:szCs w:val="1"/>
                <w:color w:val="auto"/>
              </w:rPr>
            </w:pPr>
          </w:p>
        </w:tc>
      </w:tr>
      <w:tr>
        <w:trPr>
          <w:trHeight w:val="284"/>
        </w:trPr>
        <w:tc>
          <w:tcPr>
            <w:tcW w:w="650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3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(1,414,949)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(44,715)</w:t>
            </w: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500" w:type="dxa"/>
            <w:vAlign w:val="bottom"/>
          </w:tcPr>
          <w:p>
            <w:pPr>
              <w:spacing w:after="0"/>
              <w:rPr>
                <w:sz w:val="20"/>
                <w:szCs w:val="20"/>
                <w:color w:val="auto"/>
              </w:rPr>
            </w:pPr>
            <w:r>
              <w:rPr>
                <w:rFonts w:ascii="Arial" w:cs="Arial" w:eastAsia="Arial" w:hAnsi="Arial"/>
                <w:sz w:val="20"/>
                <w:szCs w:val="20"/>
                <w:color w:val="auto"/>
              </w:rPr>
              <w:t>Net assets available for benefits at year end per Form 5500</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5,664,759,118</w:t>
            </w:r>
          </w:p>
        </w:tc>
        <w:tc>
          <w:tcPr>
            <w:tcW w:w="340" w:type="dxa"/>
            <w:vAlign w:val="bottom"/>
          </w:tcPr>
          <w:p>
            <w:pPr>
              <w:spacing w:after="0"/>
              <w:rPr>
                <w:sz w:val="23"/>
                <w:szCs w:val="23"/>
                <w:color w:val="auto"/>
              </w:rPr>
            </w:pPr>
          </w:p>
        </w:tc>
        <w:tc>
          <w:tcPr>
            <w:tcW w:w="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168,981,028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5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20" w:type="dxa"/>
            <w:vAlign w:val="bottom"/>
            <w:gridSpan w:val="2"/>
          </w:tcPr>
          <w:p>
            <w:pPr>
              <w:ind w:left="220"/>
              <w:spacing w:after="0"/>
              <w:rPr>
                <w:sz w:val="20"/>
                <w:szCs w:val="20"/>
                <w:color w:val="auto"/>
              </w:rPr>
            </w:pPr>
            <w:r>
              <w:rPr>
                <w:rFonts w:ascii="Arial" w:cs="Arial" w:eastAsia="Arial" w:hAnsi="Arial"/>
                <w:sz w:val="20"/>
                <w:szCs w:val="20"/>
                <w:b w:val="1"/>
                <w:bCs w:val="1"/>
                <w:color w:val="auto"/>
              </w:rPr>
              <w:t>401(k) Plan</w:t>
            </w:r>
          </w:p>
        </w:tc>
        <w:tc>
          <w:tcPr>
            <w:tcW w:w="280" w:type="dxa"/>
            <w:vAlign w:val="bottom"/>
          </w:tcPr>
          <w:p>
            <w:pPr>
              <w:spacing w:after="0"/>
              <w:rPr>
                <w:sz w:val="22"/>
                <w:szCs w:val="22"/>
                <w:color w:val="auto"/>
              </w:rPr>
            </w:pPr>
          </w:p>
        </w:tc>
        <w:tc>
          <w:tcPr>
            <w:tcW w:w="2000" w:type="dxa"/>
            <w:vAlign w:val="bottom"/>
          </w:tcPr>
          <w:p>
            <w:pPr>
              <w:jc w:val="right"/>
              <w:ind w:right="321"/>
              <w:spacing w:after="0"/>
              <w:rPr>
                <w:sz w:val="20"/>
                <w:szCs w:val="20"/>
                <w:color w:val="auto"/>
              </w:rPr>
            </w:pPr>
            <w:r>
              <w:rPr>
                <w:rFonts w:ascii="Arial" w:cs="Arial" w:eastAsia="Arial" w:hAnsi="Arial"/>
                <w:sz w:val="20"/>
                <w:szCs w:val="20"/>
                <w:b w:val="1"/>
                <w:bCs w:val="1"/>
                <w:color w:val="auto"/>
                <w:w w:val="97"/>
              </w:rPr>
              <w:t>Puerto Rico Plan</w:t>
            </w:r>
          </w:p>
        </w:tc>
        <w:tc>
          <w:tcPr>
            <w:tcW w:w="0" w:type="dxa"/>
            <w:vAlign w:val="bottom"/>
          </w:tcPr>
          <w:p>
            <w:pPr>
              <w:spacing w:after="0"/>
              <w:rPr>
                <w:sz w:val="1"/>
                <w:szCs w:val="1"/>
                <w:color w:val="auto"/>
              </w:rPr>
            </w:pPr>
          </w:p>
        </w:tc>
      </w:tr>
      <w:tr>
        <w:trPr>
          <w:trHeight w:val="30"/>
        </w:trPr>
        <w:tc>
          <w:tcPr>
            <w:tcW w:w="5220" w:type="dxa"/>
            <w:vAlign w:val="bottom"/>
            <w:vMerge w:val="restart"/>
          </w:tcPr>
          <w:p>
            <w:pPr>
              <w:spacing w:after="0"/>
              <w:rPr>
                <w:sz w:val="20"/>
                <w:szCs w:val="20"/>
                <w:color w:val="auto"/>
              </w:rPr>
            </w:pPr>
            <w:r>
              <w:rPr>
                <w:rFonts w:ascii="Arial" w:cs="Arial" w:eastAsia="Arial" w:hAnsi="Arial"/>
                <w:sz w:val="20"/>
                <w:szCs w:val="20"/>
                <w:b w:val="1"/>
                <w:bCs w:val="1"/>
                <w:color w:val="auto"/>
              </w:rPr>
              <w:t>December 31, 2014</w:t>
            </w:r>
          </w:p>
        </w:tc>
        <w:tc>
          <w:tcPr>
            <w:tcW w:w="1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22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220" w:type="dxa"/>
            <w:vAlign w:val="bottom"/>
          </w:tcPr>
          <w:p>
            <w:pPr>
              <w:spacing w:after="0"/>
              <w:rPr>
                <w:sz w:val="20"/>
                <w:szCs w:val="20"/>
                <w:color w:val="auto"/>
              </w:rPr>
            </w:pPr>
            <w:r>
              <w:rPr>
                <w:rFonts w:ascii="Arial" w:cs="Arial" w:eastAsia="Arial" w:hAnsi="Arial"/>
                <w:sz w:val="20"/>
                <w:szCs w:val="20"/>
                <w:color w:val="auto"/>
                <w:w w:val="93"/>
              </w:rPr>
              <w:t>Net assets available for benefits at year end, as reported in the</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20" w:type="dxa"/>
            <w:vAlign w:val="bottom"/>
          </w:tcPr>
          <w:p>
            <w:pPr>
              <w:ind w:left="160"/>
              <w:spacing w:after="0"/>
              <w:rPr>
                <w:sz w:val="20"/>
                <w:szCs w:val="20"/>
                <w:color w:val="auto"/>
              </w:rPr>
            </w:pPr>
            <w:r>
              <w:rPr>
                <w:rFonts w:ascii="Arial" w:cs="Arial" w:eastAsia="Arial" w:hAnsi="Arial"/>
                <w:sz w:val="20"/>
                <w:szCs w:val="20"/>
                <w:color w:val="auto"/>
              </w:rPr>
              <w:t>accompanying financial statements</w:t>
            </w:r>
          </w:p>
        </w:tc>
        <w:tc>
          <w:tcPr>
            <w:tcW w:w="16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5,505,569,027</w:t>
            </w:r>
          </w:p>
        </w:tc>
        <w:tc>
          <w:tcPr>
            <w:tcW w:w="340" w:type="dxa"/>
            <w:vAlign w:val="bottom"/>
          </w:tcPr>
          <w:p>
            <w:pPr>
              <w:spacing w:after="0"/>
              <w:rPr>
                <w:sz w:val="24"/>
                <w:szCs w:val="24"/>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156,191,155</w:t>
            </w:r>
          </w:p>
        </w:tc>
        <w:tc>
          <w:tcPr>
            <w:tcW w:w="0" w:type="dxa"/>
            <w:vAlign w:val="bottom"/>
          </w:tcPr>
          <w:p>
            <w:pPr>
              <w:spacing w:after="0"/>
              <w:rPr>
                <w:sz w:val="1"/>
                <w:szCs w:val="1"/>
                <w:color w:val="auto"/>
              </w:rPr>
            </w:pPr>
          </w:p>
        </w:tc>
      </w:tr>
      <w:tr>
        <w:trPr>
          <w:trHeight w:val="284"/>
        </w:trPr>
        <w:tc>
          <w:tcPr>
            <w:tcW w:w="5220" w:type="dxa"/>
            <w:vAlign w:val="bottom"/>
          </w:tcPr>
          <w:p>
            <w:pPr>
              <w:spacing w:after="0"/>
              <w:rPr>
                <w:sz w:val="20"/>
                <w:szCs w:val="20"/>
                <w:color w:val="auto"/>
              </w:rPr>
            </w:pPr>
            <w:r>
              <w:rPr>
                <w:rFonts w:ascii="Arial" w:cs="Arial" w:eastAsia="Arial" w:hAnsi="Arial"/>
                <w:sz w:val="20"/>
                <w:szCs w:val="20"/>
                <w:color w:val="auto"/>
              </w:rPr>
              <w:t>Adjustment from contract value to fair value for fully</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20" w:type="dxa"/>
            <w:vAlign w:val="bottom"/>
          </w:tcPr>
          <w:p>
            <w:pPr>
              <w:ind w:left="160"/>
              <w:spacing w:after="0"/>
              <w:rPr>
                <w:sz w:val="20"/>
                <w:szCs w:val="20"/>
                <w:color w:val="auto"/>
              </w:rPr>
            </w:pPr>
            <w:r>
              <w:rPr>
                <w:rFonts w:ascii="Arial" w:cs="Arial" w:eastAsia="Arial" w:hAnsi="Arial"/>
                <w:sz w:val="20"/>
                <w:szCs w:val="20"/>
                <w:color w:val="auto"/>
              </w:rPr>
              <w:t>benefit-responsive investment contracts</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184,457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6,699</w:t>
            </w:r>
          </w:p>
        </w:tc>
        <w:tc>
          <w:tcPr>
            <w:tcW w:w="0" w:type="dxa"/>
            <w:vAlign w:val="bottom"/>
          </w:tcPr>
          <w:p>
            <w:pPr>
              <w:spacing w:after="0"/>
              <w:rPr>
                <w:sz w:val="1"/>
                <w:szCs w:val="1"/>
                <w:color w:val="auto"/>
              </w:rPr>
            </w:pPr>
          </w:p>
        </w:tc>
      </w:tr>
      <w:tr>
        <w:trPr>
          <w:trHeight w:val="284"/>
        </w:trPr>
        <w:tc>
          <w:tcPr>
            <w:tcW w:w="5220" w:type="dxa"/>
            <w:vAlign w:val="bottom"/>
          </w:tcPr>
          <w:p>
            <w:pPr>
              <w:spacing w:after="0"/>
              <w:rPr>
                <w:sz w:val="20"/>
                <w:szCs w:val="20"/>
                <w:color w:val="auto"/>
              </w:rPr>
            </w:pPr>
            <w:r>
              <w:rPr>
                <w:rFonts w:ascii="Arial" w:cs="Arial" w:eastAsia="Arial" w:hAnsi="Arial"/>
                <w:sz w:val="20"/>
                <w:szCs w:val="20"/>
                <w:color w:val="auto"/>
              </w:rPr>
              <w:t>Distributions accrued on Form 5500 at year end</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(5,796,303)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(128,018)</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220" w:type="dxa"/>
            <w:vAlign w:val="bottom"/>
          </w:tcPr>
          <w:p>
            <w:pPr>
              <w:spacing w:after="0"/>
              <w:rPr>
                <w:sz w:val="20"/>
                <w:szCs w:val="20"/>
                <w:color w:val="auto"/>
              </w:rPr>
            </w:pPr>
            <w:r>
              <w:rPr>
                <w:rFonts w:ascii="Arial" w:cs="Arial" w:eastAsia="Arial" w:hAnsi="Arial"/>
                <w:sz w:val="20"/>
                <w:szCs w:val="20"/>
                <w:color w:val="auto"/>
                <w:w w:val="98"/>
              </w:rPr>
              <w:t>Net assets available for benefits at year end per Form 5500</w:t>
            </w:r>
          </w:p>
        </w:tc>
        <w:tc>
          <w:tcPr>
            <w:tcW w:w="16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780" w:type="dxa"/>
            <w:vAlign w:val="bottom"/>
          </w:tcPr>
          <w:p>
            <w:pPr>
              <w:jc w:val="right"/>
              <w:ind w:right="1"/>
              <w:spacing w:after="0"/>
              <w:rPr>
                <w:sz w:val="20"/>
                <w:szCs w:val="20"/>
                <w:color w:val="auto"/>
              </w:rPr>
            </w:pPr>
            <w:r>
              <w:rPr>
                <w:rFonts w:ascii="Arial" w:cs="Arial" w:eastAsia="Arial" w:hAnsi="Arial"/>
                <w:sz w:val="20"/>
                <w:szCs w:val="20"/>
                <w:color w:val="auto"/>
              </w:rPr>
              <w:t>5,499,957,181</w:t>
            </w:r>
          </w:p>
        </w:tc>
        <w:tc>
          <w:tcPr>
            <w:tcW w:w="340" w:type="dxa"/>
            <w:vAlign w:val="bottom"/>
          </w:tcPr>
          <w:p>
            <w:pPr>
              <w:spacing w:after="0"/>
              <w:rPr>
                <w:sz w:val="23"/>
                <w:szCs w:val="23"/>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21"/>
              <w:spacing w:after="0"/>
              <w:rPr>
                <w:sz w:val="20"/>
                <w:szCs w:val="20"/>
                <w:color w:val="auto"/>
              </w:rPr>
            </w:pPr>
            <w:r>
              <w:rPr>
                <w:rFonts w:ascii="Arial" w:cs="Arial" w:eastAsia="Arial" w:hAnsi="Arial"/>
                <w:sz w:val="20"/>
                <w:szCs w:val="20"/>
                <w:color w:val="auto"/>
              </w:rPr>
              <w:t>156,069,836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80" w:type="dxa"/>
            <w:vAlign w:val="bottom"/>
            <w:vMerge w:val="restart"/>
          </w:tcPr>
          <w:p>
            <w:pPr>
              <w:jc w:val="right"/>
              <w:ind w:right="704"/>
              <w:spacing w:after="0"/>
              <w:rPr>
                <w:sz w:val="20"/>
                <w:szCs w:val="20"/>
                <w:color w:val="auto"/>
              </w:rPr>
            </w:pPr>
            <w:r>
              <w:rPr>
                <w:rFonts w:ascii="Arial" w:cs="Arial" w:eastAsia="Arial" w:hAnsi="Arial"/>
                <w:sz w:val="18"/>
                <w:szCs w:val="18"/>
                <w:color w:val="auto"/>
              </w:rPr>
              <w:t>16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90"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25"/>
          <w:szCs w:val="25"/>
          <w:color w:val="auto"/>
        </w:rPr>
        <w:t>The Lilly Employee 401(k) Plan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Financial Statements, cont.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6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gridSpan w:val="2"/>
          </w:tcPr>
          <w:p>
            <w:pPr>
              <w:ind w:left="240"/>
              <w:spacing w:after="0"/>
              <w:rPr>
                <w:sz w:val="20"/>
                <w:szCs w:val="20"/>
                <w:color w:val="auto"/>
              </w:rPr>
            </w:pPr>
            <w:r>
              <w:rPr>
                <w:rFonts w:ascii="Arial" w:cs="Arial" w:eastAsia="Arial" w:hAnsi="Arial"/>
                <w:sz w:val="20"/>
                <w:szCs w:val="20"/>
                <w:b w:val="1"/>
                <w:bCs w:val="1"/>
                <w:color w:val="auto"/>
              </w:rPr>
              <w:t>401(k) Plan</w:t>
            </w:r>
          </w:p>
        </w:tc>
        <w:tc>
          <w:tcPr>
            <w:tcW w:w="180" w:type="dxa"/>
            <w:vAlign w:val="bottom"/>
          </w:tcPr>
          <w:p>
            <w:pPr>
              <w:spacing w:after="0"/>
              <w:rPr>
                <w:sz w:val="22"/>
                <w:szCs w:val="22"/>
                <w:color w:val="auto"/>
              </w:rPr>
            </w:pPr>
          </w:p>
        </w:tc>
        <w:tc>
          <w:tcPr>
            <w:tcW w:w="1760" w:type="dxa"/>
            <w:vAlign w:val="bottom"/>
          </w:tcPr>
          <w:p>
            <w:pPr>
              <w:jc w:val="right"/>
              <w:ind w:right="161"/>
              <w:spacing w:after="0"/>
              <w:rPr>
                <w:sz w:val="20"/>
                <w:szCs w:val="20"/>
                <w:color w:val="auto"/>
              </w:rPr>
            </w:pPr>
            <w:r>
              <w:rPr>
                <w:rFonts w:ascii="Arial" w:cs="Arial" w:eastAsia="Arial" w:hAnsi="Arial"/>
                <w:sz w:val="20"/>
                <w:szCs w:val="20"/>
                <w:b w:val="1"/>
                <w:bCs w:val="1"/>
                <w:color w:val="auto"/>
                <w:w w:val="92"/>
              </w:rPr>
              <w:t>Puerto Rico Plan</w:t>
            </w:r>
          </w:p>
        </w:tc>
        <w:tc>
          <w:tcPr>
            <w:tcW w:w="0" w:type="dxa"/>
            <w:vAlign w:val="bottom"/>
          </w:tcPr>
          <w:p>
            <w:pPr>
              <w:spacing w:after="0"/>
              <w:rPr>
                <w:sz w:val="1"/>
                <w:szCs w:val="1"/>
                <w:color w:val="auto"/>
              </w:rPr>
            </w:pPr>
          </w:p>
        </w:tc>
      </w:tr>
      <w:tr>
        <w:trPr>
          <w:trHeight w:val="30"/>
        </w:trPr>
        <w:tc>
          <w:tcPr>
            <w:tcW w:w="6920" w:type="dxa"/>
            <w:vAlign w:val="bottom"/>
            <w:vMerge w:val="restart"/>
          </w:tcPr>
          <w:p>
            <w:pPr>
              <w:spacing w:after="0"/>
              <w:rPr>
                <w:sz w:val="20"/>
                <w:szCs w:val="20"/>
                <w:color w:val="auto"/>
              </w:rPr>
            </w:pPr>
            <w:r>
              <w:rPr>
                <w:rFonts w:ascii="Arial" w:cs="Arial" w:eastAsia="Arial" w:hAnsi="Arial"/>
                <w:sz w:val="20"/>
                <w:szCs w:val="20"/>
                <w:b w:val="1"/>
                <w:bCs w:val="1"/>
                <w:color w:val="auto"/>
              </w:rPr>
              <w:t>Year Ended December 31, 2015</w:t>
            </w: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9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Net increase in net assets available for benefits, as reported in</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20" w:type="dxa"/>
            <w:vAlign w:val="bottom"/>
          </w:tcPr>
          <w:p>
            <w:pPr>
              <w:ind w:left="140"/>
              <w:spacing w:after="0"/>
              <w:rPr>
                <w:sz w:val="20"/>
                <w:szCs w:val="20"/>
                <w:color w:val="auto"/>
              </w:rPr>
            </w:pPr>
            <w:r>
              <w:rPr>
                <w:rFonts w:ascii="Arial" w:cs="Arial" w:eastAsia="Arial" w:hAnsi="Arial"/>
                <w:sz w:val="20"/>
                <w:szCs w:val="20"/>
                <w:color w:val="auto"/>
              </w:rPr>
              <w:t>the accompanying financial statements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160,605,040</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12,834,588</w:t>
            </w: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Adjustment from contract value to fair value for fully</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20" w:type="dxa"/>
            <w:vAlign w:val="bottom"/>
          </w:tcPr>
          <w:p>
            <w:pPr>
              <w:ind w:left="140"/>
              <w:spacing w:after="0"/>
              <w:rPr>
                <w:sz w:val="20"/>
                <w:szCs w:val="20"/>
                <w:color w:val="auto"/>
              </w:rPr>
            </w:pPr>
            <w:r>
              <w:rPr>
                <w:rFonts w:ascii="Arial" w:cs="Arial" w:eastAsia="Arial" w:hAnsi="Arial"/>
                <w:sz w:val="20"/>
                <w:szCs w:val="20"/>
                <w:color w:val="auto"/>
              </w:rPr>
              <w:t>benefit-responsive investment contracts at December 31, 2014</w:t>
            </w:r>
          </w:p>
        </w:tc>
        <w:tc>
          <w:tcPr>
            <w:tcW w:w="3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(184,457)</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(6,699)</w:t>
            </w: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2015</w:t>
            </w:r>
          </w:p>
        </w:tc>
        <w:tc>
          <w:tcPr>
            <w:tcW w:w="3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(1,414,949)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(44,715)</w:t>
            </w:r>
          </w:p>
        </w:tc>
        <w:tc>
          <w:tcPr>
            <w:tcW w:w="0" w:type="dxa"/>
            <w:vAlign w:val="bottom"/>
          </w:tcPr>
          <w:p>
            <w:pPr>
              <w:spacing w:after="0"/>
              <w:rPr>
                <w:sz w:val="1"/>
                <w:szCs w:val="1"/>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20"/>
                <w:szCs w:val="20"/>
                <w:color w:val="auto"/>
              </w:rPr>
              <w:t>Distributions accrued on Form 5500 at December 31, 2014</w:t>
            </w:r>
          </w:p>
        </w:tc>
        <w:tc>
          <w:tcPr>
            <w:tcW w:w="360" w:type="dxa"/>
            <w:vAlign w:val="bottom"/>
          </w:tcPr>
          <w:p>
            <w:pPr>
              <w:spacing w:after="0"/>
              <w:rPr>
                <w:sz w:val="24"/>
                <w:szCs w:val="24"/>
                <w:color w:val="auto"/>
              </w:rPr>
            </w:pPr>
          </w:p>
        </w:tc>
        <w:tc>
          <w:tcPr>
            <w:tcW w:w="1820" w:type="dxa"/>
            <w:vAlign w:val="bottom"/>
          </w:tcPr>
          <w:p>
            <w:pPr>
              <w:jc w:val="right"/>
              <w:ind w:right="21"/>
              <w:spacing w:after="0"/>
              <w:rPr>
                <w:sz w:val="20"/>
                <w:szCs w:val="20"/>
                <w:color w:val="auto"/>
              </w:rPr>
            </w:pPr>
            <w:r>
              <w:rPr>
                <w:rFonts w:ascii="Arial" w:cs="Arial" w:eastAsia="Arial" w:hAnsi="Arial"/>
                <w:sz w:val="20"/>
                <w:szCs w:val="20"/>
                <w:color w:val="auto"/>
              </w:rPr>
              <w:t>5,796,303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
              <w:spacing w:after="0"/>
              <w:rPr>
                <w:sz w:val="20"/>
                <w:szCs w:val="20"/>
                <w:color w:val="auto"/>
              </w:rPr>
            </w:pPr>
            <w:r>
              <w:rPr>
                <w:rFonts w:ascii="Arial" w:cs="Arial" w:eastAsia="Arial" w:hAnsi="Arial"/>
                <w:sz w:val="20"/>
                <w:szCs w:val="20"/>
                <w:color w:val="auto"/>
              </w:rPr>
              <w:t>128,018</w:t>
            </w:r>
          </w:p>
        </w:tc>
        <w:tc>
          <w:tcPr>
            <w:tcW w:w="0" w:type="dxa"/>
            <w:vAlign w:val="bottom"/>
          </w:tcPr>
          <w:p>
            <w:pPr>
              <w:spacing w:after="0"/>
              <w:rPr>
                <w:sz w:val="1"/>
                <w:szCs w:val="1"/>
                <w:color w:val="auto"/>
              </w:rPr>
            </w:pPr>
          </w:p>
        </w:tc>
      </w:tr>
      <w:tr>
        <w:trPr>
          <w:trHeight w:val="23"/>
        </w:trPr>
        <w:tc>
          <w:tcPr>
            <w:tcW w:w="6920" w:type="dxa"/>
            <w:vAlign w:val="bottom"/>
            <w:vMerge w:val="restart"/>
          </w:tcPr>
          <w:p>
            <w:pPr>
              <w:spacing w:after="0"/>
              <w:rPr>
                <w:sz w:val="20"/>
                <w:szCs w:val="20"/>
                <w:color w:val="auto"/>
              </w:rPr>
            </w:pPr>
            <w:r>
              <w:rPr>
                <w:rFonts w:ascii="Arial" w:cs="Arial" w:eastAsia="Arial" w:hAnsi="Arial"/>
                <w:sz w:val="20"/>
                <w:szCs w:val="20"/>
                <w:color w:val="auto"/>
              </w:rPr>
              <w:t>Net increase in net assets available for benefits, as reported on</w:t>
            </w: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920" w:type="dxa"/>
            <w:vAlign w:val="bottom"/>
            <w:vMerge w:val="continue"/>
          </w:tcPr>
          <w:p>
            <w:pPr>
              <w:spacing w:after="0"/>
              <w:rPr>
                <w:sz w:val="19"/>
                <w:szCs w:val="19"/>
                <w:color w:val="auto"/>
              </w:rPr>
            </w:pPr>
          </w:p>
        </w:tc>
        <w:tc>
          <w:tcPr>
            <w:tcW w:w="360" w:type="dxa"/>
            <w:vAlign w:val="bottom"/>
            <w:vMerge w:val="restart"/>
          </w:tcPr>
          <w:p>
            <w:pPr>
              <w:jc w:val="right"/>
              <w:ind w:right="141"/>
              <w:spacing w:after="0"/>
              <w:rPr>
                <w:sz w:val="20"/>
                <w:szCs w:val="20"/>
                <w:color w:val="auto"/>
              </w:rPr>
            </w:pPr>
            <w:r>
              <w:rPr>
                <w:rFonts w:ascii="Arial" w:cs="Arial" w:eastAsia="Arial" w:hAnsi="Arial"/>
                <w:sz w:val="20"/>
                <w:szCs w:val="20"/>
                <w:color w:val="auto"/>
                <w:w w:val="89"/>
              </w:rPr>
              <w:t>$</w:t>
            </w:r>
          </w:p>
        </w:tc>
        <w:tc>
          <w:tcPr>
            <w:tcW w:w="1820" w:type="dxa"/>
            <w:vAlign w:val="bottom"/>
            <w:vMerge w:val="restart"/>
          </w:tcPr>
          <w:p>
            <w:pPr>
              <w:jc w:val="right"/>
              <w:ind w:right="21"/>
              <w:spacing w:after="0"/>
              <w:rPr>
                <w:sz w:val="20"/>
                <w:szCs w:val="20"/>
                <w:color w:val="auto"/>
              </w:rPr>
            </w:pPr>
            <w:r>
              <w:rPr>
                <w:rFonts w:ascii="Arial" w:cs="Arial" w:eastAsia="Arial" w:hAnsi="Arial"/>
                <w:sz w:val="20"/>
                <w:szCs w:val="20"/>
                <w:color w:val="auto"/>
              </w:rPr>
              <w:t>164,801,937</w:t>
            </w:r>
          </w:p>
        </w:tc>
        <w:tc>
          <w:tcPr>
            <w:tcW w:w="3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760" w:type="dxa"/>
            <w:vAlign w:val="bottom"/>
            <w:vMerge w:val="restart"/>
          </w:tcPr>
          <w:p>
            <w:pPr>
              <w:jc w:val="right"/>
              <w:ind w:right="1"/>
              <w:spacing w:after="0"/>
              <w:rPr>
                <w:sz w:val="20"/>
                <w:szCs w:val="20"/>
                <w:color w:val="auto"/>
              </w:rPr>
            </w:pPr>
            <w:r>
              <w:rPr>
                <w:rFonts w:ascii="Arial" w:cs="Arial" w:eastAsia="Arial" w:hAnsi="Arial"/>
                <w:sz w:val="20"/>
                <w:szCs w:val="20"/>
                <w:color w:val="auto"/>
              </w:rPr>
              <w:t>12,911,192</w:t>
            </w:r>
          </w:p>
        </w:tc>
        <w:tc>
          <w:tcPr>
            <w:tcW w:w="0" w:type="dxa"/>
            <w:vAlign w:val="bottom"/>
          </w:tcPr>
          <w:p>
            <w:pPr>
              <w:spacing w:after="0"/>
              <w:rPr>
                <w:sz w:val="1"/>
                <w:szCs w:val="1"/>
                <w:color w:val="auto"/>
              </w:rPr>
            </w:pPr>
          </w:p>
        </w:tc>
      </w:tr>
      <w:tr>
        <w:trPr>
          <w:trHeight w:val="260"/>
        </w:trPr>
        <w:tc>
          <w:tcPr>
            <w:tcW w:w="6920" w:type="dxa"/>
            <w:vAlign w:val="bottom"/>
          </w:tcPr>
          <w:p>
            <w:pPr>
              <w:ind w:left="140"/>
              <w:spacing w:after="0"/>
              <w:rPr>
                <w:sz w:val="20"/>
                <w:szCs w:val="20"/>
                <w:color w:val="auto"/>
              </w:rPr>
            </w:pPr>
            <w:r>
              <w:rPr>
                <w:rFonts w:ascii="Arial" w:cs="Arial" w:eastAsia="Arial" w:hAnsi="Arial"/>
                <w:sz w:val="20"/>
                <w:szCs w:val="20"/>
                <w:color w:val="auto"/>
              </w:rPr>
              <w:t>the Form 5500</w:t>
            </w:r>
          </w:p>
        </w:tc>
        <w:tc>
          <w:tcPr>
            <w:tcW w:w="360" w:type="dxa"/>
            <w:vAlign w:val="bottom"/>
            <w:tcBorders>
              <w:bottom w:val="single" w:sz="8" w:color="auto"/>
            </w:tcBorders>
            <w:vMerge w:val="continue"/>
          </w:tcPr>
          <w:p>
            <w:pPr>
              <w:spacing w:after="0"/>
              <w:rPr>
                <w:sz w:val="22"/>
                <w:szCs w:val="22"/>
                <w:color w:val="auto"/>
              </w:rPr>
            </w:pPr>
          </w:p>
        </w:tc>
        <w:tc>
          <w:tcPr>
            <w:tcW w:w="1820" w:type="dxa"/>
            <w:vAlign w:val="bottom"/>
            <w:tcBorders>
              <w:bottom w:val="single" w:sz="8" w:color="auto"/>
            </w:tcBorders>
            <w:vMerge w:val="continue"/>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7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Transfers In</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On January 1, 2015, the Company acquired from Novartis AG all of the shares of certain Novartis AG subsidiaries and assets and liabilities of other Novartis AG subsidiaries that are exclusively related to the Novartis Animal Health business. In connection with the transaction, employees of Novartis Animal Health US, Inc. (now named Elanco US Inc.) could rollover existing Novartis 401(k) balances into The Lilly Employee 401(k) Plan. Assets of $5,966,482 were transferred into The Lilly Employee 401(k) Plan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90" w:right="2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Supplemental 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25"/>
          <w:szCs w:val="25"/>
          <w:color w:val="auto"/>
        </w:rPr>
        <w:t>The Lilly Employee 401(k) Plan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35-0470950 Plan No. 002</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260" w:type="dxa"/>
            <w:vAlign w:val="bottom"/>
          </w:tcPr>
          <w:p>
            <w:pPr>
              <w:jc w:val="center"/>
              <w:ind w:right="2082"/>
              <w:spacing w:after="0"/>
              <w:rPr>
                <w:sz w:val="20"/>
                <w:szCs w:val="20"/>
                <w:color w:val="auto"/>
              </w:rPr>
            </w:pPr>
            <w:r>
              <w:rPr>
                <w:rFonts w:ascii="Arial" w:cs="Arial" w:eastAsia="Arial" w:hAnsi="Arial"/>
                <w:sz w:val="20"/>
                <w:szCs w:val="20"/>
                <w:color w:val="auto"/>
                <w:w w:val="88"/>
              </w:rPr>
              <w:t>December 31, 2015</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8"/>
        </w:trPr>
        <w:tc>
          <w:tcPr>
            <w:tcW w:w="4040" w:type="dxa"/>
            <w:vAlign w:val="bottom"/>
          </w:tcPr>
          <w:p>
            <w:pPr>
              <w:spacing w:after="0"/>
              <w:rPr>
                <w:sz w:val="24"/>
                <w:szCs w:val="24"/>
                <w:color w:val="auto"/>
              </w:rPr>
            </w:pP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89"/>
              </w:rPr>
              <w:t>Description of</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260" w:type="dxa"/>
            <w:vAlign w:val="bottom"/>
          </w:tcPr>
          <w:p>
            <w:pPr>
              <w:jc w:val="center"/>
              <w:ind w:left="1142"/>
              <w:spacing w:after="0"/>
              <w:rPr>
                <w:sz w:val="20"/>
                <w:szCs w:val="20"/>
                <w:color w:val="auto"/>
              </w:rPr>
            </w:pPr>
            <w:r>
              <w:rPr>
                <w:rFonts w:ascii="Arial" w:cs="Arial" w:eastAsia="Arial" w:hAnsi="Arial"/>
                <w:sz w:val="20"/>
                <w:szCs w:val="20"/>
                <w:b w:val="1"/>
                <w:bCs w:val="1"/>
                <w:color w:val="auto"/>
                <w:w w:val="89"/>
              </w:rPr>
              <w:t>Investments, Including</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93"/>
              </w:rPr>
              <w:t>Maturity Date, Rate of</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Identity of Issue, Borrower,</w:t>
            </w: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89"/>
              </w:rPr>
              <w:t>Interest, Par, or</w:t>
            </w:r>
          </w:p>
        </w:tc>
        <w:tc>
          <w:tcPr>
            <w:tcW w:w="360" w:type="dxa"/>
            <w:vAlign w:val="bottom"/>
          </w:tcPr>
          <w:p>
            <w:pPr>
              <w:spacing w:after="0"/>
              <w:rPr>
                <w:sz w:val="24"/>
                <w:szCs w:val="24"/>
                <w:color w:val="auto"/>
              </w:rPr>
            </w:pPr>
          </w:p>
        </w:tc>
        <w:tc>
          <w:tcPr>
            <w:tcW w:w="1500" w:type="dxa"/>
            <w:vAlign w:val="bottom"/>
          </w:tcPr>
          <w:p>
            <w:pPr>
              <w:jc w:val="center"/>
              <w:ind w:right="261"/>
              <w:spacing w:after="0"/>
              <w:rPr>
                <w:sz w:val="20"/>
                <w:szCs w:val="20"/>
                <w:color w:val="auto"/>
              </w:rPr>
            </w:pPr>
            <w:r>
              <w:rPr>
                <w:rFonts w:ascii="Arial" w:cs="Arial" w:eastAsia="Arial" w:hAnsi="Arial"/>
                <w:sz w:val="20"/>
                <w:szCs w:val="20"/>
                <w:b w:val="1"/>
                <w:bCs w:val="1"/>
                <w:color w:val="auto"/>
                <w:w w:val="96"/>
              </w:rPr>
              <w:t>Current</w:t>
            </w:r>
          </w:p>
        </w:tc>
        <w:tc>
          <w:tcPr>
            <w:tcW w:w="0" w:type="dxa"/>
            <w:vAlign w:val="bottom"/>
          </w:tcPr>
          <w:p>
            <w:pPr>
              <w:spacing w:after="0"/>
              <w:rPr>
                <w:sz w:val="1"/>
                <w:szCs w:val="1"/>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Lessor, or Similar Party</w:t>
            </w:r>
          </w:p>
        </w:tc>
        <w:tc>
          <w:tcPr>
            <w:tcW w:w="4260" w:type="dxa"/>
            <w:vAlign w:val="bottom"/>
          </w:tcPr>
          <w:p>
            <w:pPr>
              <w:jc w:val="center"/>
              <w:ind w:left="1142"/>
              <w:spacing w:after="0"/>
              <w:rPr>
                <w:sz w:val="20"/>
                <w:szCs w:val="20"/>
                <w:color w:val="auto"/>
              </w:rPr>
            </w:pPr>
            <w:r>
              <w:rPr>
                <w:rFonts w:ascii="Arial" w:cs="Arial" w:eastAsia="Arial" w:hAnsi="Arial"/>
                <w:sz w:val="20"/>
                <w:szCs w:val="20"/>
                <w:b w:val="1"/>
                <w:bCs w:val="1"/>
                <w:color w:val="auto"/>
                <w:w w:val="95"/>
              </w:rPr>
              <w:t>Maturity Value</w:t>
            </w:r>
          </w:p>
        </w:tc>
        <w:tc>
          <w:tcPr>
            <w:tcW w:w="360" w:type="dxa"/>
            <w:vAlign w:val="bottom"/>
          </w:tcPr>
          <w:p>
            <w:pPr>
              <w:spacing w:after="0"/>
              <w:rPr>
                <w:sz w:val="24"/>
                <w:szCs w:val="24"/>
                <w:color w:val="auto"/>
              </w:rPr>
            </w:pPr>
          </w:p>
        </w:tc>
        <w:tc>
          <w:tcPr>
            <w:tcW w:w="1500" w:type="dxa"/>
            <w:vAlign w:val="bottom"/>
          </w:tcPr>
          <w:p>
            <w:pPr>
              <w:jc w:val="center"/>
              <w:ind w:right="281"/>
              <w:spacing w:after="0"/>
              <w:rPr>
                <w:sz w:val="20"/>
                <w:szCs w:val="20"/>
                <w:color w:val="auto"/>
              </w:rPr>
            </w:pPr>
            <w:r>
              <w:rPr>
                <w:rFonts w:ascii="Arial" w:cs="Arial" w:eastAsia="Arial" w:hAnsi="Arial"/>
                <w:sz w:val="20"/>
                <w:szCs w:val="20"/>
                <w:b w:val="1"/>
                <w:bCs w:val="1"/>
                <w:color w:val="auto"/>
                <w:w w:val="89"/>
              </w:rPr>
              <w:t>Value</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1"/>
        </w:trPr>
        <w:tc>
          <w:tcPr>
            <w:tcW w:w="404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4260" w:type="dxa"/>
            <w:vAlign w:val="bottom"/>
          </w:tcPr>
          <w:p>
            <w:pPr>
              <w:ind w:left="1260"/>
              <w:spacing w:after="0"/>
              <w:rPr>
                <w:sz w:val="20"/>
                <w:szCs w:val="20"/>
                <w:color w:val="auto"/>
              </w:rPr>
            </w:pPr>
            <w:r>
              <w:rPr>
                <w:rFonts w:ascii="Arial" w:cs="Arial" w:eastAsia="Arial" w:hAnsi="Arial"/>
                <w:sz w:val="20"/>
                <w:szCs w:val="20"/>
                <w:color w:val="auto"/>
              </w:rPr>
              <w:t>Interest rates ranging</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4"/>
                <w:szCs w:val="24"/>
                <w:color w:val="auto"/>
              </w:rPr>
            </w:pPr>
          </w:p>
        </w:tc>
        <w:tc>
          <w:tcPr>
            <w:tcW w:w="4260" w:type="dxa"/>
            <w:vAlign w:val="bottom"/>
          </w:tcPr>
          <w:p>
            <w:pPr>
              <w:ind w:left="1400"/>
              <w:spacing w:after="0"/>
              <w:rPr>
                <w:sz w:val="20"/>
                <w:szCs w:val="20"/>
                <w:color w:val="auto"/>
              </w:rPr>
            </w:pPr>
            <w:r>
              <w:rPr>
                <w:rFonts w:ascii="Arial" w:cs="Arial" w:eastAsia="Arial" w:hAnsi="Arial"/>
                <w:sz w:val="20"/>
                <w:szCs w:val="20"/>
                <w:color w:val="auto"/>
              </w:rPr>
              <w:t>from 4.15% to 10.00%</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34,612,352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20"/>
                <w:szCs w:val="20"/>
                <w:color w:val="auto"/>
              </w:rPr>
              <w:t>*Parties in interest.</w:t>
            </w:r>
          </w:p>
        </w:tc>
        <w:tc>
          <w:tcPr>
            <w:tcW w:w="4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4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4040" w:type="dxa"/>
            <w:vAlign w:val="bottom"/>
          </w:tcPr>
          <w:p>
            <w:pPr>
              <w:spacing w:after="0"/>
              <w:rPr>
                <w:sz w:val="24"/>
                <w:szCs w:val="24"/>
                <w:color w:val="auto"/>
              </w:rPr>
            </w:pPr>
          </w:p>
        </w:tc>
        <w:tc>
          <w:tcPr>
            <w:tcW w:w="4260" w:type="dxa"/>
            <w:vAlign w:val="bottom"/>
          </w:tcPr>
          <w:p>
            <w:pPr>
              <w:jc w:val="right"/>
              <w:ind w:right="3042"/>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880" w:top="528" w:right="8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25"/>
          <w:szCs w:val="25"/>
          <w:color w:val="auto"/>
        </w:rPr>
        <w:t>The Savings Plan for Lilly Affiliate Employees in Puerto Rico</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EIN 98-0167031 Plan No. 004</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Schedule H, Line 4i – Schedule of Assets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(Held at End of Year)</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4260" w:type="dxa"/>
            <w:vAlign w:val="bottom"/>
          </w:tcPr>
          <w:p>
            <w:pPr>
              <w:jc w:val="center"/>
              <w:ind w:right="2082"/>
              <w:spacing w:after="0"/>
              <w:rPr>
                <w:sz w:val="20"/>
                <w:szCs w:val="20"/>
                <w:color w:val="auto"/>
              </w:rPr>
            </w:pPr>
            <w:r>
              <w:rPr>
                <w:rFonts w:ascii="Arial" w:cs="Arial" w:eastAsia="Arial" w:hAnsi="Arial"/>
                <w:sz w:val="20"/>
                <w:szCs w:val="20"/>
                <w:color w:val="auto"/>
                <w:w w:val="88"/>
              </w:rPr>
              <w:t>December 31, 2015</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8"/>
        </w:trPr>
        <w:tc>
          <w:tcPr>
            <w:tcW w:w="4040" w:type="dxa"/>
            <w:vAlign w:val="bottom"/>
          </w:tcPr>
          <w:p>
            <w:pPr>
              <w:spacing w:after="0"/>
              <w:rPr>
                <w:sz w:val="24"/>
                <w:szCs w:val="24"/>
                <w:color w:val="auto"/>
              </w:rPr>
            </w:pP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89"/>
              </w:rPr>
              <w:t>Description of</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260" w:type="dxa"/>
            <w:vAlign w:val="bottom"/>
          </w:tcPr>
          <w:p>
            <w:pPr>
              <w:jc w:val="center"/>
              <w:ind w:left="1142"/>
              <w:spacing w:after="0"/>
              <w:rPr>
                <w:sz w:val="20"/>
                <w:szCs w:val="20"/>
                <w:color w:val="auto"/>
              </w:rPr>
            </w:pPr>
            <w:r>
              <w:rPr>
                <w:rFonts w:ascii="Arial" w:cs="Arial" w:eastAsia="Arial" w:hAnsi="Arial"/>
                <w:sz w:val="20"/>
                <w:szCs w:val="20"/>
                <w:b w:val="1"/>
                <w:bCs w:val="1"/>
                <w:color w:val="auto"/>
                <w:w w:val="89"/>
              </w:rPr>
              <w:t>Investments, Including</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93"/>
              </w:rPr>
              <w:t>Maturity Date, Rate of</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Identity of Issue, Borrower,</w:t>
            </w:r>
          </w:p>
        </w:tc>
        <w:tc>
          <w:tcPr>
            <w:tcW w:w="4260" w:type="dxa"/>
            <w:vAlign w:val="bottom"/>
          </w:tcPr>
          <w:p>
            <w:pPr>
              <w:jc w:val="center"/>
              <w:ind w:left="1122"/>
              <w:spacing w:after="0"/>
              <w:rPr>
                <w:sz w:val="20"/>
                <w:szCs w:val="20"/>
                <w:color w:val="auto"/>
              </w:rPr>
            </w:pPr>
            <w:r>
              <w:rPr>
                <w:rFonts w:ascii="Arial" w:cs="Arial" w:eastAsia="Arial" w:hAnsi="Arial"/>
                <w:sz w:val="20"/>
                <w:szCs w:val="20"/>
                <w:b w:val="1"/>
                <w:bCs w:val="1"/>
                <w:color w:val="auto"/>
                <w:w w:val="89"/>
              </w:rPr>
              <w:t>Interest, Par, or</w:t>
            </w:r>
          </w:p>
        </w:tc>
        <w:tc>
          <w:tcPr>
            <w:tcW w:w="360" w:type="dxa"/>
            <w:vAlign w:val="bottom"/>
          </w:tcPr>
          <w:p>
            <w:pPr>
              <w:spacing w:after="0"/>
              <w:rPr>
                <w:sz w:val="24"/>
                <w:szCs w:val="24"/>
                <w:color w:val="auto"/>
              </w:rPr>
            </w:pPr>
          </w:p>
        </w:tc>
        <w:tc>
          <w:tcPr>
            <w:tcW w:w="1500" w:type="dxa"/>
            <w:vAlign w:val="bottom"/>
          </w:tcPr>
          <w:p>
            <w:pPr>
              <w:jc w:val="center"/>
              <w:ind w:right="261"/>
              <w:spacing w:after="0"/>
              <w:rPr>
                <w:sz w:val="20"/>
                <w:szCs w:val="20"/>
                <w:color w:val="auto"/>
              </w:rPr>
            </w:pPr>
            <w:r>
              <w:rPr>
                <w:rFonts w:ascii="Arial" w:cs="Arial" w:eastAsia="Arial" w:hAnsi="Arial"/>
                <w:sz w:val="20"/>
                <w:szCs w:val="20"/>
                <w:b w:val="1"/>
                <w:bCs w:val="1"/>
                <w:color w:val="auto"/>
                <w:w w:val="96"/>
              </w:rPr>
              <w:t>Current</w:t>
            </w:r>
          </w:p>
        </w:tc>
        <w:tc>
          <w:tcPr>
            <w:tcW w:w="0" w:type="dxa"/>
            <w:vAlign w:val="bottom"/>
          </w:tcPr>
          <w:p>
            <w:pPr>
              <w:spacing w:after="0"/>
              <w:rPr>
                <w:sz w:val="1"/>
                <w:szCs w:val="1"/>
                <w:color w:val="auto"/>
              </w:rPr>
            </w:pPr>
          </w:p>
        </w:tc>
      </w:tr>
      <w:tr>
        <w:trPr>
          <w:trHeight w:val="284"/>
        </w:trPr>
        <w:tc>
          <w:tcPr>
            <w:tcW w:w="404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Lessor, or Similar Party</w:t>
            </w:r>
          </w:p>
        </w:tc>
        <w:tc>
          <w:tcPr>
            <w:tcW w:w="4260" w:type="dxa"/>
            <w:vAlign w:val="bottom"/>
          </w:tcPr>
          <w:p>
            <w:pPr>
              <w:jc w:val="center"/>
              <w:ind w:left="1142"/>
              <w:spacing w:after="0"/>
              <w:rPr>
                <w:sz w:val="20"/>
                <w:szCs w:val="20"/>
                <w:color w:val="auto"/>
              </w:rPr>
            </w:pPr>
            <w:r>
              <w:rPr>
                <w:rFonts w:ascii="Arial" w:cs="Arial" w:eastAsia="Arial" w:hAnsi="Arial"/>
                <w:sz w:val="20"/>
                <w:szCs w:val="20"/>
                <w:b w:val="1"/>
                <w:bCs w:val="1"/>
                <w:color w:val="auto"/>
                <w:w w:val="95"/>
              </w:rPr>
              <w:t>Maturity Value</w:t>
            </w:r>
          </w:p>
        </w:tc>
        <w:tc>
          <w:tcPr>
            <w:tcW w:w="360" w:type="dxa"/>
            <w:vAlign w:val="bottom"/>
          </w:tcPr>
          <w:p>
            <w:pPr>
              <w:spacing w:after="0"/>
              <w:rPr>
                <w:sz w:val="24"/>
                <w:szCs w:val="24"/>
                <w:color w:val="auto"/>
              </w:rPr>
            </w:pPr>
          </w:p>
        </w:tc>
        <w:tc>
          <w:tcPr>
            <w:tcW w:w="1500" w:type="dxa"/>
            <w:vAlign w:val="bottom"/>
          </w:tcPr>
          <w:p>
            <w:pPr>
              <w:jc w:val="center"/>
              <w:ind w:right="281"/>
              <w:spacing w:after="0"/>
              <w:rPr>
                <w:sz w:val="20"/>
                <w:szCs w:val="20"/>
                <w:color w:val="auto"/>
              </w:rPr>
            </w:pPr>
            <w:r>
              <w:rPr>
                <w:rFonts w:ascii="Arial" w:cs="Arial" w:eastAsia="Arial" w:hAnsi="Arial"/>
                <w:sz w:val="20"/>
                <w:szCs w:val="20"/>
                <w:b w:val="1"/>
                <w:bCs w:val="1"/>
                <w:color w:val="auto"/>
                <w:w w:val="89"/>
              </w:rPr>
              <w:t>Value</w:t>
            </w:r>
          </w:p>
        </w:tc>
        <w:tc>
          <w:tcPr>
            <w:tcW w:w="0" w:type="dxa"/>
            <w:vAlign w:val="bottom"/>
          </w:tcPr>
          <w:p>
            <w:pPr>
              <w:spacing w:after="0"/>
              <w:rPr>
                <w:sz w:val="1"/>
                <w:szCs w:val="1"/>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1"/>
        </w:trPr>
        <w:tc>
          <w:tcPr>
            <w:tcW w:w="404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4260" w:type="dxa"/>
            <w:vAlign w:val="bottom"/>
          </w:tcPr>
          <w:p>
            <w:pPr>
              <w:ind w:left="1260"/>
              <w:spacing w:after="0"/>
              <w:rPr>
                <w:sz w:val="20"/>
                <w:szCs w:val="20"/>
                <w:color w:val="auto"/>
              </w:rPr>
            </w:pPr>
            <w:r>
              <w:rPr>
                <w:rFonts w:ascii="Arial" w:cs="Arial" w:eastAsia="Arial" w:hAnsi="Arial"/>
                <w:sz w:val="20"/>
                <w:szCs w:val="20"/>
                <w:color w:val="auto"/>
              </w:rPr>
              <w:t>Interest rates ranging</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4"/>
                <w:szCs w:val="24"/>
                <w:color w:val="auto"/>
              </w:rPr>
            </w:pPr>
          </w:p>
        </w:tc>
        <w:tc>
          <w:tcPr>
            <w:tcW w:w="4260" w:type="dxa"/>
            <w:vAlign w:val="bottom"/>
          </w:tcPr>
          <w:p>
            <w:pPr>
              <w:ind w:left="1400"/>
              <w:spacing w:after="0"/>
              <w:rPr>
                <w:sz w:val="20"/>
                <w:szCs w:val="20"/>
                <w:color w:val="auto"/>
              </w:rPr>
            </w:pPr>
            <w:r>
              <w:rPr>
                <w:rFonts w:ascii="Arial" w:cs="Arial" w:eastAsia="Arial" w:hAnsi="Arial"/>
                <w:sz w:val="20"/>
                <w:szCs w:val="20"/>
                <w:color w:val="auto"/>
              </w:rPr>
              <w:t>from 4.25% to 9.50%</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3,227,708</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20"/>
                <w:szCs w:val="20"/>
                <w:color w:val="auto"/>
              </w:rPr>
              <w:t>*Parties in interest.</w:t>
            </w:r>
          </w:p>
        </w:tc>
        <w:tc>
          <w:tcPr>
            <w:tcW w:w="4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40" w:type="dxa"/>
            <w:vAlign w:val="bottom"/>
            <w:vMerge w:val="continue"/>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4040" w:type="dxa"/>
            <w:vAlign w:val="bottom"/>
          </w:tcPr>
          <w:p>
            <w:pPr>
              <w:spacing w:after="0"/>
              <w:rPr>
                <w:sz w:val="24"/>
                <w:szCs w:val="24"/>
                <w:color w:val="auto"/>
              </w:rPr>
            </w:pPr>
          </w:p>
        </w:tc>
        <w:tc>
          <w:tcPr>
            <w:tcW w:w="4260" w:type="dxa"/>
            <w:vAlign w:val="bottom"/>
          </w:tcPr>
          <w:p>
            <w:pPr>
              <w:jc w:val="right"/>
              <w:ind w:right="3042"/>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880" w:top="528" w:right="85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395" w:lineRule="auto"/>
        <w:rPr>
          <w:sz w:val="20"/>
          <w:szCs w:val="20"/>
          <w:color w:val="auto"/>
        </w:rPr>
      </w:pPr>
      <w:r>
        <w:rPr>
          <w:rFonts w:ascii="Arial" w:cs="Arial" w:eastAsia="Arial" w:hAnsi="Arial"/>
          <w:sz w:val="21"/>
          <w:szCs w:val="21"/>
          <w:color w:val="auto"/>
        </w:rPr>
        <w:t>Pursuant to the requirements of the Securities Exchange Act of 1934, the trustees (or other persons who administer the Plans) have duly caused this annual report to be signed on its behalf by the undersigned hereunto duly authorized.</w:t>
      </w: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The Lilly Employee 401(k) Plan</w:t>
      </w:r>
    </w:p>
    <w:p>
      <w:pPr>
        <w:spacing w:after="0" w:line="200" w:lineRule="exact"/>
        <w:rPr>
          <w:sz w:val="20"/>
          <w:szCs w:val="20"/>
          <w:color w:val="auto"/>
        </w:rPr>
      </w:pPr>
    </w:p>
    <w:p>
      <w:pPr>
        <w:spacing w:after="0" w:line="222"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Date: June 21, 2016</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Stacey M. Roberson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Stacey M. Roberson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 Benefits Committee</w:t>
      </w:r>
    </w:p>
    <w:p>
      <w:pPr>
        <w:spacing w:after="0" w:line="29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The Savings Plan for Lilly Affiliate Employees</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in Puerto Rico</w:t>
      </w:r>
    </w:p>
    <w:p>
      <w:pPr>
        <w:spacing w:after="0" w:line="200" w:lineRule="exact"/>
        <w:rPr>
          <w:sz w:val="20"/>
          <w:szCs w:val="20"/>
          <w:color w:val="auto"/>
        </w:rPr>
      </w:pPr>
    </w:p>
    <w:p>
      <w:pPr>
        <w:spacing w:after="0" w:line="272" w:lineRule="exact"/>
        <w:rPr>
          <w:sz w:val="20"/>
          <w:szCs w:val="20"/>
          <w:color w:val="auto"/>
        </w:rPr>
      </w:pPr>
    </w:p>
    <w:p>
      <w:pPr>
        <w:spacing w:after="0"/>
        <w:tabs>
          <w:tab w:leader="none" w:pos="1900" w:val="left"/>
        </w:tabs>
        <w:rPr>
          <w:sz w:val="20"/>
          <w:szCs w:val="20"/>
          <w:color w:val="auto"/>
        </w:rPr>
      </w:pPr>
      <w:r>
        <w:rPr>
          <w:rFonts w:ascii="Arial" w:cs="Arial" w:eastAsia="Arial" w:hAnsi="Arial"/>
          <w:sz w:val="22"/>
          <w:szCs w:val="22"/>
          <w:color w:val="auto"/>
        </w:rPr>
        <w:t>Date: June 21, 2016</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Stacey M. Roberson</w:t>
      </w:r>
    </w:p>
    <w:p>
      <w:pPr>
        <w:spacing w:after="0" w:line="7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Stacey M. Roberson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 Benefits Committee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23" w:right="359" w:bottom="1440" w:gutter="0" w:footer="0" w:header="0"/>
        </w:sectPr>
      </w:pPr>
    </w:p>
    <w:bookmarkStart w:id="21" w:name="page22"/>
    <w:bookmarkEnd w:id="21"/>
    <w:p>
      <w:pPr>
        <w:jc w:val="right"/>
        <w:ind w:right="387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00" w:lineRule="exact"/>
        <w:rPr>
          <w:sz w:val="20"/>
          <w:szCs w:val="20"/>
          <w:color w:val="auto"/>
        </w:rPr>
      </w:pPr>
    </w:p>
    <w:p>
      <w:pPr>
        <w:spacing w:after="0" w:line="236" w:lineRule="exact"/>
        <w:rPr>
          <w:sz w:val="20"/>
          <w:szCs w:val="20"/>
          <w:color w:val="auto"/>
        </w:rPr>
      </w:pPr>
    </w:p>
    <w:p>
      <w:pPr>
        <w:spacing w:after="0"/>
        <w:tabs>
          <w:tab w:leader="none" w:pos="74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21"/>
          <w:szCs w:val="2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23"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the Registration Statement (Form S-8 No. 333-172422) pertaining to The Lilly Employee 401(k) Plan and The Savings Plan for Lilly Affiliate Employees in Puerto Rico of our report dated June 21, 2016, with respect to the financial statements and schedules of The Lilly Employee 401(k) Plan and The Savings Plan for Lilly Affiliate Employees in Puerto Rico included in this Annual Report (Form 11-K)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Indianapolis, Indiana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June 21, 2016</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1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the Registration Statement (Form S-8 No. 333-172422) pertaining to The Lilly Employee 401(k) Plan and The Savings Plan for Lilly Affiliate Employees in Puerto Rico of our report dated June 21, 2016, with respect to the financial statements and schedules of The Lilly Employee 401(k) Plan and The Savings Plan for Lilly Affiliate Employees in Puerto Rico included in this Annual Report (Form 11-K)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Indianapolis, Indiana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June 21, 2016</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2019-12-05T08:23:45Z</dcterms:created>
  <dcterms:modified xsi:type="dcterms:W3CDTF">2019-12-05T08:23:45Z</dcterms:modified>
</cp:coreProperties>
</file>